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333-235714</w:t>
      </w: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Prospectus Supplement</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Prospectus dated January 2, 2020)</w:t>
      </w:r>
    </w:p>
    <w:p>
      <w:pPr>
        <w:spacing w:after="0" w:line="31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3,190,053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20320</wp:posOffset>
            </wp:positionV>
            <wp:extent cx="2143125" cy="12255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12255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111"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We are offering 3,000,000 shares of our common stock, and the selling stockholder named in this prospectus supplement is offering 190,053 shares of our common stock.</w:t>
      </w:r>
    </w:p>
    <w:p>
      <w:pPr>
        <w:spacing w:after="0" w:line="17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Our common stock is listed on the Nasdaq Global Market under the symbol “SIBN.” On October 14, 2020, the closing price of our common stock was $23.38 per share.</w:t>
      </w:r>
    </w:p>
    <w:p>
      <w:pPr>
        <w:spacing w:after="0" w:line="17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We are an emerging growth company under the federal securities laws and are subject to reduced public company reporting requirements. See “Prospectus Supplement Summary - Implications of Being an Emerging Growth Company.”</w:t>
      </w:r>
    </w:p>
    <w:p>
      <w:pPr>
        <w:spacing w:after="0" w:line="166" w:lineRule="exact"/>
        <w:rPr>
          <w:sz w:val="24"/>
          <w:szCs w:val="24"/>
          <w:color w:val="auto"/>
        </w:rPr>
      </w:pPr>
    </w:p>
    <w:p>
      <w:pPr>
        <w:ind w:left="1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See “Risk Factors” beginning on page S-</w:t>
      </w:r>
      <w:hyperlink w:anchor="page10">
        <w:r>
          <w:rPr>
            <w:rFonts w:ascii="Arial" w:cs="Arial" w:eastAsia="Arial" w:hAnsi="Arial"/>
            <w:sz w:val="18"/>
            <w:szCs w:val="18"/>
            <w:b w:val="1"/>
            <w:bCs w:val="1"/>
            <w:u w:val="single" w:color="auto"/>
            <w:color w:val="0000FF"/>
          </w:rPr>
          <w:t>8</w:t>
        </w:r>
      </w:hyperlink>
      <w:r>
        <w:rPr>
          <w:rFonts w:ascii="Arial" w:cs="Arial" w:eastAsia="Arial" w:hAnsi="Arial"/>
          <w:sz w:val="18"/>
          <w:szCs w:val="18"/>
          <w:b w:val="1"/>
          <w:bCs w:val="1"/>
          <w:color w:val="auto"/>
        </w:rPr>
        <w:t>.</w:t>
      </w:r>
    </w:p>
    <w:p>
      <w:pPr>
        <w:spacing w:after="0" w:line="279" w:lineRule="exact"/>
        <w:rPr>
          <w:sz w:val="24"/>
          <w:szCs w:val="24"/>
          <w:color w:val="auto"/>
        </w:rPr>
      </w:pPr>
    </w:p>
    <w:tbl>
      <w:tblPr>
        <w:tblLayout w:type="fixed"/>
        <w:tblInd w:w="144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Per Share</w:t>
            </w:r>
          </w:p>
        </w:tc>
        <w:tc>
          <w:tcPr>
            <w:tcW w:w="30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5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22.0000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70,181,166.00</w:t>
            </w:r>
          </w:p>
        </w:tc>
      </w:tr>
      <w:tr>
        <w:trPr>
          <w:trHeight w:val="270"/>
        </w:trPr>
        <w:tc>
          <w:tcPr>
            <w:tcW w:w="5440" w:type="dxa"/>
            <w:vAlign w:val="bottom"/>
          </w:tcPr>
          <w:p>
            <w:pPr>
              <w:ind w:left="20"/>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1.3200</w:t>
            </w:r>
          </w:p>
        </w:tc>
        <w:tc>
          <w:tcPr>
            <w:tcW w:w="1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4,210,869.96</w:t>
            </w: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to us, before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20.6800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62,040,000.00</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Proceeds to the selling stockholder, before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20.6800</w:t>
            </w:r>
          </w:p>
        </w:tc>
        <w:tc>
          <w:tcPr>
            <w:tcW w:w="1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3,930,296.04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174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90"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(1) See </w:t>
      </w:r>
      <w:r>
        <w:rPr>
          <w:rFonts w:ascii="Arial" w:cs="Arial" w:eastAsia="Arial" w:hAnsi="Arial"/>
          <w:sz w:val="17"/>
          <w:szCs w:val="17"/>
          <w:color w:val="auto"/>
        </w:rPr>
        <w:t>“</w:t>
      </w:r>
      <w:r>
        <w:rPr>
          <w:rFonts w:ascii="Arial" w:cs="Arial" w:eastAsia="Arial" w:hAnsi="Arial"/>
          <w:sz w:val="16"/>
          <w:szCs w:val="16"/>
          <w:color w:val="auto"/>
        </w:rPr>
        <w:t>Underwriting</w:t>
      </w:r>
      <w:r>
        <w:rPr>
          <w:rFonts w:ascii="Arial" w:cs="Arial" w:eastAsia="Arial" w:hAnsi="Arial"/>
          <w:sz w:val="17"/>
          <w:szCs w:val="17"/>
          <w:color w:val="auto"/>
        </w:rPr>
        <w:t>”</w:t>
      </w:r>
      <w:r>
        <w:rPr>
          <w:rFonts w:ascii="Arial" w:cs="Arial" w:eastAsia="Arial" w:hAnsi="Arial"/>
          <w:sz w:val="16"/>
          <w:szCs w:val="16"/>
          <w:color w:val="auto"/>
        </w:rPr>
        <w:t xml:space="preserve"> for additional information regarding underwriting compensation payable by us and payable by the selling stockholder.</w:t>
      </w:r>
    </w:p>
    <w:p>
      <w:pPr>
        <w:spacing w:after="0" w:line="129" w:lineRule="exact"/>
        <w:rPr>
          <w:sz w:val="24"/>
          <w:szCs w:val="24"/>
          <w:color w:val="auto"/>
        </w:rPr>
      </w:pPr>
    </w:p>
    <w:p>
      <w:pPr>
        <w:ind w:right="220" w:firstLine="324"/>
        <w:spacing w:after="0" w:line="27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supplement to purchase up to 478,507 additional shares of our common stock from us.</w:t>
      </w:r>
    </w:p>
    <w:p>
      <w:pPr>
        <w:spacing w:after="0" w:line="6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underwriters expect to deliver the shares against payment in New York, New York on October 19, 2020.</w:t>
      </w:r>
    </w:p>
    <w:p>
      <w:pPr>
        <w:spacing w:after="0" w:line="167" w:lineRule="exact"/>
        <w:rPr>
          <w:sz w:val="24"/>
          <w:szCs w:val="24"/>
          <w:color w:val="auto"/>
        </w:rPr>
      </w:pPr>
    </w:p>
    <w:p>
      <w:pPr>
        <w:ind w:left="160" w:right="140" w:firstLine="413"/>
        <w:spacing w:after="0" w:line="313"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supplement or accompanying prospectus is truthful or complete. Any representation to the contrary is a criminal</w:t>
      </w:r>
    </w:p>
    <w:p>
      <w:pPr>
        <w:jc w:val="center"/>
        <w:spacing w:after="0"/>
        <w:rPr>
          <w:sz w:val="20"/>
          <w:szCs w:val="20"/>
          <w:color w:val="auto"/>
        </w:rPr>
      </w:pPr>
      <w:r>
        <w:rPr>
          <w:rFonts w:ascii="Arial" w:cs="Arial" w:eastAsia="Arial" w:hAnsi="Arial"/>
          <w:sz w:val="18"/>
          <w:szCs w:val="18"/>
          <w:b w:val="1"/>
          <w:bCs w:val="1"/>
          <w:color w:val="auto"/>
        </w:rPr>
        <w:t>offense.</w:t>
      </w:r>
    </w:p>
    <w:p>
      <w:pPr>
        <w:sectPr>
          <w:pgSz w:w="11900" w:h="16838" w:orient="portrait"/>
          <w:cols w:equalWidth="0" w:num="1">
            <w:col w:w="11240"/>
          </w:cols>
          <w:pgMar w:left="320" w:top="1053" w:right="339" w:bottom="1440" w:gutter="0" w:footer="0" w:header="0"/>
        </w:sectPr>
      </w:pPr>
    </w:p>
    <w:p>
      <w:pPr>
        <w:spacing w:after="0" w:line="116" w:lineRule="exact"/>
        <w:rPr>
          <w:sz w:val="24"/>
          <w:szCs w:val="24"/>
          <w:color w:val="auto"/>
        </w:rPr>
      </w:pPr>
    </w:p>
    <w:p>
      <w:pPr>
        <w:ind w:left="720"/>
        <w:spacing w:after="0"/>
        <w:rPr>
          <w:sz w:val="20"/>
          <w:szCs w:val="20"/>
          <w:color w:val="auto"/>
        </w:rPr>
      </w:pPr>
      <w:r>
        <w:rPr>
          <w:rFonts w:ascii="Arial" w:cs="Arial" w:eastAsia="Arial" w:hAnsi="Arial"/>
          <w:sz w:val="30"/>
          <w:szCs w:val="30"/>
          <w:b w:val="1"/>
          <w:bCs w:val="1"/>
          <w:color w:val="auto"/>
        </w:rPr>
        <w:t>Morgan Stanley</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29"/>
          <w:szCs w:val="29"/>
          <w:b w:val="1"/>
          <w:bCs w:val="1"/>
          <w:color w:val="auto"/>
        </w:rPr>
        <w:t>BofA Securities</w:t>
      </w:r>
    </w:p>
    <w:p>
      <w:pPr>
        <w:spacing w:after="0" w:line="103" w:lineRule="exact"/>
        <w:rPr>
          <w:sz w:val="24"/>
          <w:szCs w:val="24"/>
          <w:color w:val="auto"/>
        </w:rPr>
      </w:pPr>
    </w:p>
    <w:p>
      <w:pPr>
        <w:sectPr>
          <w:pgSz w:w="11900" w:h="16838" w:orient="portrait"/>
          <w:cols w:equalWidth="0" w:num="2">
            <w:col w:w="7640" w:space="720"/>
            <w:col w:w="2880"/>
          </w:cols>
          <w:pgMar w:left="320" w:top="1053" w:right="339" w:bottom="1440" w:gutter="0" w:footer="0" w:header="0"/>
          <w:type w:val="continuous"/>
        </w:sectPr>
      </w:pPr>
    </w:p>
    <w:p>
      <w:pPr>
        <w:ind w:left="720"/>
        <w:spacing w:after="0"/>
        <w:rPr>
          <w:sz w:val="20"/>
          <w:szCs w:val="20"/>
          <w:color w:val="auto"/>
        </w:rPr>
      </w:pPr>
      <w:r>
        <w:rPr>
          <w:rFonts w:ascii="Arial" w:cs="Arial" w:eastAsia="Arial" w:hAnsi="Arial"/>
          <w:sz w:val="24"/>
          <w:szCs w:val="24"/>
          <w:b w:val="1"/>
          <w:bCs w:val="1"/>
          <w:color w:val="auto"/>
        </w:rPr>
        <w:t>Cantor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2"/>
          <w:szCs w:val="22"/>
          <w:b w:val="1"/>
          <w:bCs w:val="1"/>
          <w:color w:val="auto"/>
        </w:rPr>
        <w:t>JMP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3"/>
          <w:szCs w:val="23"/>
          <w:b w:val="1"/>
          <w:bCs w:val="1"/>
          <w:color w:val="auto"/>
        </w:rPr>
        <w:t>Needham &amp; Company</w:t>
      </w:r>
    </w:p>
    <w:p>
      <w:pPr>
        <w:spacing w:after="0" w:line="211" w:lineRule="exact"/>
        <w:rPr>
          <w:sz w:val="24"/>
          <w:szCs w:val="24"/>
          <w:color w:val="auto"/>
        </w:rPr>
      </w:pPr>
    </w:p>
    <w:p>
      <w:pPr>
        <w:sectPr>
          <w:pgSz w:w="11900" w:h="16838" w:orient="portrait"/>
          <w:cols w:equalWidth="0" w:num="3">
            <w:col w:w="4080" w:space="720"/>
            <w:col w:w="2600" w:space="720"/>
            <w:col w:w="3120"/>
          </w:cols>
          <w:pgMar w:left="320" w:top="1053" w:right="339" w:bottom="1440" w:gutter="0" w:footer="0" w:header="0"/>
          <w:type w:val="continuous"/>
        </w:sectPr>
      </w:pPr>
    </w:p>
    <w:p>
      <w:pPr>
        <w:spacing w:after="0" w:line="73" w:lineRule="exact"/>
        <w:rPr>
          <w:sz w:val="24"/>
          <w:szCs w:val="24"/>
          <w:color w:val="auto"/>
        </w:rPr>
      </w:pPr>
    </w:p>
    <w:p>
      <w:pPr>
        <w:jc w:val="center"/>
        <w:ind w:right="-339"/>
        <w:spacing w:after="0"/>
        <w:rPr>
          <w:sz w:val="20"/>
          <w:szCs w:val="20"/>
          <w:color w:val="auto"/>
        </w:rPr>
      </w:pPr>
      <w:r>
        <w:rPr>
          <w:rFonts w:ascii="Arial" w:cs="Arial" w:eastAsia="Arial" w:hAnsi="Arial"/>
          <w:sz w:val="16"/>
          <w:szCs w:val="16"/>
          <w:color w:val="auto"/>
        </w:rPr>
        <w:t>October 14, 2020.</w:t>
      </w:r>
    </w:p>
    <w:p>
      <w:pPr>
        <w:sectPr>
          <w:pgSz w:w="11900" w:h="16838" w:orient="portrait"/>
          <w:cols w:equalWidth="0" w:num="1">
            <w:col w:w="11240"/>
          </w:cols>
          <w:pgMar w:left="320" w:top="105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960" w:type="dxa"/>
            <w:vAlign w:val="bottom"/>
          </w:tcPr>
          <w:p>
            <w:pPr>
              <w:ind w:left="1600"/>
              <w:spacing w:after="0"/>
              <w:rPr>
                <w:sz w:val="20"/>
                <w:szCs w:val="20"/>
                <w:color w:val="auto"/>
              </w:rPr>
            </w:pPr>
            <w:r>
              <w:rPr>
                <w:rFonts w:ascii="Arial" w:cs="Arial" w:eastAsia="Arial" w:hAnsi="Arial"/>
                <w:sz w:val="18"/>
                <w:szCs w:val="18"/>
                <w:b w:val="1"/>
                <w:bCs w:val="1"/>
                <w:color w:val="auto"/>
              </w:rPr>
              <w:t>TABLE OF CONTENTS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9"/>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9"/>
              </w:rPr>
              <w:t>Page</w:t>
            </w:r>
          </w:p>
        </w:tc>
        <w:tc>
          <w:tcPr>
            <w:tcW w:w="2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9420" w:type="dxa"/>
            <w:vAlign w:val="bottom"/>
            <w:gridSpan w:val="3"/>
          </w:tcPr>
          <w:p>
            <w:pPr>
              <w:spacing w:after="0"/>
              <w:rPr>
                <w:sz w:val="20"/>
                <w:szCs w:val="20"/>
                <w:color w:val="auto"/>
              </w:rPr>
            </w:pPr>
            <w:r>
              <w:rPr>
                <w:rFonts w:ascii="Arial" w:cs="Arial" w:eastAsia="Arial" w:hAnsi="Arial"/>
                <w:sz w:val="18"/>
                <w:szCs w:val="18"/>
                <w:b w:val="1"/>
                <w:bCs w:val="1"/>
                <w:color w:val="auto"/>
              </w:rPr>
              <w:t>PROSPECTUS SUPPLEMENT</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9420" w:type="dxa"/>
            <w:vAlign w:val="bottom"/>
            <w:gridSpan w:val="3"/>
            <w:shd w:val="clear" w:color="auto" w:fill="CCEEFF"/>
          </w:tcPr>
          <w:p>
            <w:pPr>
              <w:spacing w:after="0" w:line="189" w:lineRule="exact"/>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ABOUT THIS PROSPECTUS SUPPLEMENT</w:t>
              </w:r>
            </w:hyperlink>
          </w:p>
        </w:tc>
        <w:tc>
          <w:tcPr>
            <w:tcW w:w="1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center"/>
              <w:ind w:right="160"/>
              <w:spacing w:after="0" w:line="189" w:lineRule="exact"/>
              <w:rPr>
                <w:rFonts w:ascii="Arial" w:cs="Arial" w:eastAsia="Arial" w:hAnsi="Arial"/>
                <w:sz w:val="18"/>
                <w:szCs w:val="18"/>
                <w:color w:val="0000FF"/>
                <w:w w:val="99"/>
              </w:rPr>
            </w:pPr>
            <w:r>
              <w:rPr>
                <w:rFonts w:ascii="Arial" w:cs="Arial" w:eastAsia="Arial" w:hAnsi="Arial"/>
                <w:sz w:val="18"/>
                <w:szCs w:val="18"/>
                <w:color w:val="0000FF"/>
                <w:w w:val="99"/>
              </w:rPr>
              <w:t>S-</w:t>
            </w:r>
            <w:hyperlink w:anchor="page2">
              <w:r>
                <w:rPr>
                  <w:rFonts w:ascii="Arial" w:cs="Arial" w:eastAsia="Arial" w:hAnsi="Arial"/>
                  <w:sz w:val="18"/>
                  <w:szCs w:val="18"/>
                  <w:color w:val="0000FF"/>
                  <w:w w:val="99"/>
                </w:rPr>
                <w:t>ii</w:t>
              </w:r>
            </w:hyperlink>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9420" w:type="dxa"/>
            <w:vAlign w:val="bottom"/>
            <w:tcBorders>
              <w:top w:val="single" w:sz="8" w:color="CCEEFF"/>
            </w:tcBorders>
            <w:gridSpan w:val="3"/>
          </w:tcPr>
          <w:p>
            <w:pPr>
              <w:spacing w:after="0" w:line="189"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PROSPECTUS SUPPLEMENT SUMMARY</w:t>
              </w:r>
            </w:hyperlink>
          </w:p>
        </w:tc>
        <w:tc>
          <w:tcPr>
            <w:tcW w:w="1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0000FF"/>
              <w:bottom w:val="single" w:sz="8" w:color="0000FF"/>
            </w:tcBorders>
          </w:tcPr>
          <w:p>
            <w:pPr>
              <w:jc w:val="center"/>
              <w:spacing w:after="0" w:line="189" w:lineRule="exact"/>
              <w:rPr>
                <w:rFonts w:ascii="Arial" w:cs="Arial" w:eastAsia="Arial" w:hAnsi="Arial"/>
                <w:sz w:val="18"/>
                <w:szCs w:val="18"/>
                <w:color w:val="0000FF"/>
                <w:w w:val="92"/>
              </w:rPr>
            </w:pPr>
            <w:r>
              <w:rPr>
                <w:rFonts w:ascii="Arial" w:cs="Arial" w:eastAsia="Arial" w:hAnsi="Arial"/>
                <w:sz w:val="18"/>
                <w:szCs w:val="18"/>
                <w:color w:val="0000FF"/>
                <w:w w:val="92"/>
              </w:rPr>
              <w:t>S-</w:t>
            </w:r>
            <w:hyperlink w:anchor="page3">
              <w:r>
                <w:rPr>
                  <w:rFonts w:ascii="Arial" w:cs="Arial" w:eastAsia="Arial" w:hAnsi="Arial"/>
                  <w:sz w:val="18"/>
                  <w:szCs w:val="18"/>
                  <w:color w:val="0000FF"/>
                  <w:w w:val="92"/>
                </w:rPr>
                <w:t>1</w:t>
              </w:r>
            </w:hyperlink>
          </w:p>
        </w:tc>
        <w:tc>
          <w:tcPr>
            <w:tcW w:w="200" w:type="dxa"/>
            <w:vAlign w:val="bottom"/>
            <w:tcBorders>
              <w:top w:val="single" w:sz="8" w:color="CCEEFF"/>
            </w:tcBorders>
            <w:gridSpan w:val="2"/>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9420" w:type="dxa"/>
            <w:vAlign w:val="bottom"/>
            <w:tcBorders>
              <w:bottom w:val="single" w:sz="8" w:color="CCEEFF"/>
            </w:tcBorders>
            <w:gridSpan w:val="3"/>
            <w:shd w:val="clear" w:color="auto" w:fill="CCEEFF"/>
          </w:tcPr>
          <w:p>
            <w:pPr>
              <w:spacing w:after="0" w:line="189" w:lineRule="exact"/>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RISK FACTORS</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0000FF"/>
            </w:tcBorders>
            <w:shd w:val="clear" w:color="auto" w:fill="CCEEFF"/>
          </w:tcPr>
          <w:p>
            <w:pPr>
              <w:jc w:val="center"/>
              <w:spacing w:after="0" w:line="189" w:lineRule="exact"/>
              <w:rPr>
                <w:rFonts w:ascii="Arial" w:cs="Arial" w:eastAsia="Arial" w:hAnsi="Arial"/>
                <w:sz w:val="18"/>
                <w:szCs w:val="18"/>
                <w:color w:val="0000FF"/>
                <w:w w:val="92"/>
              </w:rPr>
            </w:pPr>
            <w:r>
              <w:rPr>
                <w:rFonts w:ascii="Arial" w:cs="Arial" w:eastAsia="Arial" w:hAnsi="Arial"/>
                <w:sz w:val="18"/>
                <w:szCs w:val="18"/>
                <w:color w:val="0000FF"/>
                <w:w w:val="92"/>
              </w:rPr>
              <w:t>S-</w:t>
            </w:r>
            <w:hyperlink w:anchor="page10">
              <w:r>
                <w:rPr>
                  <w:rFonts w:ascii="Arial" w:cs="Arial" w:eastAsia="Arial" w:hAnsi="Arial"/>
                  <w:sz w:val="18"/>
                  <w:szCs w:val="18"/>
                  <w:color w:val="0000FF"/>
                  <w:w w:val="92"/>
                </w:rPr>
                <w:t>8</w:t>
              </w:r>
            </w:hyperlink>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9420" w:type="dxa"/>
            <w:vAlign w:val="bottom"/>
            <w:gridSpan w:val="3"/>
          </w:tcPr>
          <w:p>
            <w:pPr>
              <w:spacing w:after="0" w:line="189" w:lineRule="exact"/>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SPECIAL NOTE REGARDING FORWARD-LOOKING STATEMENTS</w:t>
              </w:r>
            </w:hyperlink>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gridSpan w:val="3"/>
          </w:tcPr>
          <w:p>
            <w:pPr>
              <w:jc w:val="center"/>
              <w:ind w:right="200"/>
              <w:spacing w:after="0" w:line="189" w:lineRule="exact"/>
              <w:rPr>
                <w:rFonts w:ascii="Arial" w:cs="Arial" w:eastAsia="Arial" w:hAnsi="Arial"/>
                <w:sz w:val="18"/>
                <w:szCs w:val="18"/>
                <w:color w:val="0000FF"/>
                <w:w w:val="92"/>
              </w:rPr>
            </w:pPr>
            <w:r>
              <w:rPr>
                <w:rFonts w:ascii="Arial" w:cs="Arial" w:eastAsia="Arial" w:hAnsi="Arial"/>
                <w:sz w:val="18"/>
                <w:szCs w:val="18"/>
                <w:color w:val="0000FF"/>
                <w:w w:val="92"/>
              </w:rPr>
              <w:t>S-</w:t>
            </w:r>
            <w:hyperlink w:anchor="page11">
              <w:r>
                <w:rPr>
                  <w:rFonts w:ascii="Arial" w:cs="Arial" w:eastAsia="Arial" w:hAnsi="Arial"/>
                  <w:sz w:val="18"/>
                  <w:szCs w:val="18"/>
                  <w:color w:val="0000FF"/>
                  <w:w w:val="92"/>
                </w:rPr>
                <w:t>9</w:t>
              </w:r>
            </w:hyperlink>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9420" w:type="dxa"/>
            <w:vAlign w:val="bottom"/>
            <w:tcBorders>
              <w:bottom w:val="single" w:sz="8" w:color="CCEEFF"/>
            </w:tcBorders>
            <w:gridSpan w:val="3"/>
            <w:shd w:val="clear" w:color="auto" w:fill="CCEEFF"/>
          </w:tcPr>
          <w:p>
            <w:pPr>
              <w:spacing w:after="0" w:line="189" w:lineRule="exact"/>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USE OF PROCEEDS</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13">
              <w:r>
                <w:rPr>
                  <w:rFonts w:ascii="Arial" w:cs="Arial" w:eastAsia="Arial" w:hAnsi="Arial"/>
                  <w:sz w:val="18"/>
                  <w:szCs w:val="18"/>
                  <w:color w:val="0000FF"/>
                  <w:w w:val="89"/>
                </w:rPr>
                <w:t>11</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9420" w:type="dxa"/>
            <w:vAlign w:val="bottom"/>
            <w:gridSpan w:val="3"/>
          </w:tcPr>
          <w:p>
            <w:pPr>
              <w:spacing w:after="0" w:line="189" w:lineRule="exact"/>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CAPITALIZATION</w:t>
              </w:r>
            </w:hyperlink>
          </w:p>
        </w:tc>
        <w:tc>
          <w:tcPr>
            <w:tcW w:w="160" w:type="dxa"/>
            <w:vAlign w:val="bottom"/>
          </w:tcPr>
          <w:p>
            <w:pPr>
              <w:spacing w:after="0"/>
              <w:rPr>
                <w:sz w:val="16"/>
                <w:szCs w:val="16"/>
                <w:color w:val="auto"/>
              </w:rPr>
            </w:pPr>
          </w:p>
        </w:tc>
        <w:tc>
          <w:tcPr>
            <w:tcW w:w="500" w:type="dxa"/>
            <w:vAlign w:val="bottom"/>
            <w:gridSpan w:val="4"/>
          </w:tcPr>
          <w:p>
            <w:pPr>
              <w:jc w:val="center"/>
              <w:ind w:right="160"/>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14">
              <w:r>
                <w:rPr>
                  <w:rFonts w:ascii="Arial" w:cs="Arial" w:eastAsia="Arial" w:hAnsi="Arial"/>
                  <w:sz w:val="18"/>
                  <w:szCs w:val="18"/>
                  <w:color w:val="0000FF"/>
                  <w:w w:val="89"/>
                </w:rPr>
                <w:t>12</w:t>
              </w:r>
            </w:hyperlink>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9420" w:type="dxa"/>
            <w:vAlign w:val="bottom"/>
            <w:tcBorders>
              <w:bottom w:val="single" w:sz="8" w:color="CCEEFF"/>
            </w:tcBorders>
            <w:gridSpan w:val="3"/>
            <w:shd w:val="clear" w:color="auto" w:fill="CCEEFF"/>
          </w:tcPr>
          <w:p>
            <w:pPr>
              <w:spacing w:after="0" w:line="189" w:lineRule="exact"/>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DILUTION</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15">
              <w:r>
                <w:rPr>
                  <w:rFonts w:ascii="Arial" w:cs="Arial" w:eastAsia="Arial" w:hAnsi="Arial"/>
                  <w:sz w:val="18"/>
                  <w:szCs w:val="18"/>
                  <w:color w:val="0000FF"/>
                  <w:w w:val="89"/>
                </w:rPr>
                <w:t>13</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9420" w:type="dxa"/>
            <w:vAlign w:val="bottom"/>
            <w:gridSpan w:val="3"/>
          </w:tcPr>
          <w:p>
            <w:pPr>
              <w:spacing w:after="0" w:line="189" w:lineRule="exact"/>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SELLING STOCKHOLDER</w:t>
              </w:r>
            </w:hyperlink>
          </w:p>
        </w:tc>
        <w:tc>
          <w:tcPr>
            <w:tcW w:w="160" w:type="dxa"/>
            <w:vAlign w:val="bottom"/>
          </w:tcPr>
          <w:p>
            <w:pPr>
              <w:spacing w:after="0"/>
              <w:rPr>
                <w:sz w:val="16"/>
                <w:szCs w:val="16"/>
                <w:color w:val="auto"/>
              </w:rPr>
            </w:pPr>
          </w:p>
        </w:tc>
        <w:tc>
          <w:tcPr>
            <w:tcW w:w="500" w:type="dxa"/>
            <w:vAlign w:val="bottom"/>
            <w:gridSpan w:val="4"/>
          </w:tcPr>
          <w:p>
            <w:pPr>
              <w:jc w:val="center"/>
              <w:ind w:right="160"/>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16">
              <w:r>
                <w:rPr>
                  <w:rFonts w:ascii="Arial" w:cs="Arial" w:eastAsia="Arial" w:hAnsi="Arial"/>
                  <w:sz w:val="18"/>
                  <w:szCs w:val="18"/>
                  <w:color w:val="0000FF"/>
                  <w:w w:val="89"/>
                </w:rPr>
                <w:t>14</w:t>
              </w:r>
            </w:hyperlink>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9420" w:type="dxa"/>
            <w:vAlign w:val="bottom"/>
            <w:tcBorders>
              <w:bottom w:val="single" w:sz="8" w:color="CCEEFF"/>
            </w:tcBorders>
            <w:gridSpan w:val="3"/>
            <w:shd w:val="clear" w:color="auto" w:fill="CCEEFF"/>
          </w:tcPr>
          <w:p>
            <w:pPr>
              <w:spacing w:after="0" w:line="189" w:lineRule="exact"/>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MATERIAL U.S. FEDERAL INCOME TAX CONSEQUENCES TO NON-U.S. HOLDERS OF OUR COMMON STOCK</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17">
              <w:r>
                <w:rPr>
                  <w:rFonts w:ascii="Arial" w:cs="Arial" w:eastAsia="Arial" w:hAnsi="Arial"/>
                  <w:sz w:val="18"/>
                  <w:szCs w:val="18"/>
                  <w:color w:val="0000FF"/>
                  <w:w w:val="89"/>
                </w:rPr>
                <w:t>15</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9420" w:type="dxa"/>
            <w:vAlign w:val="bottom"/>
            <w:gridSpan w:val="3"/>
          </w:tcPr>
          <w:p>
            <w:pPr>
              <w:spacing w:after="0" w:line="189" w:lineRule="exact"/>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UNDERWRITING</w:t>
              </w:r>
            </w:hyperlink>
          </w:p>
        </w:tc>
        <w:tc>
          <w:tcPr>
            <w:tcW w:w="160" w:type="dxa"/>
            <w:vAlign w:val="bottom"/>
          </w:tcPr>
          <w:p>
            <w:pPr>
              <w:spacing w:after="0"/>
              <w:rPr>
                <w:sz w:val="16"/>
                <w:szCs w:val="16"/>
                <w:color w:val="auto"/>
              </w:rPr>
            </w:pPr>
          </w:p>
        </w:tc>
        <w:tc>
          <w:tcPr>
            <w:tcW w:w="500" w:type="dxa"/>
            <w:vAlign w:val="bottom"/>
            <w:gridSpan w:val="4"/>
          </w:tcPr>
          <w:p>
            <w:pPr>
              <w:jc w:val="center"/>
              <w:ind w:right="160"/>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21">
              <w:r>
                <w:rPr>
                  <w:rFonts w:ascii="Arial" w:cs="Arial" w:eastAsia="Arial" w:hAnsi="Arial"/>
                  <w:sz w:val="18"/>
                  <w:szCs w:val="18"/>
                  <w:color w:val="0000FF"/>
                  <w:w w:val="89"/>
                </w:rPr>
                <w:t>19</w:t>
              </w:r>
            </w:hyperlink>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9420" w:type="dxa"/>
            <w:vAlign w:val="bottom"/>
            <w:tcBorders>
              <w:bottom w:val="single" w:sz="8" w:color="CCEEFF"/>
            </w:tcBorders>
            <w:gridSpan w:val="3"/>
            <w:shd w:val="clear" w:color="auto" w:fill="CCEEFF"/>
          </w:tcPr>
          <w:p>
            <w:pPr>
              <w:spacing w:after="0" w:line="189" w:lineRule="exact"/>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LEGAL MATTERS</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28">
              <w:r>
                <w:rPr>
                  <w:rFonts w:ascii="Arial" w:cs="Arial" w:eastAsia="Arial" w:hAnsi="Arial"/>
                  <w:sz w:val="18"/>
                  <w:szCs w:val="18"/>
                  <w:color w:val="0000FF"/>
                  <w:w w:val="89"/>
                </w:rPr>
                <w:t>25</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9420" w:type="dxa"/>
            <w:vAlign w:val="bottom"/>
            <w:gridSpan w:val="3"/>
          </w:tcPr>
          <w:p>
            <w:pPr>
              <w:spacing w:after="0" w:line="189" w:lineRule="exact"/>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EXPERTS</w:t>
              </w:r>
            </w:hyperlink>
          </w:p>
        </w:tc>
        <w:tc>
          <w:tcPr>
            <w:tcW w:w="160" w:type="dxa"/>
            <w:vAlign w:val="bottom"/>
          </w:tcPr>
          <w:p>
            <w:pPr>
              <w:spacing w:after="0"/>
              <w:rPr>
                <w:sz w:val="16"/>
                <w:szCs w:val="16"/>
                <w:color w:val="auto"/>
              </w:rPr>
            </w:pPr>
          </w:p>
        </w:tc>
        <w:tc>
          <w:tcPr>
            <w:tcW w:w="500" w:type="dxa"/>
            <w:vAlign w:val="bottom"/>
            <w:gridSpan w:val="4"/>
          </w:tcPr>
          <w:p>
            <w:pPr>
              <w:jc w:val="center"/>
              <w:ind w:right="160"/>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28">
              <w:r>
                <w:rPr>
                  <w:rFonts w:ascii="Arial" w:cs="Arial" w:eastAsia="Arial" w:hAnsi="Arial"/>
                  <w:sz w:val="18"/>
                  <w:szCs w:val="18"/>
                  <w:color w:val="0000FF"/>
                  <w:w w:val="89"/>
                </w:rPr>
                <w:t>25</w:t>
              </w:r>
            </w:hyperlink>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9420" w:type="dxa"/>
            <w:vAlign w:val="bottom"/>
            <w:tcBorders>
              <w:bottom w:val="single" w:sz="8" w:color="CCEEFF"/>
            </w:tcBorders>
            <w:gridSpan w:val="3"/>
            <w:shd w:val="clear" w:color="auto" w:fill="CCEEFF"/>
          </w:tcPr>
          <w:p>
            <w:pPr>
              <w:spacing w:after="0" w:line="189" w:lineRule="exact"/>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WHERE YOU CAN FIND ADDITIONAL INFORMATION</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28">
              <w:r>
                <w:rPr>
                  <w:rFonts w:ascii="Arial" w:cs="Arial" w:eastAsia="Arial" w:hAnsi="Arial"/>
                  <w:sz w:val="18"/>
                  <w:szCs w:val="18"/>
                  <w:color w:val="0000FF"/>
                  <w:w w:val="89"/>
                </w:rPr>
                <w:t>25</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9420" w:type="dxa"/>
            <w:vAlign w:val="bottom"/>
            <w:gridSpan w:val="3"/>
          </w:tcPr>
          <w:p>
            <w:pPr>
              <w:spacing w:after="0" w:line="189" w:lineRule="exact"/>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INCORPORATION OF CERTAIN INFORMATION BY REFERENCE</w:t>
              </w:r>
            </w:hyperlink>
          </w:p>
        </w:tc>
        <w:tc>
          <w:tcPr>
            <w:tcW w:w="160" w:type="dxa"/>
            <w:vAlign w:val="bottom"/>
          </w:tcPr>
          <w:p>
            <w:pPr>
              <w:spacing w:after="0"/>
              <w:rPr>
                <w:sz w:val="16"/>
                <w:szCs w:val="16"/>
                <w:color w:val="auto"/>
              </w:rPr>
            </w:pPr>
          </w:p>
        </w:tc>
        <w:tc>
          <w:tcPr>
            <w:tcW w:w="500" w:type="dxa"/>
            <w:vAlign w:val="bottom"/>
            <w:gridSpan w:val="4"/>
          </w:tcPr>
          <w:p>
            <w:pPr>
              <w:jc w:val="center"/>
              <w:ind w:right="160"/>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28">
              <w:r>
                <w:rPr>
                  <w:rFonts w:ascii="Arial" w:cs="Arial" w:eastAsia="Arial" w:hAnsi="Arial"/>
                  <w:sz w:val="18"/>
                  <w:szCs w:val="18"/>
                  <w:color w:val="0000FF"/>
                  <w:w w:val="89"/>
                </w:rPr>
                <w:t>26</w:t>
              </w:r>
            </w:hyperlink>
          </w:p>
        </w:tc>
        <w:tc>
          <w:tcPr>
            <w:tcW w:w="20" w:type="dxa"/>
            <w:vAlign w:val="bottom"/>
          </w:tcPr>
          <w:p>
            <w:pPr>
              <w:spacing w:after="0"/>
              <w:rPr>
                <w:sz w:val="16"/>
                <w:szCs w:val="16"/>
                <w:color w:val="auto"/>
              </w:rPr>
            </w:pPr>
          </w:p>
        </w:tc>
      </w:tr>
      <w:tr>
        <w:trPr>
          <w:trHeight w:val="601"/>
        </w:trPr>
        <w:tc>
          <w:tcPr>
            <w:tcW w:w="9460" w:type="dxa"/>
            <w:vAlign w:val="bottom"/>
            <w:gridSpan w:val="4"/>
          </w:tcPr>
          <w:p>
            <w:pPr>
              <w:ind w:left="20"/>
              <w:spacing w:after="0"/>
              <w:rPr>
                <w:sz w:val="20"/>
                <w:szCs w:val="20"/>
                <w:color w:val="auto"/>
              </w:rPr>
            </w:pPr>
            <w:r>
              <w:rPr>
                <w:rFonts w:ascii="Arial" w:cs="Arial" w:eastAsia="Arial" w:hAnsi="Arial"/>
                <w:sz w:val="18"/>
                <w:szCs w:val="18"/>
                <w:b w:val="1"/>
                <w:bCs w:val="1"/>
                <w:color w:val="auto"/>
              </w:rPr>
              <w:t>PROSPECTUS</w:t>
            </w:r>
          </w:p>
        </w:tc>
        <w:tc>
          <w:tcPr>
            <w:tcW w:w="1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946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ABOUT THIS PROSPECTUS</w:t>
              </w:r>
            </w:hyperlink>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center"/>
              <w:ind w:right="20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ii</w:t>
              </w:r>
            </w:hyperlink>
          </w:p>
        </w:tc>
        <w:tc>
          <w:tcPr>
            <w:tcW w:w="20" w:type="dxa"/>
            <w:vAlign w:val="bottom"/>
            <w:shd w:val="clear" w:color="auto" w:fill="CCEEFF"/>
          </w:tcPr>
          <w:p>
            <w:pPr>
              <w:spacing w:after="0"/>
              <w:rPr>
                <w:sz w:val="19"/>
                <w:szCs w:val="19"/>
                <w:color w:val="auto"/>
              </w:rPr>
            </w:pPr>
          </w:p>
        </w:tc>
      </w:tr>
      <w:tr>
        <w:trPr>
          <w:trHeight w:val="230"/>
        </w:trPr>
        <w:tc>
          <w:tcPr>
            <w:tcW w:w="9460" w:type="dxa"/>
            <w:vAlign w:val="bottom"/>
            <w:gridSpan w:val="4"/>
          </w:tcPr>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PROSPECTUS SUMMARY</w:t>
              </w:r>
            </w:hyperlink>
          </w:p>
        </w:tc>
        <w:tc>
          <w:tcPr>
            <w:tcW w:w="460" w:type="dxa"/>
            <w:vAlign w:val="bottom"/>
            <w:gridSpan w:val="3"/>
          </w:tcPr>
          <w:p>
            <w:pPr>
              <w:jc w:val="center"/>
              <w:ind w:left="130"/>
              <w:spacing w:after="0"/>
              <w:rPr>
                <w:rFonts w:ascii="Arial" w:cs="Arial" w:eastAsia="Arial" w:hAnsi="Arial"/>
                <w:sz w:val="18"/>
                <w:szCs w:val="18"/>
                <w:u w:val="single" w:color="auto"/>
                <w:color w:val="0000FF"/>
                <w:w w:val="79"/>
              </w:rPr>
            </w:pPr>
            <w:hyperlink w:anchor="page33">
              <w:r>
                <w:rPr>
                  <w:rFonts w:ascii="Arial" w:cs="Arial" w:eastAsia="Arial" w:hAnsi="Arial"/>
                  <w:sz w:val="18"/>
                  <w:szCs w:val="18"/>
                  <w:u w:val="single" w:color="auto"/>
                  <w:color w:val="0000FF"/>
                  <w:w w:val="79"/>
                </w:rPr>
                <w:t>1</w:t>
              </w:r>
            </w:hyperlink>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46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RISK FACTORS</w:t>
              </w:r>
            </w:hyperlink>
          </w:p>
        </w:tc>
        <w:tc>
          <w:tcPr>
            <w:tcW w:w="460" w:type="dxa"/>
            <w:vAlign w:val="bottom"/>
            <w:gridSpan w:val="3"/>
            <w:shd w:val="clear" w:color="auto" w:fill="CCEEFF"/>
          </w:tcPr>
          <w:p>
            <w:pPr>
              <w:jc w:val="center"/>
              <w:ind w:left="130"/>
              <w:spacing w:after="0"/>
              <w:rPr>
                <w:rFonts w:ascii="Arial" w:cs="Arial" w:eastAsia="Arial" w:hAnsi="Arial"/>
                <w:sz w:val="18"/>
                <w:szCs w:val="18"/>
                <w:u w:val="single" w:color="auto"/>
                <w:color w:val="0000FF"/>
                <w:w w:val="79"/>
              </w:rPr>
            </w:pPr>
            <w:hyperlink w:anchor="page37">
              <w:r>
                <w:rPr>
                  <w:rFonts w:ascii="Arial" w:cs="Arial" w:eastAsia="Arial" w:hAnsi="Arial"/>
                  <w:sz w:val="18"/>
                  <w:szCs w:val="18"/>
                  <w:u w:val="single" w:color="auto"/>
                  <w:color w:val="0000FF"/>
                  <w:w w:val="79"/>
                </w:rPr>
                <w:t>5</w:t>
              </w:r>
            </w:hyperlink>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9460" w:type="dxa"/>
            <w:vAlign w:val="bottom"/>
            <w:gridSpan w:val="4"/>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SPECIAL NOTE REGARDING FORWARD-LOOKING STATEMENTS</w:t>
              </w:r>
            </w:hyperlink>
          </w:p>
        </w:tc>
        <w:tc>
          <w:tcPr>
            <w:tcW w:w="460" w:type="dxa"/>
            <w:vAlign w:val="bottom"/>
            <w:gridSpan w:val="3"/>
          </w:tcPr>
          <w:p>
            <w:pPr>
              <w:jc w:val="center"/>
              <w:ind w:left="130"/>
              <w:spacing w:after="0"/>
              <w:rPr>
                <w:rFonts w:ascii="Arial" w:cs="Arial" w:eastAsia="Arial" w:hAnsi="Arial"/>
                <w:sz w:val="18"/>
                <w:szCs w:val="18"/>
                <w:u w:val="single" w:color="auto"/>
                <w:color w:val="0000FF"/>
                <w:w w:val="79"/>
              </w:rPr>
            </w:pPr>
            <w:hyperlink w:anchor="page38">
              <w:r>
                <w:rPr>
                  <w:rFonts w:ascii="Arial" w:cs="Arial" w:eastAsia="Arial" w:hAnsi="Arial"/>
                  <w:sz w:val="18"/>
                  <w:szCs w:val="18"/>
                  <w:u w:val="single" w:color="auto"/>
                  <w:color w:val="0000FF"/>
                  <w:w w:val="79"/>
                </w:rPr>
                <w:t>5</w:t>
              </w:r>
            </w:hyperlink>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946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USE OF PROCEEDS</w:t>
              </w:r>
            </w:hyperlink>
          </w:p>
        </w:tc>
        <w:tc>
          <w:tcPr>
            <w:tcW w:w="460" w:type="dxa"/>
            <w:vAlign w:val="bottom"/>
            <w:gridSpan w:val="3"/>
            <w:shd w:val="clear" w:color="auto" w:fill="CCEEFF"/>
          </w:tcPr>
          <w:p>
            <w:pPr>
              <w:jc w:val="center"/>
              <w:ind w:left="130"/>
              <w:spacing w:after="0"/>
              <w:rPr>
                <w:rFonts w:ascii="Arial" w:cs="Arial" w:eastAsia="Arial" w:hAnsi="Arial"/>
                <w:sz w:val="18"/>
                <w:szCs w:val="18"/>
                <w:u w:val="single" w:color="auto"/>
                <w:color w:val="0000FF"/>
                <w:w w:val="79"/>
              </w:rPr>
            </w:pPr>
            <w:hyperlink w:anchor="page39">
              <w:r>
                <w:rPr>
                  <w:rFonts w:ascii="Arial" w:cs="Arial" w:eastAsia="Arial" w:hAnsi="Arial"/>
                  <w:sz w:val="18"/>
                  <w:szCs w:val="18"/>
                  <w:u w:val="single" w:color="auto"/>
                  <w:color w:val="0000FF"/>
                  <w:w w:val="79"/>
                </w:rPr>
                <w:t>6</w:t>
              </w:r>
            </w:hyperlink>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9460" w:type="dxa"/>
            <w:vAlign w:val="bottom"/>
            <w:gridSpan w:val="4"/>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DESCRIPTION OF CAPITAL STOCK</w:t>
              </w:r>
            </w:hyperlink>
          </w:p>
        </w:tc>
        <w:tc>
          <w:tcPr>
            <w:tcW w:w="460" w:type="dxa"/>
            <w:vAlign w:val="bottom"/>
            <w:gridSpan w:val="3"/>
          </w:tcPr>
          <w:p>
            <w:pPr>
              <w:jc w:val="center"/>
              <w:ind w:left="130"/>
              <w:spacing w:after="0"/>
              <w:rPr>
                <w:rFonts w:ascii="Arial" w:cs="Arial" w:eastAsia="Arial" w:hAnsi="Arial"/>
                <w:sz w:val="18"/>
                <w:szCs w:val="18"/>
                <w:u w:val="single" w:color="auto"/>
                <w:color w:val="0000FF"/>
                <w:w w:val="79"/>
              </w:rPr>
            </w:pPr>
            <w:hyperlink w:anchor="page39">
              <w:r>
                <w:rPr>
                  <w:rFonts w:ascii="Arial" w:cs="Arial" w:eastAsia="Arial" w:hAnsi="Arial"/>
                  <w:sz w:val="18"/>
                  <w:szCs w:val="18"/>
                  <w:u w:val="single" w:color="auto"/>
                  <w:color w:val="0000FF"/>
                  <w:w w:val="79"/>
                </w:rPr>
                <w:t>7</w:t>
              </w:r>
            </w:hyperlink>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46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DESCRIPTION OF DEBT SECURITIES</w:t>
              </w:r>
            </w:hyperlink>
          </w:p>
        </w:tc>
        <w:tc>
          <w:tcPr>
            <w:tcW w:w="460" w:type="dxa"/>
            <w:vAlign w:val="bottom"/>
            <w:gridSpan w:val="3"/>
            <w:shd w:val="clear" w:color="auto" w:fill="CCEEFF"/>
          </w:tcPr>
          <w:p>
            <w:pPr>
              <w:jc w:val="center"/>
              <w:ind w:left="11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10</w:t>
              </w:r>
            </w:hyperlink>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9460" w:type="dxa"/>
            <w:vAlign w:val="bottom"/>
            <w:gridSpan w:val="4"/>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DESCRIPTION OF WARRANTS</w:t>
              </w:r>
            </w:hyperlink>
          </w:p>
        </w:tc>
        <w:tc>
          <w:tcPr>
            <w:tcW w:w="460" w:type="dxa"/>
            <w:vAlign w:val="bottom"/>
            <w:gridSpan w:val="3"/>
          </w:tcPr>
          <w:p>
            <w:pPr>
              <w:jc w:val="center"/>
              <w:ind w:left="11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15</w:t>
              </w:r>
            </w:hyperlink>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946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LEGAL OWNERSHIP SECURITIES</w:t>
              </w:r>
            </w:hyperlink>
          </w:p>
        </w:tc>
        <w:tc>
          <w:tcPr>
            <w:tcW w:w="460" w:type="dxa"/>
            <w:vAlign w:val="bottom"/>
            <w:gridSpan w:val="3"/>
            <w:shd w:val="clear" w:color="auto" w:fill="CCEEFF"/>
          </w:tcPr>
          <w:p>
            <w:pPr>
              <w:jc w:val="center"/>
              <w:ind w:left="110"/>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17</w:t>
              </w:r>
            </w:hyperlink>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9460" w:type="dxa"/>
            <w:vAlign w:val="bottom"/>
            <w:gridSpan w:val="4"/>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SELLING STOCKHOLDERS</w:t>
              </w:r>
            </w:hyperlink>
          </w:p>
        </w:tc>
        <w:tc>
          <w:tcPr>
            <w:tcW w:w="460" w:type="dxa"/>
            <w:vAlign w:val="bottom"/>
            <w:gridSpan w:val="3"/>
          </w:tcPr>
          <w:p>
            <w:pPr>
              <w:jc w:val="center"/>
              <w:ind w:left="110"/>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19</w:t>
              </w:r>
            </w:hyperlink>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46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PLAN OF DISTRIBUTION</w:t>
              </w:r>
            </w:hyperlink>
          </w:p>
        </w:tc>
        <w:tc>
          <w:tcPr>
            <w:tcW w:w="460" w:type="dxa"/>
            <w:vAlign w:val="bottom"/>
            <w:gridSpan w:val="3"/>
            <w:shd w:val="clear" w:color="auto" w:fill="CCEEFF"/>
          </w:tcPr>
          <w:p>
            <w:pPr>
              <w:jc w:val="center"/>
              <w:ind w:left="110"/>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20</w:t>
              </w:r>
            </w:hyperlink>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9460" w:type="dxa"/>
            <w:vAlign w:val="bottom"/>
            <w:gridSpan w:val="4"/>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LEGAL MATTERS</w:t>
              </w:r>
            </w:hyperlink>
          </w:p>
        </w:tc>
        <w:tc>
          <w:tcPr>
            <w:tcW w:w="460" w:type="dxa"/>
            <w:vAlign w:val="bottom"/>
            <w:gridSpan w:val="3"/>
          </w:tcPr>
          <w:p>
            <w:pPr>
              <w:jc w:val="center"/>
              <w:ind w:left="110"/>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21</w:t>
              </w:r>
            </w:hyperlink>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946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EXPERTS</w:t>
              </w:r>
            </w:hyperlink>
          </w:p>
        </w:tc>
        <w:tc>
          <w:tcPr>
            <w:tcW w:w="460" w:type="dxa"/>
            <w:vAlign w:val="bottom"/>
            <w:gridSpan w:val="3"/>
            <w:shd w:val="clear" w:color="auto" w:fill="CCEEFF"/>
          </w:tcPr>
          <w:p>
            <w:pPr>
              <w:jc w:val="center"/>
              <w:ind w:left="110"/>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21</w:t>
              </w:r>
            </w:hyperlink>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9460" w:type="dxa"/>
            <w:vAlign w:val="bottom"/>
            <w:gridSpan w:val="4"/>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WHERE YOU CAN FIND ADDITIONAL INFORMATION</w:t>
              </w:r>
            </w:hyperlink>
          </w:p>
        </w:tc>
        <w:tc>
          <w:tcPr>
            <w:tcW w:w="460" w:type="dxa"/>
            <w:vAlign w:val="bottom"/>
            <w:gridSpan w:val="3"/>
          </w:tcPr>
          <w:p>
            <w:pPr>
              <w:jc w:val="center"/>
              <w:ind w:left="110"/>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21</w:t>
              </w:r>
            </w:hyperlink>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46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INCORPORATION OF CERTAIN INFORMATION BY REFERENCE</w:t>
              </w:r>
            </w:hyperlink>
          </w:p>
        </w:tc>
        <w:tc>
          <w:tcPr>
            <w:tcW w:w="460" w:type="dxa"/>
            <w:vAlign w:val="bottom"/>
            <w:gridSpan w:val="3"/>
            <w:shd w:val="clear" w:color="auto" w:fill="CCEEFF"/>
          </w:tcPr>
          <w:p>
            <w:pPr>
              <w:jc w:val="center"/>
              <w:ind w:left="110"/>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21</w:t>
              </w:r>
            </w:hyperlink>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0140"/>
          </w:cols>
          <w:pgMar w:left="880" w:top="958"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prospectus supplement and the accompanying prospectus are part of a “shelf” registration statement on Form S-3 (File No. 333-235714) that we initially filed with the Securities and Exchange Commission (SEC) on December 27, 2019, and that was declared effective by the SEC on January 2, 2020. This document is in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and the selling stockholder have not, and the underwriters have not, authorized anyone to provide any information other than that contained or incorporated by reference in this prospectus supplement, the accompanying prospectus or in any free writing prospectus that we have authorized for use in connection with this offering. We, the selling stockholder and the underwriters take no responsibility for, and can provide no assurance as to the reliability of, any other information that others may give you. The information contained in this prospectus supplement, the accompanying prospectus, any free writing prospectus that we have authorized for use in connection with this offering, including the documents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the accompanying prospectus and any free writing prospectus that we have authorized for use in connection with this offering, including the documents incorporated by reference herein and therein, in making your investment decision. You should also read and consider the information in the documents to which we have referred you in the sections entitled “Where You Can Find Additional Information” and “Incorporation of Certain Information by Reference” in this prospectus supplement and in the accompanying prospectus.</w:t>
      </w:r>
    </w:p>
    <w:p>
      <w:pPr>
        <w:spacing w:after="0" w:line="18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the selling stockholder and the underwriters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otherwise indicated herein or as the context otherwise requires, references in this prospectus supplement and accompanying prospectus to “SI-BONE,” “the company,” “we,” “us,” “our” and similar references refer to SI-BONE, Inc., a corporation under the laws of the State of Delaware, and its wholly owned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Unless the context indicates otherwise, as used in this prospectus supplement and accompanying prospectus, the terms “SI-BONE” and “iFuse Implant System” or “iFuse” and other iFuse-formative trademarks, as well as other trademarks or service marks of SI-BONE appearing in this prospectus supplement and accompanying prospectus, are the property of SI-BONE. This prospectus supplement and accompanying prospectus contain additional trade names, trademarks, and service marks of ours and of other companies.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40"/>
          </w:cols>
          <w:pgMar w:left="320" w:top="94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7539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t>PROSPECTUS SUPPLEMENT SUMMARY</w:t>
      </w:r>
    </w:p>
    <w:p>
      <w:pPr>
        <w:spacing w:after="0" w:line="2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This summary highlights selected information appearing elsewhere in this prospectus supplement or accompanying prospectus or incorporated by reference in this prospectus supplement and accompanying prospectus, and does not contain all of the information that you need to consider in making your investment decision. You should carefully read the entire prospectus supplement, accompanying prospectus and any related free writing prospectus, including the risks of investing in our securities discussed under the heading “Risk Factors” contained in this prospectus supplement and any related free writing prospectus, and under similar headings in the other documents that are incorporated by reference into this prospectus supplement and accompanying prospectus. You should also carefully read the information incorporated by reference into this prospectus supplement and accompanying prospectus, including our financial statements, and the exhibits to the registration statement of which this prospectus supplement and accompanying prospectus are a part.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are a medical device company focused on the development of implantable devices used in the surgical treatment of the sacropelvic anatomy. We have pioneered a proprietary minimally invasive surgical implant system, which we call iFuse, to fuse the sacroiliac joint and treat sacroiliac joint dysfunction, which often causes severe lower back pain. Since we introduced iFuse in 2009, as of September 30, 2020, more than 50,000 procedures have been performed by over 2,200 surgeons in the United States. and 35 other countries.</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sacroiliac joint, which is the largest joint in the human body, can cause debilitating pain. Clinical studies have shown that 15% to 30% of all chronic lower back pain is associated with the sacroiliac joint. Studies have also shown that the disability that results from disease of the sacroiliac joint is comparable to the disability associated with a number of other serious orthopedic conditions, such as knee and hip arthritis and degenerative disc disease, each of which has surgical solutions where an implant is used and a multi-billion dollar market exists. We believe that the United States market opportunity for sacroiliac joint fusion may be as large as 279,000 procedures per year.</w:t>
      </w:r>
    </w:p>
    <w:p>
      <w:pPr>
        <w:spacing w:after="0" w:line="107"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In 2019 and 2018, we generated revenue of $67.3 million and $55.4 million, respectively, a growth rate of 22%, and incurred net losses of $38.4 million and $17.5 million, respectively. Our gross margins were 90% and 91% for 2019 and 2018, respectively. For the six months ended June 30, 2020 and 2019, we generated revenue of $30.9 million and $31.3 million, respectively, and incurred net losses of $25.2 million and $18.0 million, respectively. Our gross margins were 87% and 90% for the six months ended June 30, 2020 and 2019,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62"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Our iFuse Implant System includes a series of patented triangular titanium implants and the instruments we have developed to enable surgeons to perform the procedure. Surgeons place our implants across the sacroiliac joint, either from a lateral approach through the iliac, or hip, bones into the sacrum, or from a posterior approach through the sacrum and into the iliac bones. Surgeons typically use three iFuse implants to fuse a sacroiliac joint in the lateral procedure, and one iFuse implant in each sacroiliac joint, typically alongside another device crossing the joint and joining to the spinal construct.</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iFuse implants have a triangular cross section that resists twisting or rotation of the implant within the bone within which it is implanted, regardless of the surgical approach and technique used to place the implants. The triangular shape of our implants helps stabilize the joint, and the implants’ porous surface enables biologic fixation of the bone onto the implant, or bony ongrowth and ingrowth, that results in fusion. We hold issued patents on implants with cross-sections of many non-round shapes, including the triangular shape of the iFuse implant. We also hold issued patents for the method of placing those implants across the sacroiliac joint, as well as other parts of the spine and pelvis. Each titanium iFuse implant has at least three times the strength of a typical eight-millimeter cannulated surgical screw, and the large porous surface area of our implants allows for bony ingrowth.</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introduced our second-generation implant, the iFuse-3D, in 2017. This patented titanium implant combines the triangular cross-section of the iFuse implant with the proprietary 3D-printed porous surface and fenestrated design. This design also allows the surgeon to fill the implant with ground-up bone before implantation, which some surgeons believe accelerates bone through-growth and biological fixation. iFuse-3D implants have shown positive bony ingrowth, ongrowth and through-growth in cell culture and animal studies, whether or not ground-up bone is used. We hold issued patents on 3D-printed triangular implants with fenestrations, or holes, which allow bone to grow into and through the implants.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400"/>
          </w:cols>
          <w:pgMar w:left="740" w:top="1417" w:right="759" w:bottom="1440" w:gutter="0" w:footer="0" w:header="0"/>
        </w:sectPr>
      </w:pPr>
    </w:p>
    <w:bookmarkStart w:id="4" w:name="page5"/>
    <w:bookmarkEnd w:id="4"/>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919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8919210"/>
                    </a:xfrm>
                    <a:prstGeom prst="rect">
                      <a:avLst/>
                    </a:prstGeom>
                    <a:noFill/>
                  </pic:spPr>
                </pic:pic>
              </a:graphicData>
            </a:graphic>
          </wp:anchor>
        </w:drawing>
      </w:r>
    </w:p>
    <w:p>
      <w:pPr>
        <w:jc w:val="both"/>
        <w:ind w:firstLine="405"/>
        <w:spacing w:after="0" w:line="255" w:lineRule="auto"/>
        <w:rPr>
          <w:sz w:val="20"/>
          <w:szCs w:val="20"/>
          <w:color w:val="auto"/>
        </w:rPr>
      </w:pPr>
      <w:r>
        <w:rPr>
          <w:rFonts w:ascii="Arial" w:cs="Arial" w:eastAsia="Arial" w:hAnsi="Arial"/>
          <w:sz w:val="18"/>
          <w:szCs w:val="18"/>
          <w:color w:val="auto"/>
        </w:rPr>
        <w:t>In April 2019, we received clearance from the United States Food and Drug Administration, or FDA, to promote the use of our iFuse Implant System for fusion of the sacroiliac joint in conjunction with multi-level spinal fusion procedures to provide further stabilization and immobilization of the sacroiliac joint. For this indication, surgeons typically use the posterior approach, through the sacrum and into the iliac bones, which we call the Bedrock technique. We received CE marking and began marketing our iFuse Implant System for this indication and surgical technique in Europe in December 2019. In March 2020, we received FDA 510(k) clearance for an expanded indication for the iFuse Implant System to support our trauma program.</w:t>
      </w:r>
    </w:p>
    <w:p>
      <w:pPr>
        <w:spacing w:after="0" w:line="1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market our products primarily with a direct sales force as well as a number of distributors in the United States, and with a combination of a direct sales force and distributors in other countries. The cost of a reusable instrument set used in an iFuse procedure is approximately $8,000, which is less than the average total selling price of the three iFuse implants typically used in a minimally invasive sacroiliac fusion. An instrument set typically has a useful life of 3 years before the instruments are no longer reusable and in the six months ended June 30, 2020, our gross margins were 87%, creating a capital efficient model.</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business objective is to maintain and enhance our leadership position in the area of sacropelvic surgical solutions by providing clinically proven products and procedure-related training to promote relief of pain and disability in affected patients. To accomplish this objective, we intend to grow our sales force, increase surgeon activity and training, raise patient awareness, expand product offerings, and leverage broad coverage and reimbursement.</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Grow our sales force</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made significant investments in our sales force since our initial public offering in 2018. As of September 30, 2020, our United States sales force consisted of 59 territory sales managers and 57 clinical support specialists directly employed by us and 39 third-party distributors, compared to 53 territory sales managers and 53 clinical support specialists directly employed by us and 34 third-party distributors as of September 30, 2019. As of September 30, 2020, our international sales force consisted of 20 sales representatives directly employed by us and 31 third-party distributors, compared to 19 sales representatives directly employed by us and 28 third-party distributors as of September 30, 2019.</w:t>
      </w:r>
    </w:p>
    <w:p>
      <w:pPr>
        <w:spacing w:after="0" w:line="21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intend to continue to grow our specialized sales force to foster deep relationships with surgeons and drive revenue growth. Our territory sales managers are senior representatives who educate surgeons on the sacroiliac joint as a primary cause of lower back pain. The territory sales manager identifies new surgeons who are interested in learning more about the sacroiliac joint and the iFuse procedure and/or the Bedrock technique. The sales representative works closely with our medical affairs team to train surgeons on the anatomy, diagnosis, and surgical technique. Once trained, the sales representative works with the surgeon to incorporate into their practices the diagnosis of sacroiliac joint pain and the iFuse procedure to treat patients suffering from sacroiliac joint pain. Our clinical support specialists assist the territory sales managers to identify surgeons interested in training. The clinical support specialists also regularly cover cases, bringing our implants and instrument trays into the operating room for use by surgeons.</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Increase surgeon activity and training</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medical affairs team works closely with our sales team to increase surgeon activity and training. Surgeon activity includes both the number of surgeons performing iFuse procedures as well as the number of procedures performed per surgeon. As of September 30, 2020 and 2019, in the United States, more than 1,500 surgeons and 1,400 surgeons, respectively, had been trained on iFuse and treated at least one patient. Outside the United States, as of both September 30, 2020 and 2019, more than 600 surgeons, have been trained on iFuse and have treated at least one patient. We will continue to pursue the remainder of the approximately 7,500 target surgeons in the United States, as well as international surgeons for training in the future.</w:t>
      </w:r>
    </w:p>
    <w:p>
      <w:pPr>
        <w:spacing w:after="0" w:line="21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believe that broader acceptance of the sacroiliac joint as a pain generator by leading surgeons may result in more widespread awareness of sacroiliac joint dysfunction and its role in causing certain types of chronic low back pain. Our ability to engage with surgeons has been impeded by COVID-19. However, we continue pursuing engagement and activities with surgeons through our virtual education series. The COVID-19 outbreak also challenged our traditional method of hands-on cadaveric and dry-lab training. Therefore, in addition to utilizing a virtual education series for surgeons and mid-level practitioners for training activities, we began using a portable, radiation free, haptics and computer-based simulator for training purposes in July 2020. The advantage of this simulator system is that the surgeon can be trained locally in 2 to 3 hours and does not need to travel to a cadaver lab, which sometimes requiring being away for as much as a day and a half. The system uses the same instruments as those that are used on surgery and can current train surgeons to perform SIJ injections, iFuse MIS sacroiliac joint fusions as well as Bedrock technique. We plan to expand the use of simulators for training purposes both in the United States and internationally. We believe this type of training will allow us to reach more surgeons cost effectively and efficiently. We will focus on increasing the number of procedures performed by active iFuse surgeons, converting recently trained surgeons to first case, and converting inactive surgeons to active surgeons.</w:t>
      </w:r>
    </w:p>
    <w:p>
      <w:pPr>
        <w:sectPr>
          <w:pgSz w:w="11900" w:h="16838" w:orient="portrait"/>
          <w:cols w:equalWidth="0" w:num="1">
            <w:col w:w="10400"/>
          </w:cols>
          <w:pgMar w:left="740" w:top="1440" w:right="759" w:bottom="8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S-2</w:t>
      </w:r>
    </w:p>
    <w:p>
      <w:pPr>
        <w:sectPr>
          <w:pgSz w:w="11900" w:h="16838" w:orient="portrait"/>
          <w:cols w:equalWidth="0" w:num="1">
            <w:col w:w="10400"/>
          </w:cols>
          <w:pgMar w:left="740" w:top="1440" w:right="759" w:bottom="883" w:gutter="0" w:footer="0" w:header="0"/>
          <w:type w:val="continuous"/>
        </w:sectPr>
      </w:pPr>
    </w:p>
    <w:bookmarkStart w:id="5" w:name="page6"/>
    <w:bookmarkEnd w:id="5"/>
    <w:p>
      <w:pPr>
        <w:ind w:left="40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490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490585"/>
                    </a:xfrm>
                    <a:prstGeom prst="rect">
                      <a:avLst/>
                    </a:prstGeom>
                    <a:noFill/>
                  </pic:spPr>
                </pic:pic>
              </a:graphicData>
            </a:graphic>
          </wp:anchor>
        </w:drawing>
        <w:t>Raise patient awareness</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Over 30 million American adults are estimated to have chronic lower back pain. It is often difficult to identify the source of the pain and traditional methods of spine surgery do not have high success rates. We believe it is essential to raise awareness among lower back pain sufferers that their symptoms may be the result of sacroiliac joint disorders and that minimally invasive surgical treatments are available. We have implemented targeted marketing, education and direct outreach programs. We continually update our social media initiatives and post content to educate and engage patients who may be candidates for the iFuse procedure. We plan to make additional investments to further increase patient awareness, primarily through digital and broadcast marketing, including TV and radio ads, paid search, display advertising, social media and public relations.</w:t>
      </w:r>
    </w:p>
    <w:p>
      <w:pPr>
        <w:spacing w:after="0" w:line="22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Expand product offerings</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We are leveraging our position as a pioneer in the sacropelvic surgical solutions space to develop new products that satisfy significant unmet clinical needs. We conduct training courses in several academic centers in the United States and engage key opinion leaders to support our development efforts. Our Bedrock technique is used in the treatment of adult spinal deformity. We introduced this technique in June 2019 for use in the fusion of the sacroiliac joints in conjunction with a multi-segment spinal fusion, or long construct, procedure. The Bedrock technique utilizes our proprietary iFuse implants, with one implant placed across each sacroiliac joint (for a total of two implants per case) using a posterior approach, through the sacrum, across the sacroiliac joint, and into the ilium. The Bedrock technique differs from our traditional iFuse procedure, whereby three iFuse implants are placed across one sacroiliac joint via a lateral transarticular approach through the ilium and into the sacrum. The Bedrock technique is performed to increase stability at the base of a long construct. Biomechanical testing has shown that iFuse implants placed in this position reduce sacroiliac joint motion by approximately 30% in conjunction with a long construct. Interest in the Bedrock technique among deformity surgeons, including many key opinion leaders, has provided our sales representatives with access to important academic medical centers in the United States This enables our representatives to train a broader group of spine surgeons, including residents and fellows at these centers, on both the Bedrock technique and minimally invasive sacroiliac fusion. Since the launch of Bedrock, we have conducted more than 45 training courses at academic centers in the United States, where more than 200 surgical residents and fellows have been trained. We received CE mark clearance for the promotion of the Bedrock technique in Europe and we launched the promotion of this technique in select European markets.</w:t>
      </w:r>
    </w:p>
    <w:p>
      <w:pPr>
        <w:spacing w:after="0" w:line="19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Frequently sacroiliac joint patients are aging and may have experienced one or more of the following events that have contributed to disruption and/or degeneration of the sacroiliac joint: falls, previous lumbar surgery, automobile accidents, and pregnancy. In patients with traumatic injury to the sacroiliac joint, surgeons are increasingly using iFuse for treatment closer in time to the initial traumatic injury, rather than using it to treat chronic sacroiliac joint dysfunction and the pain that it causes as the disease and pain progresses. We recently received FDA clearance for expanded indications for the use of iFuse in the treatment of pelvic trauma, including for stabilization of the sacroiliac joint in conjunction with the treatment of fractures involving the sacroiliac joint. We continue to invest in the development of products and techniques to help surgeons improve the treatment of these patients, and anticipate continuing to pursue products and indications that can be used to treat pelvic trauma patients throughout their injury recovery.</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Leverage broad coverage and reimbursement</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gained broad coverage and reimbursement for our products through our efforts with United States payors and government agencies. This includes both the number of covered lives and the Medicare physician fee for surgeons performing minimally invasive sacroiliac fusion in the United States</w:t>
      </w:r>
    </w:p>
    <w:p>
      <w:pPr>
        <w:spacing w:after="0" w:line="211" w:lineRule="exact"/>
        <w:rPr>
          <w:sz w:val="20"/>
          <w:szCs w:val="20"/>
          <w:color w:val="auto"/>
        </w:rPr>
      </w:pPr>
    </w:p>
    <w:p>
      <w:pPr>
        <w:jc w:val="both"/>
        <w:ind w:left="640" w:hanging="314"/>
        <w:spacing w:after="0" w:line="268" w:lineRule="auto"/>
        <w:tabs>
          <w:tab w:leader="none" w:pos="635"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Covered lives </w:t>
      </w:r>
      <w:r>
        <w:rPr>
          <w:rFonts w:ascii="Arial" w:cs="Arial" w:eastAsia="Arial" w:hAnsi="Arial"/>
          <w:sz w:val="17"/>
          <w:szCs w:val="17"/>
          <w:color w:val="auto"/>
        </w:rPr>
        <w:t>- As of September 30, 2020, of the United States payors covering 298.9 million lives that reimburse for iFuse, 183.1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lives are covered by private payors. This includes lives covered by Aetna, which adopted a new coverage policy for minimally invasive arthrodesis of the sacroiliac joint for sacroiliac joint syndrome and sacroiliac joint pain, effective May 28, 2020. Aetna is the third largest commercial health plan in the United States with over 22 million members. Currently, covered lives counts do not include Anthem, which covers minimally invasive sacroiliac fusion procedures in the event of pelvic girdle trauma only. On October 1, 2020, Anthem published an update to its sacroiliac joint fusion medical policy. This update retained policy language limiting indications for iFuse to cases involving a history of pelvic trauma, similar to earlier versions of the policy, and did not reflect the feedback from specialists that Anthem received in mid-2020, or other substantive updates to the evidence base. Anthem has communicated to us that this feedback and additional evidence may be taken into consideration in future policy updates in 2021. Compared to the prior year period, as of September 30, 2019, United States payors covering 268.0 million lives reimbursed for iFuse, of which 133.0 million were covered by private payors. We track the number of United States covered lives, or individuals whose healthcare is paid for by a private commercial or governmental payor that routinely reimburses for minimally invasive sacroiliac fusion, as a proxy for availability of the procedure within the United States healthcare payment system.</w:t>
      </w:r>
    </w:p>
    <w:p>
      <w:pPr>
        <w:sectPr>
          <w:pgSz w:w="11900" w:h="16838" w:orient="portrait"/>
          <w:cols w:equalWidth="0" w:num="1">
            <w:col w:w="10400"/>
          </w:cols>
          <w:pgMar w:left="740" w:top="1367"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0400"/>
          </w:cols>
          <w:pgMar w:left="740" w:top="1367" w:right="759" w:bottom="1440" w:gutter="0" w:footer="0" w:header="0"/>
          <w:type w:val="continuous"/>
        </w:sectPr>
      </w:pPr>
    </w:p>
    <w:bookmarkStart w:id="6" w:name="page7"/>
    <w:bookmarkEnd w:id="6"/>
    <w:p>
      <w:pPr>
        <w:jc w:val="both"/>
        <w:ind w:left="640" w:hanging="314"/>
        <w:spacing w:after="0" w:line="255"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7496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496175"/>
                    </a:xfrm>
                    <a:prstGeom prst="rect">
                      <a:avLst/>
                    </a:prstGeom>
                    <a:noFill/>
                  </pic:spPr>
                </pic:pic>
              </a:graphicData>
            </a:graphic>
          </wp:anchor>
        </w:drawing>
        <w:t xml:space="preserve">Exclusive coverage policies </w:t>
      </w:r>
      <w:r>
        <w:rPr>
          <w:rFonts w:ascii="Arial" w:cs="Arial" w:eastAsia="Arial" w:hAnsi="Arial"/>
          <w:sz w:val="18"/>
          <w:szCs w:val="18"/>
          <w:color w:val="auto"/>
        </w:rPr>
        <w:t>- As of September 30, 2020, 35 United States payors have issued positive coverage policies exclusive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iFuse for sacroiliac joint fusion based on clinical evidence, compared to 34 exclusive coverage policies as of September 30, 2019. These payors have based their exclusive coverage decisions on the quality of our data. Further, as of September 30, 2020 and 2019, there were 22 and 18, respectively, United States payors that cover iFuse and other products for sacroiliac joint fusion. We believe that the full impact of each coverage decision grows over time as surgeons gain confidence that they will receive reimbursement for the majority of their diagnosed patients.</w:t>
      </w:r>
    </w:p>
    <w:p>
      <w:pPr>
        <w:spacing w:after="0" w:line="219" w:lineRule="exact"/>
        <w:rPr>
          <w:rFonts w:ascii="Arial" w:cs="Arial" w:eastAsia="Arial" w:hAnsi="Arial"/>
          <w:sz w:val="18"/>
          <w:szCs w:val="18"/>
          <w:color w:val="auto"/>
        </w:rPr>
      </w:pPr>
    </w:p>
    <w:p>
      <w:pPr>
        <w:jc w:val="both"/>
        <w:ind w:left="640" w:hanging="314"/>
        <w:spacing w:after="0" w:line="255"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Surgeon payment </w:t>
      </w:r>
      <w:r>
        <w:rPr>
          <w:rFonts w:ascii="Arial" w:cs="Arial" w:eastAsia="Arial" w:hAnsi="Arial"/>
          <w:sz w:val="18"/>
          <w:szCs w:val="18"/>
          <w:color w:val="auto"/>
        </w:rPr>
        <w:t>- The Center for Medicare &amp; Medicaid Services announced in November 2019 that the United States 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physician fee reimbursement for minimally invasive sacroiliac joint fusion increased from $720, effective January 1, 2019 to $915, effective January 1, 2020. Many private payors set their payment amounts with reference to the Medicare payment, often approximately 10% to 33% higher than the Medicare payment for a procedure. We believe that expanded coverage for minimally invasive sacroiliac fusion and the increase in physician reimbursement for the procedure may enable surgeons to treat more patients diagnosed with sacroiliac joint dysfunction with iFuse.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Set forth below are preliminary expectations for the three and nine months ended September 30, 2020 compared to actual financial results for the three and nine months ended September 30, 2019. We have provided a range for preliminary revenue results because our financial closing procedures for the three months ended September 30, 2020 are not yet complete. We believe that the estimated revenue is important to an investor’s understanding of our performance, notwithstanding that we are not yet able to provide estimated loss from operations or net loss data. These preliminary results represent our estimates only based on currently available information and do not present all necessary information for an understanding of our financial condition as of September 30, 2020 or our results of operations for the three and nine months ended September 30, 2020. As we complete our interim financial close process and finalize our unaudited financial statements for the three and nine months ended September 30, 2020, we may be required to make significant judgments in a number of areas, including revenue, inventory and stock-based compensation.</w:t>
      </w:r>
    </w:p>
    <w:p>
      <w:pPr>
        <w:spacing w:after="0" w:line="12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preliminary financial information, included in this prospectus supplement, has been prepared by and is the responsibility of our management. PricewaterhouseCoopers LLP, our independent registered public accounting firm, has not audited, reviewed, compiled or applied agreed-upon procedures with respect to this preliminary financial data. Accordingly, PricewaterhouseCoopers LLP does not express an opinion or any other form of assurance with respect thereto. We expect to complete our unaudited condensed consolidated financial statements for the three and nine months ended September 30, 2020 subsequent to the completion of this offering. It is possible that we may identify items that require us to make adjustments to the financial information set forth below and those changes could be material. We do not intend to update the financial information set forth below prior to completion of our interim unaudited financial statements. Accordingly, undue reliance should not be placed on these preliminary estimates. These preliminary estimates are not necessarily indicative of any future period and should be read together with “Risk Factors” and “Special Note Regarding Forward-Looking Statements” included elsewhere in this prospectus supplement and accompanying prospectus.</w:t>
      </w:r>
    </w:p>
    <w:p>
      <w:pPr>
        <w:spacing w:after="0" w:line="1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Preliminary and unaudited revenue for the three months ended September 30, 2020 is expected to be in the range of $20.1-$20.4 million, reflecting growth of 24%-26% compared to the prior year period. United States revenue is expected to be in the range of $18.7-$18.9 million, reflecting growth of 26%-27% compared to the prior year period. International revenue is expected to be in the range of $1.4-$1.5 million. Preliminary and unaudited revenue for the nine months ended September 30, 2020 is expected to be in the range of $51.0-$51.3 million, reflecting growth of approximately 7%-8% over the prior year period. United States revenue is expected to be in the range of $47.2-$47.4 million, reflecting growth of approximately 9% compared to the prior year period. International revenue is expected to be in the range of $3.8-$3.9 million.</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three months ended September 30, 2020, we expect to report incremental investment in several expense items that are not comparable to the three months ended September 30, 2019. Operating expenses include additional investments in sales force hiring, new surgeon training, new product development, higher stock compensation expenses and ongoing costs associated with being a public company. As a result, we expect our loss from operations for the three and nine months ended September 30, 2020 to be higher than the three and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400"/>
          </w:cols>
          <w:pgMar w:left="740" w:top="1367" w:right="759" w:bottom="1440" w:gutter="0" w:footer="0" w:header="0"/>
        </w:sectPr>
      </w:pPr>
    </w:p>
    <w:bookmarkStart w:id="7" w:name="page8"/>
    <w:bookmarkEnd w:id="7"/>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002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0022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5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COVID-19 pandemic and the resulting economic downturn are affecting business conditions in our industry. The overall demand for our products decreased as a result of the pandemic, which impacted our operating results for the nine months ended September 30, 2020. Many state and local governments in the United States and foreign governments issued orders that temporarily precluded elective procedures in order to conserve scarce health system resources in view of the pandemic. The decrease in hospital admission rates and elective surgeries decreases the demand for elective procedures using our iFuse implants. Prior to the COVID-19 pandemic, we experienced case growth trends consistent with those experienced in the fourth quarter of 2019. Beginning in mid-March 2020 through April 2020, we saw a substantial worldwide reduction in global case volumes due to deferral of elective surgeries as a result of the COVID-19 pandemic in the United States and across Europe. In May 2020, case volumes began to recover as hospitals and medical centers across the United States and Europe resumed performance of elective surgical procedures.</w:t>
      </w:r>
    </w:p>
    <w:p>
      <w:pPr>
        <w:spacing w:after="0" w:line="181"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timing, extent and continuation of any further increase in procedures, and any corresponding increase in sales of our products, and whether there could be a future decrease in the current level of procedures as a result of the COVID-19 pandemic or otherwise, remain uncertain and are subject to a variety of factors, including:</w:t>
      </w:r>
    </w:p>
    <w:p>
      <w:pPr>
        <w:spacing w:after="0" w:line="182" w:lineRule="exact"/>
        <w:rPr>
          <w:sz w:val="20"/>
          <w:szCs w:val="20"/>
          <w:color w:val="auto"/>
        </w:rPr>
      </w:pPr>
    </w:p>
    <w:p>
      <w:pPr>
        <w:ind w:left="640" w:hanging="314"/>
        <w:spacing w:after="0" w:line="26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return of elective procedures has been more rapid in some locations than others due to the extent and impact of the COVID-19 pandemic, and varying degrees of ongoing local restrictions related to the COVID-19 pandemic.</w:t>
      </w:r>
    </w:p>
    <w:p>
      <w:pPr>
        <w:spacing w:after="0" w:line="170" w:lineRule="exact"/>
        <w:rPr>
          <w:rFonts w:ascii="Arial" w:cs="Arial" w:eastAsia="Arial" w:hAnsi="Arial"/>
          <w:sz w:val="18"/>
          <w:szCs w:val="18"/>
          <w:color w:val="auto"/>
        </w:rPr>
      </w:pPr>
    </w:p>
    <w:p>
      <w:pPr>
        <w:ind w:left="640" w:hanging="314"/>
        <w:spacing w:after="0" w:line="26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material increase in COVID-19 cases in one or more locations would result in an increase in hospitalizations and a corresponding decrease in elective procedures in such impacted locations.</w:t>
      </w:r>
    </w:p>
    <w:p>
      <w:pPr>
        <w:spacing w:after="0" w:line="170" w:lineRule="exact"/>
        <w:rPr>
          <w:rFonts w:ascii="Arial" w:cs="Arial" w:eastAsia="Arial" w:hAnsi="Arial"/>
          <w:sz w:val="18"/>
          <w:szCs w:val="18"/>
          <w:color w:val="auto"/>
        </w:rPr>
      </w:pPr>
    </w:p>
    <w:p>
      <w:pPr>
        <w:ind w:left="640" w:hanging="314"/>
        <w:spacing w:after="0" w:line="291"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Individual surgeons and hospitals may postpone elective procedures as a result of reduced availability of physicians or space to treat patients, different treatment prioritizations, increased cost pressures and burdens on the overall healthcare infrastructure.</w:t>
      </w:r>
    </w:p>
    <w:p>
      <w:pPr>
        <w:spacing w:after="0" w:line="146" w:lineRule="exact"/>
        <w:rPr>
          <w:rFonts w:ascii="Arial" w:cs="Arial" w:eastAsia="Arial" w:hAnsi="Arial"/>
          <w:sz w:val="17"/>
          <w:szCs w:val="17"/>
          <w:color w:val="auto"/>
        </w:rPr>
      </w:pPr>
    </w:p>
    <w:p>
      <w:pPr>
        <w:ind w:left="640" w:hanging="314"/>
        <w:spacing w:after="0" w:line="291"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Patients may elect to defer or avoid elective procedures due to concerns about being exposed to COVID-19 in hospital settings, loss of employer-sponsored health insurance related to the high levels of unemployment in the United States or other reasons.</w:t>
      </w:r>
    </w:p>
    <w:p>
      <w:pPr>
        <w:spacing w:after="0" w:line="146" w:lineRule="exact"/>
        <w:rPr>
          <w:rFonts w:ascii="Arial" w:cs="Arial" w:eastAsia="Arial" w:hAnsi="Arial"/>
          <w:sz w:val="17"/>
          <w:szCs w:val="17"/>
          <w:color w:val="auto"/>
        </w:rPr>
      </w:pPr>
    </w:p>
    <w:p>
      <w:pPr>
        <w:ind w:left="640" w:hanging="314"/>
        <w:spacing w:after="0" w:line="26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Hospitals may reserve increased space for potential COVID-19 patients, especially if the number of COVID-19 cases spikes, limiting the space allocated to inpatient and outpatient elective procedures.</w:t>
      </w:r>
    </w:p>
    <w:p>
      <w:pPr>
        <w:spacing w:after="0" w:line="170" w:lineRule="exact"/>
        <w:rPr>
          <w:rFonts w:ascii="Arial" w:cs="Arial" w:eastAsia="Arial" w:hAnsi="Arial"/>
          <w:sz w:val="18"/>
          <w:szCs w:val="18"/>
          <w:color w:val="auto"/>
        </w:rPr>
      </w:pPr>
    </w:p>
    <w:p>
      <w:pPr>
        <w:jc w:val="both"/>
        <w:ind w:left="640" w:hanging="314"/>
        <w:spacing w:after="0" w:line="24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personnel are experiencing, and expect to continue to experience, restrictions on access to many customers, hospitals, labs and other medical facilities for sales activities, physician training and case support as they have been deemed to be “non-essential” personnel by those facilities or applicable local regulations.</w:t>
      </w:r>
    </w:p>
    <w:p>
      <w:pPr>
        <w:spacing w:after="0" w:line="209"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existence and further duration of the COVID-19 pandemic may also further exacerbate certain risks as described in “Item 1A - Risk Factors” on our Form 10-Q for the quarter ended June 30, 2020.</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The COVID-19 pandemic is continuing globally and preliminary indications of an increase in procedure volumes and related product sales are not necessarily indicative of the results that may be reported for the remainder of fiscal 2020, or any future periods. We are unable to predict how the COVID-19 pandemic will impact procedure volumes or product sales in the future, or the extent, duration or recurrence of the COVID-19 pandemic in any location. We are, therefore, unable to predict the impact of the COVID-19 pandemic, and such could have a material adverse effect on our results of operations, financial condition and capital resources.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SI-BONE was founded in 2008 by orthopedist Mark A. Reiley, M.D., the main inventor of iFuse, as well as our President, Chief Executive Officer and Chairman, Jeffrey W. Dunn, and orthopedic surgeon Leonard Rudolf, M.D. Dr. Reiley previously invented balloon kyphoplasty and founded Kyphon Inc., which was sold to Medtronic in 2007. He also invented the INBONE total ankle replacement system, which was sold to Wright Medical Technology, Inc. in 2008.</w:t>
      </w:r>
    </w:p>
    <w:p>
      <w:pPr>
        <w:spacing w:after="0" w:line="1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September 30, 2020, we had 282 employees, including a direct field sales organization of 128 in the United States and 20 in Europe. As of September 30, we had 53 issued patents throughout the world, of which 40 were in the United States, and 31 pending patent applications, of which 25 were in the United States. These patents and applications cover various aspects of the iFuse procedure, implants and instruments.</w:t>
      </w:r>
    </w:p>
    <w:p>
      <w:pPr>
        <w:sectPr>
          <w:pgSz w:w="11900" w:h="16838" w:orient="portrait"/>
          <w:cols w:equalWidth="0" w:num="1">
            <w:col w:w="10400"/>
          </w:cols>
          <w:pgMar w:left="74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S-5</w:t>
      </w:r>
    </w:p>
    <w:p>
      <w:pPr>
        <w:sectPr>
          <w:pgSz w:w="11900" w:h="16838" w:orient="portrait"/>
          <w:cols w:equalWidth="0" w:num="1">
            <w:col w:w="10400"/>
          </w:cols>
          <w:pgMar w:left="740" w:top="1440" w:right="759" w:bottom="1440" w:gutter="0" w:footer="0" w:header="0"/>
          <w:type w:val="continuous"/>
        </w:sectPr>
      </w:pPr>
    </w:p>
    <w:bookmarkStart w:id="8" w:name="page9"/>
    <w:bookmarkEnd w:id="8"/>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627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86277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business is subject to numerous risks. You should read these risks before you invest in our common stock. In particular, our risks include, but are not limited to, the following:</w:t>
      </w:r>
    </w:p>
    <w:p>
      <w:pPr>
        <w:spacing w:after="0" w:line="76" w:lineRule="exact"/>
        <w:rPr>
          <w:sz w:val="20"/>
          <w:szCs w:val="20"/>
          <w:color w:val="auto"/>
        </w:rPr>
      </w:pPr>
    </w:p>
    <w:p>
      <w:pPr>
        <w:ind w:left="640" w:hanging="314"/>
        <w:spacing w:after="0" w:line="27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89" w:lineRule="exact"/>
        <w:rPr>
          <w:rFonts w:ascii="Arial" w:cs="Arial" w:eastAsia="Arial" w:hAnsi="Arial"/>
          <w:sz w:val="18"/>
          <w:szCs w:val="18"/>
          <w:color w:val="auto"/>
        </w:rPr>
      </w:pPr>
    </w:p>
    <w:p>
      <w:pPr>
        <w:jc w:val="both"/>
        <w:ind w:left="640" w:hanging="314"/>
        <w:spacing w:after="0" w:line="263"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uncertainties concerning the duration of the COVID-19 pandemic, whether the COVID-19 pandemic will recur in the future and the ability and desire of patients and physicians to undergo and perform procedures may impact our operations, financial results, liquidity and capital resources;</w:t>
      </w:r>
    </w:p>
    <w:p>
      <w:pPr>
        <w:spacing w:after="0" w:line="89" w:lineRule="exact"/>
        <w:rPr>
          <w:rFonts w:ascii="Arial" w:cs="Arial" w:eastAsia="Arial" w:hAnsi="Arial"/>
          <w:sz w:val="18"/>
          <w:szCs w:val="18"/>
          <w:color w:val="auto"/>
        </w:rPr>
      </w:pPr>
    </w:p>
    <w:p>
      <w:pPr>
        <w:jc w:val="both"/>
        <w:ind w:left="640" w:hanging="314"/>
        <w:spacing w:after="0" w:line="286"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hospitals, surgeons and other healthcare providers are unable to obtain coverage and sufficient reimbursement from third-party payors for procedures performed using our products, or if payors reverse existing exclusive or non-exclusive coverage policies relating to our products, adoption and use of our products, or the prices paid for our implants, may decline;</w:t>
      </w:r>
    </w:p>
    <w:p>
      <w:pPr>
        <w:spacing w:after="0" w:line="70" w:lineRule="exact"/>
        <w:rPr>
          <w:rFonts w:ascii="Arial" w:cs="Arial" w:eastAsia="Arial" w:hAnsi="Arial"/>
          <w:sz w:val="17"/>
          <w:szCs w:val="17"/>
          <w:color w:val="auto"/>
        </w:rPr>
      </w:pPr>
    </w:p>
    <w:p>
      <w:pPr>
        <w:ind w:left="640" w:hanging="314"/>
        <w:spacing w:after="0" w:line="27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89" w:lineRule="exact"/>
        <w:rPr>
          <w:rFonts w:ascii="Arial" w:cs="Arial" w:eastAsia="Arial" w:hAnsi="Arial"/>
          <w:sz w:val="18"/>
          <w:szCs w:val="18"/>
          <w:color w:val="auto"/>
        </w:rPr>
      </w:pPr>
    </w:p>
    <w:p>
      <w:pPr>
        <w:ind w:left="640" w:hanging="314"/>
        <w:spacing w:after="0" w:line="27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revenue, and ongoing and future research may prove our products to be less safe and effective than currently thought;</w:t>
      </w:r>
    </w:p>
    <w:p>
      <w:pPr>
        <w:spacing w:after="0" w:line="75" w:lineRule="exact"/>
        <w:rPr>
          <w:rFonts w:ascii="Arial" w:cs="Arial" w:eastAsia="Arial" w:hAnsi="Arial"/>
          <w:sz w:val="18"/>
          <w:szCs w:val="18"/>
          <w:color w:val="auto"/>
        </w:rPr>
      </w:pPr>
    </w:p>
    <w:p>
      <w:pPr>
        <w:ind w:left="640" w:hanging="314"/>
        <w:spacing w:after="0" w:line="308"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clinical experience with our iFuse Bedrock procedure does not result in positive outcomes for patients or if clinical trials involving the use of iFuse Bedrock fail to show meaningful patient benefit, sales of our iFuse implants could be adversely impacted;</w:t>
      </w:r>
    </w:p>
    <w:p>
      <w:pPr>
        <w:spacing w:after="0" w:line="51" w:lineRule="exact"/>
        <w:rPr>
          <w:rFonts w:ascii="Arial" w:cs="Arial" w:eastAsia="Arial" w:hAnsi="Arial"/>
          <w:sz w:val="17"/>
          <w:szCs w:val="17"/>
          <w:color w:val="auto"/>
        </w:rPr>
      </w:pPr>
    </w:p>
    <w:p>
      <w:pPr>
        <w:ind w:left="640" w:hanging="314"/>
        <w:spacing w:after="0" w:line="27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manufacture and sell a single family of products focused on procedures, the goal of which is to stabilize and fuse the sacroiliac joint, which could negatively affect our operations and financial condition;</w:t>
      </w:r>
    </w:p>
    <w:p>
      <w:pPr>
        <w:spacing w:after="0" w:line="89" w:lineRule="exact"/>
        <w:rPr>
          <w:rFonts w:ascii="Arial" w:cs="Arial" w:eastAsia="Arial" w:hAnsi="Arial"/>
          <w:sz w:val="18"/>
          <w:szCs w:val="18"/>
          <w:color w:val="auto"/>
        </w:rPr>
      </w:pPr>
    </w:p>
    <w:p>
      <w:pPr>
        <w:jc w:val="both"/>
        <w:ind w:left="640" w:hanging="314"/>
        <w:spacing w:after="0" w:line="263"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Pricing pressure from our competitors, changes in third-party coverage and reimbursement, healthcare provider consolidation, payor consolidation and the proliferation of “physician-owned distributorships” may impact our ability to sell our product at prices necessary to support our current business strategies;</w:t>
      </w:r>
    </w:p>
    <w:p>
      <w:pPr>
        <w:spacing w:after="0" w:line="89" w:lineRule="exact"/>
        <w:rPr>
          <w:rFonts w:ascii="Arial" w:cs="Arial" w:eastAsia="Arial" w:hAnsi="Arial"/>
          <w:sz w:val="18"/>
          <w:szCs w:val="18"/>
          <w:color w:val="auto"/>
        </w:rPr>
      </w:pPr>
    </w:p>
    <w:p>
      <w:pPr>
        <w:ind w:left="640" w:hanging="314"/>
        <w:spacing w:after="0" w:line="27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maintain and expand our network of direct sales representatives and third-party distributors, we may not be able to generate anticipated sales;</w:t>
      </w:r>
    </w:p>
    <w:p>
      <w:pPr>
        <w:spacing w:after="0" w:line="75" w:lineRule="exact"/>
        <w:rPr>
          <w:rFonts w:ascii="Arial" w:cs="Arial" w:eastAsia="Arial" w:hAnsi="Arial"/>
          <w:sz w:val="18"/>
          <w:szCs w:val="18"/>
          <w:color w:val="auto"/>
        </w:rPr>
      </w:pPr>
    </w:p>
    <w:p>
      <w:pPr>
        <w:ind w:left="640" w:hanging="314"/>
        <w:spacing w:after="0" w:line="27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United States and abroad and failure to comply with applicable requirements could cause our business to suffer; and</w:t>
      </w:r>
    </w:p>
    <w:p>
      <w:pPr>
        <w:spacing w:after="0" w:line="89" w:lineRule="exact"/>
        <w:rPr>
          <w:rFonts w:ascii="Arial" w:cs="Arial" w:eastAsia="Arial" w:hAnsi="Arial"/>
          <w:sz w:val="18"/>
          <w:szCs w:val="18"/>
          <w:color w:val="auto"/>
        </w:rPr>
      </w:pPr>
    </w:p>
    <w:p>
      <w:pPr>
        <w:jc w:val="both"/>
        <w:ind w:left="640" w:hanging="314"/>
        <w:spacing w:after="0" w:line="263"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and our sales representatives must comply with United States federal and state fraud and abuse laws, including those relating to physician kickbacks and false claims for reimbursement, as well as equivalent foreign laws, which subjects us to risk of non-compliance.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an “emerging growth company” as defined in the Jumpstart Our Business Startups Act, or the JOBS Act, and therefore we have taken, and intend to continue to take, advantage of certain exemptions from various public company reporting requirements, including not being required to have our internal control over financial reporting audited by our independent registered public accounting firm pursuant to Section 404(b)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from our initial public offering, which occurred in October 2018, or until we are no longer an “emerging growth company,” whichever is earlier. In addition, the JOBS Act provides that an “emerging growth company” can delay adopting new or revised accounting standards until those standards apply to private companies. We have elected to avail ourselves of this exemption and, therefore, we will not be subject to the same new or revised accounting standards as other public companies that are not “emerging growth companies.”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supplement or accompanying prospectus. We have included our website address as an inactive textual reference only.</w:t>
      </w:r>
    </w:p>
    <w:p>
      <w:pPr>
        <w:sectPr>
          <w:pgSz w:w="11900" w:h="16838" w:orient="portrait"/>
          <w:cols w:equalWidth="0" w:num="1">
            <w:col w:w="10400"/>
          </w:cols>
          <w:pgMar w:left="74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S-6</w:t>
      </w:r>
    </w:p>
    <w:p>
      <w:pPr>
        <w:sectPr>
          <w:pgSz w:w="11900" w:h="16838" w:orient="portrait"/>
          <w:cols w:equalWidth="0" w:num="1">
            <w:col w:w="10400"/>
          </w:cols>
          <w:pgMar w:left="740" w:top="1440" w:right="759" w:bottom="1440" w:gutter="0" w:footer="0" w:header="0"/>
          <w:type w:val="continuous"/>
        </w:sectPr>
      </w:pPr>
    </w:p>
    <w:bookmarkStart w:id="9" w:name="page10"/>
    <w:bookmarkEnd w:id="9"/>
    <w:p>
      <w:pPr>
        <w:spacing w:after="0" w:line="200" w:lineRule="exact"/>
        <w:rPr>
          <w:sz w:val="20"/>
          <w:szCs w:val="20"/>
          <w:color w:val="auto"/>
        </w:rPr>
      </w:pPr>
    </w:p>
    <w:p>
      <w:pPr>
        <w:spacing w:after="0" w:line="330"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Common stock offered by us</w:t>
      </w:r>
    </w:p>
    <w:p>
      <w:pPr>
        <w:spacing w:after="0" w:line="360"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Common stock offered by the selling stockholder</w:t>
      </w:r>
    </w:p>
    <w:p>
      <w:pPr>
        <w:spacing w:after="0" w:line="171" w:lineRule="exact"/>
        <w:rPr>
          <w:sz w:val="20"/>
          <w:szCs w:val="20"/>
          <w:color w:val="auto"/>
        </w:rPr>
      </w:pPr>
    </w:p>
    <w:p>
      <w:pPr>
        <w:ind w:left="80"/>
        <w:spacing w:after="0" w:line="277"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373" w:lineRule="exact"/>
        <w:rPr>
          <w:sz w:val="20"/>
          <w:szCs w:val="20"/>
          <w:color w:val="auto"/>
        </w:rPr>
      </w:pPr>
    </w:p>
    <w:p>
      <w:pPr>
        <w:ind w:left="80"/>
        <w:spacing w:after="0"/>
        <w:rPr>
          <w:sz w:val="20"/>
          <w:szCs w:val="20"/>
          <w:color w:val="auto"/>
        </w:rPr>
      </w:pPr>
      <w:r>
        <w:rPr>
          <w:rFonts w:ascii="Arial" w:cs="Arial" w:eastAsia="Arial" w:hAnsi="Arial"/>
          <w:sz w:val="18"/>
          <w:szCs w:val="18"/>
          <w:color w:val="auto"/>
        </w:rPr>
        <w:t>Option to purchase additional common stock</w:t>
      </w: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Nasdaq Global Market trading symbol</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-421005</wp:posOffset>
            </wp:positionV>
            <wp:extent cx="7136130" cy="7796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796530"/>
                    </a:xfrm>
                    <a:prstGeom prst="rect">
                      <a:avLst/>
                    </a:prstGeom>
                    <a:noFill/>
                  </pic:spPr>
                </pic:pic>
              </a:graphicData>
            </a:graphic>
          </wp:anchor>
        </w:drawing>
      </w:r>
    </w:p>
    <w:p>
      <w:pPr>
        <w:spacing w:after="0" w:line="304" w:lineRule="exact"/>
        <w:rPr>
          <w:sz w:val="20"/>
          <w:szCs w:val="20"/>
          <w:color w:val="auto"/>
        </w:rPr>
      </w:pPr>
    </w:p>
    <w:p>
      <w:pPr>
        <w:ind w:right="620"/>
        <w:spacing w:after="0" w:line="324" w:lineRule="auto"/>
        <w:rPr>
          <w:sz w:val="20"/>
          <w:szCs w:val="20"/>
          <w:color w:val="auto"/>
        </w:rPr>
      </w:pPr>
      <w:r>
        <w:rPr>
          <w:rFonts w:ascii="Arial" w:cs="Arial" w:eastAsia="Arial" w:hAnsi="Arial"/>
          <w:sz w:val="16"/>
          <w:szCs w:val="16"/>
          <w:color w:val="auto"/>
        </w:rPr>
        <w:t>3,000,000 shares (3,478,507 shares of common stock if the underwriters exercise their option to purchase additional shares in full).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190,053 shares of common stock.</w:t>
      </w:r>
    </w:p>
    <w:p>
      <w:pPr>
        <w:spacing w:after="0" w:line="131"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color w:val="auto"/>
        </w:rPr>
        <w:t>31,612,451 shares of common stock (or 32,090,958 shares if the underwriters exercise in full their option to purchase additional shares of common stock from us).</w:t>
      </w:r>
    </w:p>
    <w:p>
      <w:pPr>
        <w:spacing w:after="0" w:line="271"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supplement to purchase up to 478,507 of additional shares of common stock.</w:t>
      </w:r>
    </w:p>
    <w:p>
      <w:pPr>
        <w:spacing w:after="0" w:line="109" w:lineRule="exact"/>
        <w:rPr>
          <w:sz w:val="20"/>
          <w:szCs w:val="20"/>
          <w:color w:val="auto"/>
        </w:rPr>
      </w:pPr>
    </w:p>
    <w:p>
      <w:pPr>
        <w:jc w:val="both"/>
        <w:ind w:right="60"/>
        <w:spacing w:after="0" w:line="226" w:lineRule="auto"/>
        <w:rPr>
          <w:sz w:val="20"/>
          <w:szCs w:val="20"/>
          <w:color w:val="auto"/>
        </w:rPr>
      </w:pPr>
      <w:r>
        <w:rPr>
          <w:rFonts w:ascii="Arial" w:cs="Arial" w:eastAsia="Arial" w:hAnsi="Arial"/>
          <w:sz w:val="17"/>
          <w:szCs w:val="17"/>
          <w:color w:val="auto"/>
        </w:rPr>
        <w:t>We estimate that the net proceeds to us from this offering, after deducting underwriting discounts and commissions and estimated offering expenses payable by us, will be $61.7 million (or $71.6 million if the underwriters exercise in full their option to purchase additional shares of common stock from us). We will not receive any net proceeds from this offering from the sales of common stock by the selling stockholder.</w:t>
      </w:r>
    </w:p>
    <w:p>
      <w:pPr>
        <w:spacing w:after="0" w:line="192" w:lineRule="exact"/>
        <w:rPr>
          <w:sz w:val="20"/>
          <w:szCs w:val="20"/>
          <w:color w:val="auto"/>
        </w:rPr>
      </w:pPr>
    </w:p>
    <w:p>
      <w:pPr>
        <w:jc w:val="both"/>
        <w:ind w:right="60"/>
        <w:spacing w:after="0" w:line="222" w:lineRule="auto"/>
        <w:rPr>
          <w:rFonts w:ascii="Arial" w:cs="Arial" w:eastAsia="Arial" w:hAnsi="Arial"/>
          <w:sz w:val="17"/>
          <w:szCs w:val="17"/>
          <w:color w:val="auto"/>
        </w:rPr>
      </w:pPr>
      <w:r>
        <w:rPr>
          <w:rFonts w:ascii="Arial" w:cs="Arial" w:eastAsia="Arial" w:hAnsi="Arial"/>
          <w:sz w:val="17"/>
          <w:szCs w:val="17"/>
          <w:color w:val="auto"/>
        </w:rPr>
        <w:t>We currently intend to use the net proceeds from this offering to support the continued commercial expansion of our products, including the increase of our sales force, additional medical affairs and educational efforts, research and development and clinical studies, and direct to patient marketing, as well as for working capital and general corporate purposes. We may also use a portion of our net proceeds to acquire or invest in complementary products, technologies, or businesses; however, we currently have no agreements or commitments to complete any such transactions. See “Use of Proceeds” on page S-</w:t>
      </w:r>
      <w:hyperlink w:anchor="page13">
        <w:r>
          <w:rPr>
            <w:rFonts w:ascii="Arial" w:cs="Arial" w:eastAsia="Arial" w:hAnsi="Arial"/>
            <w:sz w:val="17"/>
            <w:szCs w:val="17"/>
            <w:u w:val="single" w:color="auto"/>
            <w:color w:val="0000FF"/>
          </w:rPr>
          <w:t>11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prospectus supplement.</w:t>
      </w:r>
    </w:p>
    <w:p>
      <w:pPr>
        <w:spacing w:after="0" w:line="182" w:lineRule="exact"/>
        <w:rPr>
          <w:sz w:val="20"/>
          <w:szCs w:val="20"/>
          <w:color w:val="auto"/>
        </w:rPr>
      </w:pPr>
    </w:p>
    <w:p>
      <w:pPr>
        <w:jc w:val="both"/>
        <w:ind w:right="560"/>
        <w:spacing w:after="0" w:line="311" w:lineRule="auto"/>
        <w:rPr>
          <w:sz w:val="20"/>
          <w:szCs w:val="20"/>
          <w:color w:val="auto"/>
        </w:rPr>
      </w:pPr>
      <w:r>
        <w:rPr>
          <w:rFonts w:ascii="Arial" w:cs="Arial" w:eastAsia="Arial" w:hAnsi="Arial"/>
          <w:sz w:val="16"/>
          <w:szCs w:val="16"/>
          <w:color w:val="auto"/>
        </w:rPr>
        <w:t>See “Risk Factors” and the other information included in this prospectus supplement and accompanying prospectus for a discussion of factors you should consider carefully before deciding to invest in our common stock.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“SIBN”.</w:t>
      </w:r>
    </w:p>
    <w:p>
      <w:pPr>
        <w:spacing w:after="0" w:line="200" w:lineRule="exact"/>
        <w:rPr>
          <w:sz w:val="20"/>
          <w:szCs w:val="20"/>
          <w:color w:val="auto"/>
        </w:rPr>
      </w:pPr>
    </w:p>
    <w:p>
      <w:pPr>
        <w:sectPr>
          <w:pgSz w:w="11900" w:h="16838" w:orient="portrait"/>
          <w:cols w:equalWidth="0" w:num="2">
            <w:col w:w="4080" w:space="500"/>
            <w:col w:w="5820"/>
          </w:cols>
          <w:pgMar w:left="740" w:top="1417" w:right="759" w:bottom="1440" w:gutter="0" w:footer="0" w:header="0"/>
        </w:sectPr>
      </w:pPr>
    </w:p>
    <w:p>
      <w:pPr>
        <w:spacing w:after="0" w:line="144"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 xml:space="preserve">The number of shares of common stock to be outstanding after the offering is based on 28,612,451 shares outstanding </w:t>
      </w:r>
      <w:r>
        <w:rPr>
          <w:rFonts w:ascii="Arial" w:cs="Arial" w:eastAsia="Arial" w:hAnsi="Arial"/>
          <w:sz w:val="19"/>
          <w:szCs w:val="19"/>
          <w:color w:val="auto"/>
        </w:rPr>
        <w:t>as of June 30,</w:t>
      </w:r>
      <w:r>
        <w:rPr>
          <w:rFonts w:ascii="Arial" w:cs="Arial" w:eastAsia="Arial" w:hAnsi="Arial"/>
          <w:sz w:val="18"/>
          <w:szCs w:val="18"/>
          <w:color w:val="auto"/>
        </w:rPr>
        <w:t xml:space="preserve"> </w:t>
      </w:r>
      <w:r>
        <w:rPr>
          <w:rFonts w:ascii="Arial" w:cs="Arial" w:eastAsia="Arial" w:hAnsi="Arial"/>
          <w:sz w:val="19"/>
          <w:szCs w:val="19"/>
          <w:color w:val="auto"/>
        </w:rPr>
        <w:t>2020</w:t>
      </w:r>
      <w:r>
        <w:rPr>
          <w:rFonts w:ascii="Arial" w:cs="Arial" w:eastAsia="Arial" w:hAnsi="Arial"/>
          <w:sz w:val="17"/>
          <w:szCs w:val="17"/>
          <w:color w:val="auto"/>
        </w:rPr>
        <w:t>, and excludes:</w:t>
      </w:r>
    </w:p>
    <w:p>
      <w:pPr>
        <w:spacing w:after="0" w:line="87" w:lineRule="exact"/>
        <w:rPr>
          <w:sz w:val="20"/>
          <w:szCs w:val="20"/>
          <w:color w:val="auto"/>
        </w:rPr>
      </w:pPr>
    </w:p>
    <w:p>
      <w:pPr>
        <w:ind w:left="640" w:hanging="314"/>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2,652,683 shares of common stock underlying options outstanding at a weighted average exercise price of $8.24 per share;</w:t>
      </w:r>
    </w:p>
    <w:p>
      <w:pPr>
        <w:spacing w:after="0" w:line="169" w:lineRule="exact"/>
        <w:rPr>
          <w:rFonts w:ascii="Arial" w:cs="Arial" w:eastAsia="Arial" w:hAnsi="Arial"/>
          <w:sz w:val="17"/>
          <w:szCs w:val="17"/>
          <w:color w:val="auto"/>
        </w:rPr>
      </w:pPr>
    </w:p>
    <w:p>
      <w:pPr>
        <w:ind w:left="640" w:hanging="31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1,333,501 shares of common stock underlying restricted stock units outstanding;</w:t>
      </w:r>
    </w:p>
    <w:p>
      <w:pPr>
        <w:spacing w:after="0" w:line="157" w:lineRule="exact"/>
        <w:rPr>
          <w:rFonts w:ascii="Arial" w:cs="Arial" w:eastAsia="Arial" w:hAnsi="Arial"/>
          <w:sz w:val="18"/>
          <w:szCs w:val="18"/>
          <w:color w:val="auto"/>
        </w:rPr>
      </w:pPr>
    </w:p>
    <w:p>
      <w:pPr>
        <w:ind w:left="640" w:hanging="314"/>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118,122 shares of common stock underlying warrants outstanding at a weighted average exercise price of $13.76 per share; and</w:t>
      </w:r>
    </w:p>
    <w:p>
      <w:pPr>
        <w:spacing w:after="0" w:line="128" w:lineRule="exact"/>
        <w:rPr>
          <w:rFonts w:ascii="Arial" w:cs="Arial" w:eastAsia="Arial" w:hAnsi="Arial"/>
          <w:sz w:val="17"/>
          <w:szCs w:val="17"/>
          <w:color w:val="auto"/>
        </w:rPr>
      </w:pPr>
    </w:p>
    <w:p>
      <w:pPr>
        <w:ind w:left="640" w:hanging="314"/>
        <w:spacing w:after="0" w:line="27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3,629,995 shares of common stock available for future grant under our equity incentive plans, including our employee stock purchase plan.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indicated, all information in this prospectus supplement assumes:</w:t>
      </w:r>
    </w:p>
    <w:p>
      <w:pPr>
        <w:spacing w:after="0" w:line="225" w:lineRule="exact"/>
        <w:rPr>
          <w:sz w:val="20"/>
          <w:szCs w:val="20"/>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exercise of outstanding options and warrants;</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vesting of outstanding restricted stock units;</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purchases of common stock under our employee stock purchase plan; and</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common stock from us.</w:t>
      </w:r>
    </w:p>
    <w:p>
      <w:pPr>
        <w:sectPr>
          <w:pgSz w:w="11900" w:h="16838" w:orient="portrait"/>
          <w:cols w:equalWidth="0" w:num="1">
            <w:col w:w="10400"/>
          </w:cols>
          <w:pgMar w:left="740" w:top="1417" w:right="7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S-7</w:t>
      </w:r>
    </w:p>
    <w:p>
      <w:pPr>
        <w:sectPr>
          <w:pgSz w:w="11900" w:h="16838" w:orient="portrait"/>
          <w:cols w:equalWidth="0" w:num="1">
            <w:col w:w="10400"/>
          </w:cols>
          <w:pgMar w:left="740" w:top="1417" w:right="75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RISK FACTORS</w:t>
      </w:r>
    </w:p>
    <w:p>
      <w:pPr>
        <w:spacing w:after="0" w:line="2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 factors described below and the risk factors incorporated by reference from our Quarterly Report on Form 10-Q for the quarterly period ended June 30, 2020, and all other information contained or incorporated by reference in this prospectus supplement and accompanying prospectus, including our financial statements and the related notes, as may be updated by our subsequent filings under the Securities Exchange Act of 1934, as amended (“Exchange Act”) and in any free writing prospectus that we have authorized for use in connection with this offering before acquiring shares of our common stock. These risks could have a material and adverse impact on our business, results of operations, financial condition and growth prospects, which may cause the trading price of our common stock to decline and you could lose all or part of your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will have broad discretion as to the use of the proceeds from this offering, and we may not use the proceeds effectively.</w:t>
      </w:r>
    </w:p>
    <w:p>
      <w:pPr>
        <w:spacing w:after="0" w:line="2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Our failure to apply these funds effectively could have a material adverse effect on our business and cause the price of our common stock to decline.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you purchase shares of common stock in this offering, you will experience immediate dilution in your investment. You will experience further dilution if we issue additional equity securities in future fundraising transactions.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Purchasers of common stock in this offering will pay a price per share in this offering that exceeds the net tangible book value per share of our common stock. Based on an aggregate of 3,000,000 shares of common stock being sold by us at the public offering price of $22.00 per share, for aggregate net proceeds to us of approximately $61.7 million after deducting underwriting discounts and commissions and estimated offering expenses payable by us, if you purchase shares of our common stock in this offering, you will experience immediate dilution of $16.64 per share, representing the difference between the public offering price and our as adjusted net tangible book value per share as of June 30, 2020, after giving effect to this offering. See the section below titled “Dilution” for a more detailed illustration of the dilution you would incur if you purchase common stock in this offering.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further dilution if we issue additional equity securities in future fundraising transactions.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Further, we have a significant number of stock options and restricted stock units outstanding. The exercise of outstanding stock options or vesting of restricted stock units may result in further dilution of your investment.</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your investment unless you sell your common stock for a price greater than that which you paid for it.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other such factors as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40"/>
          </w:cols>
          <w:pgMar w:left="320" w:top="99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supplement and accompanying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92" w:lineRule="exact"/>
        <w:rPr>
          <w:sz w:val="20"/>
          <w:szCs w:val="20"/>
          <w:color w:val="auto"/>
        </w:rPr>
      </w:pPr>
    </w:p>
    <w:p>
      <w:pPr>
        <w:jc w:val="both"/>
        <w:ind w:left="660" w:hanging="328"/>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the COVID-19 pandemic and the governmental actions taken to combat the COVID-19 pandemic will have on us, including our operations, financial results, liquidity and capital resources, the existence and duration of state and local orders temporarily prohibiting elective procedures including procedures using the iFuse Implant System, the ability and desire of patients and physicians to undergo and perform such procedures, the duration and any potential resurgence of the COVID-19 pandemic, and whether a similar or related pandemic will recur in the future;</w:t>
      </w:r>
    </w:p>
    <w:p>
      <w:pPr>
        <w:spacing w:after="0" w:line="13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 healthy workforce in light of the ongoing COVID-19 pandemic;</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and grow our sales team based on the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who perform procedures using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favorable coverage and reimbursement determinations from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marketing clearances and authorization from the FDA and regulators in other jurisdictions;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reliance on a limited number of suppliers, including sole source suppliers, which may impact the availability of instruments and materials;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sustain or increase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40"/>
          </w:cols>
          <w:pgMar w:left="320" w:top="945" w:right="339" w:bottom="1440" w:gutter="0" w:footer="0" w:header="0"/>
        </w:sectPr>
      </w:pPr>
    </w:p>
    <w:bookmarkStart w:id="12" w:name="page13"/>
    <w:bookmarkEnd w:id="12"/>
    <w:p>
      <w:pPr>
        <w:jc w:val="both"/>
        <w:ind w:firstLine="324"/>
        <w:spacing w:after="0" w:line="268"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this prospectus supplement, in any free writing prospectuses we may authorize for use in connection with this offering, and in our quarterly report on Form 10-Q for the quarter ended June 30, 2020, which are incorporated by reference into this prospectus supplement and accompanying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supplement and accompanying prospectus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21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40"/>
          </w:cols>
          <w:pgMar w:left="320" w:top="98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estimate that we will receive net proceeds from the sale of common stock by us in this offering of approximately $61.7 million, after deducting underwriting discounts and commissions and estimated offering expenses payable by us. If the underwriters exercise in full their option to purchase additional shares of common stock from us, we estimate that the net proceeds to us will be approximately $71.6 million, after deducting underwriting discounts and commissions and estimated offering expenses payable by us. We will not receive any proceeds from this offering from the sales of common stock by the selling stockholder.</w:t>
      </w:r>
    </w:p>
    <w:p>
      <w:pPr>
        <w:spacing w:after="0" w:line="21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currently intend to use the net proceeds from this offering to support the continued commercial expansion of our products, including the increase of our sales force, additional medical affairs and educational efforts, research and development and clinical studies, and direct to patient marketing, as well as for working capital and general corporate purposes. We may also use a portion of our net proceeds to acquire or invest in complementary products, technologies, or businesses; however, we currently have no agreements or commitments to complete any such transactions.</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Pending their use, we plan to invest the net proceeds from this offering in short- and intermediate-term, interest-bearing obligations, investment-grade instruments, certificates of deposit or direct or guaranteed obligations of the United States government.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40"/>
          </w:cols>
          <w:pgMar w:left="320" w:top="95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cash, cash equivalents and investments, and capitalization as of June 30, 2020:</w:t>
      </w:r>
    </w:p>
    <w:p>
      <w:pPr>
        <w:spacing w:after="0" w:line="17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71"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by us of the 3,000,000 shares of our common stock in this offering at the public offering price of $22.00 per share (assuming no exercise of the underwriters' option to purchase additional shares from us), after deducting underwriting discounts and commissions and estimated offering expenses payable by us.</w:t>
      </w:r>
    </w:p>
    <w:p>
      <w:pPr>
        <w:spacing w:after="0" w:line="211"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You should read the data set forth in the table below in conjunction with (a) our consolidated financial statements, including the related notes, and “Management’s Discussion and Analysis of Financial Condition and Results of Operations” from our Annual Report on Form 10-K for the fiscal year ended December 31, 2019, and (b) our condensed consolidated financial statements, including the related notes, and “Management’s Discussion and Analysis of Financial Condition and Results of Operations” from our Quarterly Report on Form 10-Q for the quarterly period ended June 30, 2020, which are incorporated by reference into this prospectus supplement and accompanying prospectus.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6"/>
                <w:szCs w:val="16"/>
                <w:b w:val="1"/>
                <w:bCs w:val="1"/>
                <w:color w:val="auto"/>
              </w:rPr>
              <w:t>As of June 30, 2020</w:t>
            </w:r>
          </w:p>
        </w:tc>
        <w:tc>
          <w:tcPr>
            <w:tcW w:w="0" w:type="dxa"/>
            <w:vAlign w:val="bottom"/>
          </w:tcPr>
          <w:p>
            <w:pPr>
              <w:spacing w:after="0"/>
              <w:rPr>
                <w:sz w:val="1"/>
                <w:szCs w:val="1"/>
                <w:color w:val="auto"/>
              </w:rPr>
            </w:pPr>
          </w:p>
        </w:tc>
      </w:tr>
      <w:tr>
        <w:trPr>
          <w:trHeight w:val="212"/>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Actual</w:t>
            </w:r>
          </w:p>
        </w:tc>
        <w:tc>
          <w:tcPr>
            <w:tcW w:w="180" w:type="dxa"/>
            <w:vAlign w:val="bottom"/>
          </w:tcPr>
          <w:p>
            <w:pPr>
              <w:spacing w:after="0"/>
              <w:rPr>
                <w:sz w:val="18"/>
                <w:szCs w:val="18"/>
                <w:color w:val="auto"/>
              </w:rPr>
            </w:pPr>
          </w:p>
        </w:tc>
        <w:tc>
          <w:tcPr>
            <w:tcW w:w="980" w:type="dxa"/>
            <w:vAlign w:val="bottom"/>
          </w:tcPr>
          <w:p>
            <w:pPr>
              <w:jc w:val="right"/>
              <w:ind w:right="432"/>
              <w:spacing w:after="0"/>
              <w:rPr>
                <w:sz w:val="20"/>
                <w:szCs w:val="20"/>
                <w:color w:val="auto"/>
              </w:rPr>
            </w:pPr>
            <w:r>
              <w:rPr>
                <w:rFonts w:ascii="Arial" w:cs="Arial" w:eastAsia="Arial" w:hAnsi="Arial"/>
                <w:sz w:val="16"/>
                <w:szCs w:val="16"/>
                <w:b w:val="1"/>
                <w:bCs w:val="1"/>
                <w:color w:val="auto"/>
              </w:rPr>
              <w:t>As</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2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6"/>
                <w:szCs w:val="16"/>
                <w:b w:val="1"/>
                <w:bCs w:val="1"/>
                <w:color w:val="auto"/>
                <w:w w:val="99"/>
              </w:rPr>
              <w:t>Adjusted</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137,668</w:t>
            </w:r>
          </w:p>
        </w:tc>
        <w:tc>
          <w:tcPr>
            <w:tcW w:w="2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199,343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98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39,264</w:t>
            </w:r>
          </w:p>
        </w:tc>
        <w:tc>
          <w:tcPr>
            <w:tcW w:w="2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39,264</w:t>
            </w:r>
          </w:p>
        </w:tc>
        <w:tc>
          <w:tcPr>
            <w:tcW w:w="0" w:type="dxa"/>
            <w:vAlign w:val="bottom"/>
          </w:tcPr>
          <w:p>
            <w:pPr>
              <w:spacing w:after="0"/>
              <w:rPr>
                <w:sz w:val="1"/>
                <w:szCs w:val="1"/>
                <w:color w:val="auto"/>
              </w:rPr>
            </w:pPr>
          </w:p>
        </w:tc>
      </w:tr>
      <w:tr>
        <w:trPr>
          <w:trHeight w:val="21"/>
        </w:trPr>
        <w:tc>
          <w:tcPr>
            <w:tcW w:w="7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7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Preferred stock, $0.0001 par value, 5,000,000 shares authorized; 0 shares issued and outstanding, actual</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as adjusted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980" w:type="dxa"/>
            <w:vAlign w:val="bottom"/>
          </w:tcPr>
          <w:p>
            <w:pPr>
              <w:ind w:left="220"/>
              <w:spacing w:after="0" w:line="176" w:lineRule="exact"/>
              <w:rPr>
                <w:sz w:val="20"/>
                <w:szCs w:val="20"/>
                <w:color w:val="auto"/>
              </w:rPr>
            </w:pPr>
            <w:r>
              <w:rPr>
                <w:rFonts w:ascii="Arial" w:cs="Arial" w:eastAsia="Arial" w:hAnsi="Arial"/>
                <w:sz w:val="18"/>
                <w:szCs w:val="18"/>
                <w:color w:val="auto"/>
                <w:w w:val="98"/>
              </w:rPr>
              <w:t>Common stock, $0.0001 par value, 100,000,000 shares authorized; 28,612,451 shares issued and</w:t>
            </w:r>
          </w:p>
        </w:tc>
        <w:tc>
          <w:tcPr>
            <w:tcW w:w="220" w:type="dxa"/>
            <w:vAlign w:val="bottom"/>
          </w:tcPr>
          <w:p>
            <w:pPr>
              <w:spacing w:after="0"/>
              <w:rPr>
                <w:sz w:val="15"/>
                <w:szCs w:val="15"/>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outstanding, actual, 31,612,451 shares issued and outstanding as adjusted</w:t>
            </w: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328,079</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389,754</w:t>
            </w:r>
          </w:p>
        </w:tc>
        <w:tc>
          <w:tcPr>
            <w:tcW w:w="0" w:type="dxa"/>
            <w:vAlign w:val="bottom"/>
          </w:tcPr>
          <w:p>
            <w:pPr>
              <w:spacing w:after="0"/>
              <w:rPr>
                <w:sz w:val="1"/>
                <w:szCs w:val="1"/>
                <w:color w:val="auto"/>
              </w:rPr>
            </w:pPr>
          </w:p>
        </w:tc>
      </w:tr>
      <w:tr>
        <w:trPr>
          <w:trHeight w:val="243"/>
        </w:trPr>
        <w:tc>
          <w:tcPr>
            <w:tcW w:w="79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610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(220,824)</w:t>
            </w:r>
          </w:p>
        </w:tc>
        <w:tc>
          <w:tcPr>
            <w:tcW w:w="2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(220,824)</w:t>
            </w:r>
          </w:p>
        </w:tc>
        <w:tc>
          <w:tcPr>
            <w:tcW w:w="0" w:type="dxa"/>
            <w:vAlign w:val="bottom"/>
          </w:tcPr>
          <w:p>
            <w:pPr>
              <w:spacing w:after="0"/>
              <w:rPr>
                <w:sz w:val="1"/>
                <w:szCs w:val="1"/>
                <w:color w:val="auto"/>
              </w:rPr>
            </w:pPr>
          </w:p>
        </w:tc>
      </w:tr>
      <w:tr>
        <w:trPr>
          <w:trHeight w:val="237"/>
        </w:trPr>
        <w:tc>
          <w:tcPr>
            <w:tcW w:w="798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107,868</w:t>
            </w:r>
          </w:p>
        </w:tc>
        <w:tc>
          <w:tcPr>
            <w:tcW w:w="2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169,543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7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capitalization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107,868</w:t>
            </w:r>
          </w:p>
        </w:tc>
        <w:tc>
          <w:tcPr>
            <w:tcW w:w="2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169,543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28,612,451 shares outstanding as of as of June 30, 2020, and excludes:</w:t>
      </w:r>
    </w:p>
    <w:p>
      <w:pPr>
        <w:spacing w:after="0" w:line="10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2,652,683 shares of common stock underlying options outstanding at a weighted average exercise price of $8.24 per share;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1,333,501 shares of common stock underlying restricted stock units outstanding;</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118,122 shares of common stock underlying warrants outstanding at a weighted average exercise price of $13.76 per share;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3,629,995 shares of common stock available for future grant under our equity incentive plans, including our employee stock purchase plan.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above discussion assumes no exercise by the underwriters of their option to purchase additional shares of our common stock from us.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40"/>
          </w:cols>
          <w:pgMar w:left="320" w:top="99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If you invest in our common stock, your interest will be diluted immediately to the extent of the difference between the public offering price and the as adjusted net tangible book value per share of our common stock after this offering. Net tangible book value on June 30, 2020, was approximately $107.8 million, or $3.77 per share. “Net tangible book value” is total assets minus the sum of liabilities, goodwill and intangible assets. “Net tangible book value per share” is net tangible book value divided by the total number of shares outstanding. Net tangible book value per share after this offering gives effect to the sale by us of 3,000,000 shares of our common stock in this offering at the public offering price of $22.00 per share, after deducting underwriting discounts and commissions and estimated offering expenses payable by us. Our as adjusted net tangible book value as of June 30, 2020, after giving effect to this offering as described above, would have been approximately $169.5 million, or $5.36 per share of common stock. This represents an immediate increase in net tangible book value of $1.59 per share to our existing stockholders and an immediate dilution in net tangible book value of $16.64 per share to investors participating in this offering. The following table illustrates this dilution per share to investors participating in this offering: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440" w:type="dxa"/>
        <w:tblCellMar>
          <w:top w:w="0" w:type="dxa"/>
          <w:left w:w="0" w:type="dxa"/>
          <w:bottom w:w="0" w:type="dxa"/>
          <w:right w:w="0" w:type="dxa"/>
        </w:tblCellMar>
      </w:tblPr>
      <w:tr>
        <w:trPr>
          <w:trHeight w:val="27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offering price per share</w:t>
            </w:r>
          </w:p>
        </w:tc>
        <w:tc>
          <w:tcPr>
            <w:tcW w:w="22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r>
      <w:tr>
        <w:trPr>
          <w:trHeight w:val="270"/>
        </w:trPr>
        <w:tc>
          <w:tcPr>
            <w:tcW w:w="8580" w:type="dxa"/>
            <w:vAlign w:val="bottom"/>
          </w:tcPr>
          <w:p>
            <w:pPr>
              <w:ind w:left="200"/>
              <w:spacing w:after="0"/>
              <w:rPr>
                <w:sz w:val="20"/>
                <w:szCs w:val="20"/>
                <w:color w:val="auto"/>
              </w:rPr>
            </w:pPr>
            <w:r>
              <w:rPr>
                <w:rFonts w:ascii="Arial" w:cs="Arial" w:eastAsia="Arial" w:hAnsi="Arial"/>
                <w:sz w:val="18"/>
                <w:szCs w:val="18"/>
                <w:color w:val="auto"/>
              </w:rPr>
              <w:t>Net tangible book value per share as of June 30, 2020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Increase in net tangible book value per share attributable to new investors in offering</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color w:val="auto"/>
              </w:rPr>
              <w:t>As adjusted net tangible book value per share after giving effect to the offering</w:t>
            </w: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3"/>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per share to new investors</w:t>
            </w:r>
          </w:p>
        </w:tc>
        <w:tc>
          <w:tcPr>
            <w:tcW w:w="22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the underwriters’ option to purchase additional shares in this offering from us is exercised in full, the as adjusted net tangible book value would be $5.59 per share, and the dilution to new investors participating in this offering would be $16.41 per share.</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28,612,451 shares outstanding as of June 30, 2020, and excludes:</w:t>
      </w:r>
    </w:p>
    <w:p>
      <w:pPr>
        <w:spacing w:after="0" w:line="10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2,652,683 shares of common stock underlying options outstanding at a weighted average exercise price of $8.24 per share;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1,333,501 shares of common stock underlying restricted stock units outstanding;</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118,122 shares of common stock underlying warrants outstanding at a weighted average exercise price of $13.76 per share;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3,629,995 shares of common stock available for future grant under our equity incentive plans, including our employee stock purchase plan.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above discussion assumes no exercise by the underwriters of their option to purchase additional shares of common stock from us.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that any outstanding options are exercised or restricted stock units vest, there will be further dilution to new investors.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40"/>
          </w:cols>
          <w:pgMar w:left="320" w:top="98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SELLING STOCKHOLDER</w:t>
      </w:r>
    </w:p>
    <w:p>
      <w:pPr>
        <w:spacing w:after="0" w:line="2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sets forth information regarding the number of shares of our common stock as of October 12, 2020, held for the account of, and the numbers of shares being sold, by the selling stockholder. Percentage ownership is based on 28,846,279 shares of our common stock outstanding on October 12, 2020.</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w w:val="89"/>
              </w:rPr>
              <w:t>Shares Beneficially Owned</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Shares Beneficially Owned</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w w:val="94"/>
              </w:rPr>
              <w:t>Prior to the Offering</w:t>
            </w:r>
          </w:p>
        </w:tc>
        <w:tc>
          <w:tcPr>
            <w:tcW w:w="240" w:type="dxa"/>
            <w:vAlign w:val="bottom"/>
          </w:tcPr>
          <w:p>
            <w:pPr>
              <w:spacing w:after="0"/>
              <w:rPr>
                <w:sz w:val="18"/>
                <w:szCs w:val="18"/>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7"/>
              </w:rPr>
              <w:t>Shares Being</w:t>
            </w:r>
          </w:p>
        </w:tc>
        <w:tc>
          <w:tcPr>
            <w:tcW w:w="2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After the Offering</w:t>
            </w:r>
          </w:p>
        </w:tc>
        <w:tc>
          <w:tcPr>
            <w:tcW w:w="0" w:type="dxa"/>
            <w:vAlign w:val="bottom"/>
          </w:tcPr>
          <w:p>
            <w:pPr>
              <w:spacing w:after="0"/>
              <w:rPr>
                <w:sz w:val="1"/>
                <w:szCs w:val="1"/>
                <w:color w:val="auto"/>
              </w:rPr>
            </w:pPr>
          </w:p>
        </w:tc>
      </w:tr>
      <w:tr>
        <w:trPr>
          <w:trHeight w:val="33"/>
        </w:trPr>
        <w:tc>
          <w:tcPr>
            <w:tcW w:w="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3020" w:type="dxa"/>
            <w:vAlign w:val="bottom"/>
            <w:gridSpan w:val="3"/>
          </w:tcPr>
          <w:p>
            <w:pPr>
              <w:ind w:left="300"/>
              <w:spacing w:after="0"/>
              <w:rPr>
                <w:sz w:val="20"/>
                <w:szCs w:val="20"/>
                <w:color w:val="auto"/>
              </w:rPr>
            </w:pPr>
            <w:r>
              <w:rPr>
                <w:rFonts w:ascii="Arial" w:cs="Arial" w:eastAsia="Arial" w:hAnsi="Arial"/>
                <w:sz w:val="16"/>
                <w:szCs w:val="16"/>
                <w:b w:val="1"/>
                <w:bCs w:val="1"/>
                <w:color w:val="auto"/>
              </w:rPr>
              <w:t>Name of Selling Stockholder</w:t>
            </w: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2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Offered</w:t>
            </w: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Number</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8"/>
              </w:rPr>
              <w:t>Percent</w:t>
            </w:r>
          </w:p>
        </w:tc>
        <w:tc>
          <w:tcPr>
            <w:tcW w:w="0" w:type="dxa"/>
            <w:vAlign w:val="bottom"/>
          </w:tcPr>
          <w:p>
            <w:pPr>
              <w:spacing w:after="0"/>
              <w:rPr>
                <w:sz w:val="1"/>
                <w:szCs w:val="1"/>
                <w:color w:val="auto"/>
              </w:rPr>
            </w:pPr>
          </w:p>
        </w:tc>
      </w:tr>
      <w:tr>
        <w:trPr>
          <w:trHeight w:val="33"/>
        </w:trPr>
        <w:tc>
          <w:tcPr>
            <w:tcW w:w="8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2580" w:type="dxa"/>
            <w:vAlign w:val="bottom"/>
            <w:gridSpan w:val="2"/>
            <w:shd w:val="clear" w:color="auto" w:fill="CCEEFF"/>
          </w:tcPr>
          <w:p>
            <w:pPr>
              <w:ind w:left="220"/>
              <w:spacing w:after="0" w:line="173" w:lineRule="exact"/>
              <w:rPr>
                <w:sz w:val="20"/>
                <w:szCs w:val="20"/>
                <w:color w:val="auto"/>
              </w:rPr>
            </w:pPr>
            <w:r>
              <w:rPr>
                <w:rFonts w:ascii="Arial" w:cs="Arial" w:eastAsia="Arial" w:hAnsi="Arial"/>
                <w:sz w:val="18"/>
                <w:szCs w:val="18"/>
                <w:color w:val="auto"/>
                <w:w w:val="90"/>
              </w:rPr>
              <w:t>Skyline Venture Partners V, L.P.</w:t>
            </w:r>
          </w:p>
        </w:tc>
        <w:tc>
          <w:tcPr>
            <w:tcW w:w="440" w:type="dxa"/>
            <w:vAlign w:val="bottom"/>
            <w:shd w:val="clear" w:color="auto" w:fill="CCEEFF"/>
          </w:tcPr>
          <w:p>
            <w:pPr>
              <w:spacing w:after="0"/>
              <w:rPr>
                <w:sz w:val="15"/>
                <w:szCs w:val="15"/>
                <w:color w:val="auto"/>
              </w:rPr>
            </w:pPr>
          </w:p>
        </w:tc>
        <w:tc>
          <w:tcPr>
            <w:tcW w:w="2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2,319,985</w:t>
            </w:r>
          </w:p>
        </w:tc>
        <w:tc>
          <w:tcPr>
            <w:tcW w:w="1560" w:type="dxa"/>
            <w:vAlign w:val="bottom"/>
            <w:gridSpan w:val="2"/>
            <w:vMerge w:val="restart"/>
            <w:shd w:val="clear" w:color="auto" w:fill="CCEEFF"/>
          </w:tcPr>
          <w:p>
            <w:pPr>
              <w:jc w:val="center"/>
              <w:ind w:left="130"/>
              <w:spacing w:after="0"/>
              <w:rPr>
                <w:sz w:val="20"/>
                <w:szCs w:val="20"/>
                <w:color w:val="auto"/>
              </w:rPr>
            </w:pPr>
            <w:r>
              <w:rPr>
                <w:rFonts w:ascii="Arial" w:cs="Arial" w:eastAsia="Arial" w:hAnsi="Arial"/>
                <w:sz w:val="18"/>
                <w:szCs w:val="18"/>
                <w:color w:val="auto"/>
                <w:w w:val="89"/>
              </w:rPr>
              <w:t>190,053</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17"/>
              <w:spacing w:after="0"/>
              <w:rPr>
                <w:sz w:val="20"/>
                <w:szCs w:val="20"/>
                <w:color w:val="auto"/>
              </w:rPr>
            </w:pPr>
            <w:r>
              <w:rPr>
                <w:rFonts w:ascii="Arial" w:cs="Arial" w:eastAsia="Arial" w:hAnsi="Arial"/>
                <w:sz w:val="18"/>
                <w:szCs w:val="18"/>
                <w:color w:val="auto"/>
              </w:rPr>
              <w:t>2,129,932</w:t>
            </w:r>
          </w:p>
        </w:tc>
        <w:tc>
          <w:tcPr>
            <w:tcW w:w="3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255"/>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38"/>
        </w:trPr>
        <w:tc>
          <w:tcPr>
            <w:tcW w:w="800" w:type="dxa"/>
            <w:vAlign w:val="bottom"/>
          </w:tcPr>
          <w:p>
            <w:pPr>
              <w:spacing w:after="0"/>
              <w:rPr>
                <w:sz w:val="12"/>
                <w:szCs w:val="12"/>
                <w:color w:val="auto"/>
              </w:rPr>
            </w:pPr>
          </w:p>
        </w:tc>
        <w:tc>
          <w:tcPr>
            <w:tcW w:w="1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(1)</w:t>
            </w:r>
          </w:p>
        </w:tc>
        <w:tc>
          <w:tcPr>
            <w:tcW w:w="15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2380" w:type="dxa"/>
            <w:vAlign w:val="bottom"/>
            <w:tcBorders>
              <w:bottom w:val="single" w:sz="8" w:color="CCEEFF"/>
            </w:tcBorders>
            <w:vMerge w:val="continue"/>
            <w:shd w:val="clear" w:color="auto" w:fill="CCEEFF"/>
          </w:tcPr>
          <w:p>
            <w:pPr>
              <w:spacing w:after="0"/>
              <w:rPr>
                <w:sz w:val="12"/>
                <w:szCs w:val="12"/>
                <w:color w:val="auto"/>
              </w:rPr>
            </w:pPr>
          </w:p>
        </w:tc>
        <w:tc>
          <w:tcPr>
            <w:tcW w:w="156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vMerge w:val="continue"/>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right="20" w:hanging="652"/>
        <w:spacing w:after="0" w:line="275" w:lineRule="auto"/>
        <w:tabs>
          <w:tab w:leader="none" w:pos="368" w:val="left"/>
        </w:tabs>
        <w:numPr>
          <w:ilvl w:val="0"/>
          <w:numId w:val="11"/>
        </w:numPr>
        <w:rPr>
          <w:rFonts w:ascii="Arial" w:cs="Arial" w:eastAsia="Arial" w:hAnsi="Arial"/>
          <w:sz w:val="16"/>
          <w:szCs w:val="16"/>
          <w:color w:val="auto"/>
        </w:rPr>
      </w:pPr>
      <w:r>
        <w:rPr>
          <w:rFonts w:ascii="Arial" w:cs="Arial" w:eastAsia="Arial" w:hAnsi="Arial"/>
          <w:sz w:val="16"/>
          <w:szCs w:val="16"/>
          <w:color w:val="auto"/>
        </w:rPr>
        <w:t>John G. Freund, M.D., a member of our board of directors, is a Managing Director at Skyline Venture Partners and a Managing Director of Skyline Venture Partners V,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40"/>
          </w:cols>
          <w:pgMar w:left="320" w:top="114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 OF OUR COMMON STOCK</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foreign tax laws, or any other U.S. federal tax laws. This discussion is based on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6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15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pass-through or disregarded entities for U.S. federal income tax purposes (and investors therein);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 for U.S. federal income tax purposes;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accrual-method taxpayers subject to special tax accounting rules under Section 451(b) of the Code;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who acquire our common stock through the exercise of a compensatory option or otherwise as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who have elected to or are required to mark securities to market; and</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synthetic security, or a constructive sale, or other risk reduction strategy or integrated investment.</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40"/>
          </w:cols>
          <w:pgMar w:left="320" w:top="945" w:right="339" w:bottom="1440" w:gutter="0" w:footer="0" w:header="0"/>
        </w:sectPr>
      </w:pPr>
    </w:p>
    <w:bookmarkStart w:id="18" w:name="page19"/>
    <w:bookmarkEnd w:id="18"/>
    <w:p>
      <w:pPr>
        <w:jc w:val="both"/>
        <w:ind w:firstLine="324"/>
        <w:spacing w:after="0" w:line="258"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 INCLUDING ANY RECENT OR PROPOSED CHANGE IN APPLICABLE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Non-U.S. Holder</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18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71" w:lineRule="exact"/>
        <w:rPr>
          <w:rFonts w:ascii="Arial" w:cs="Arial" w:eastAsia="Arial" w:hAnsi="Arial"/>
          <w:sz w:val="18"/>
          <w:szCs w:val="18"/>
          <w:color w:val="auto"/>
        </w:rPr>
      </w:pPr>
    </w:p>
    <w:p>
      <w:pPr>
        <w:ind w:left="660" w:right="8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trust if (1) its administration is subject to the primary supervision of a U.S. court and one or more U.S. persons have the authority to control all substantial decisions of the trust or (2) that has a valid election in effect under applicable U.S. Treasury Regulations to be treated as a U.S. person.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paid and do not anticipate paying dividends.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Subject to the discussions below regarding effectively connected income, backup withholding and Sections 1471 through 1474 of the Code (commonly referred to as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 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40"/>
          </w:cols>
          <w:pgMar w:left="320" w:top="94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170" w:lineRule="exact"/>
        <w:rPr>
          <w:sz w:val="20"/>
          <w:szCs w:val="20"/>
          <w:color w:val="auto"/>
        </w:rPr>
      </w:pPr>
    </w:p>
    <w:p>
      <w:pPr>
        <w:ind w:left="66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during the taxable year of the disposition, and certain other requirements are met; or</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as defined for purposes of applicable Treasury Regulations.</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Determining whether we are a USRPHC depends on the fair market value of our U.S. real property interests relative to the fair market value of our worldwide real property interests and our other assets used or held for use in a trade or business. We believe that we are not currently and do not anticipate becoming a USRPHC for U.S. federal income tax purposes, although there can be no assurance we will not in the future become a USRPHC.</w:t>
      </w:r>
    </w:p>
    <w:p>
      <w:pPr>
        <w:spacing w:after="0" w:line="1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Annual reports are required to be filed with the IRS and provided to each non-U.S. holder indicating the amount of dividends on our common stock paid to such holder, the name and address of the recipient,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Dividends paid by us (or our paying agents) to a non-U.S. holder may also be subject to U.S. federal backup withholding, currently imposed at a rate of 24%. Backup withholding (and for gross proceeds of a disposition of our common stock, information reporting)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otherwise establishes an exemption. Backup withholding may apply if the payor has actual knowledge, or reason to know, that the holder is a U.S. person who is not an exempt recipient.</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40"/>
          </w:cols>
          <w:pgMar w:left="320" w:top="94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Foreign Accounts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FATCA imposes a U.S. federal withholding tax of 30% on certain payments including dividends on, and, subject to the discussion of certain proposed Treasury Regulations below, gross proceeds from the sale or disposition of, our common stock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including dividends on, and, subject to the discussion of certain proposed Treasury Regulations below, gross proceeds from the sale or disposition of, our common stock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Non-U.S. holders should consult their own tax advisors regarding the possible implications of FATCA on their investment in our common stock.</w:t>
      </w:r>
    </w:p>
    <w:p>
      <w:pPr>
        <w:spacing w:after="0" w:line="18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U.S. Treasury released proposed Treasury Regulations which, if finalized in their present form, would eliminate the federal withholding tax of 30% applicable to the gross proceeds of a sale or other disposition of our common stock. In its preamble to such proposed Treasury Regulations, the U.S. Treasury stated that taxpayers may generally rely on the proposed regulations until final regulations are issued.</w:t>
      </w:r>
    </w:p>
    <w:p>
      <w:pPr>
        <w:spacing w:after="0" w:line="161" w:lineRule="exact"/>
        <w:rPr>
          <w:sz w:val="20"/>
          <w:szCs w:val="20"/>
          <w:color w:val="auto"/>
        </w:rPr>
      </w:pPr>
    </w:p>
    <w:p>
      <w:pPr>
        <w:jc w:val="both"/>
        <w:ind w:right="320" w:firstLine="445"/>
        <w:spacing w:after="0" w:line="266" w:lineRule="auto"/>
        <w:rPr>
          <w:sz w:val="20"/>
          <w:szCs w:val="20"/>
          <w:color w:val="auto"/>
        </w:rPr>
      </w:pPr>
      <w:r>
        <w:rPr>
          <w:rFonts w:ascii="Arial" w:cs="Arial" w:eastAsia="Arial" w:hAnsi="Arial"/>
          <w:sz w:val="18"/>
          <w:szCs w:val="18"/>
          <w:b w:val="1"/>
          <w:bCs w:val="1"/>
          <w:color w:val="auto"/>
        </w:rPr>
        <w:t>EACH PROSPECTIVE INVESTOR SHOULD CONSULT ITS OWN TAX ADVISOR REGARDING THE TAX CONSEQUENCES OF PURCHASING, HOLDING AND DISPOSING OF OUR COMMON STOCK, INCLUDING THE CONSEQUENCES OF ANY RECENT OR PROPOSED CHANGE IN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40"/>
          </w:cols>
          <w:pgMar w:left="320" w:top="94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UNDERWRITING</w:t>
      </w:r>
    </w:p>
    <w:p>
      <w:pPr>
        <w:spacing w:after="0" w:line="2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BofA Securities, Inc. are acting as representatives, have severally agreed to purchase, and we and the selling stockholder have agreed to sell to the underwriters, severally and not jointly, the number of shares indicated below:</w:t>
      </w:r>
    </w:p>
    <w:p>
      <w:pPr>
        <w:spacing w:after="0" w:line="279" w:lineRule="exact"/>
        <w:rPr>
          <w:sz w:val="20"/>
          <w:szCs w:val="20"/>
          <w:color w:val="auto"/>
        </w:rPr>
      </w:pPr>
    </w:p>
    <w:tbl>
      <w:tblPr>
        <w:tblLayout w:type="fixed"/>
        <w:tblInd w:w="1920" w:type="dxa"/>
        <w:tblCellMar>
          <w:top w:w="0" w:type="dxa"/>
          <w:left w:w="0" w:type="dxa"/>
          <w:bottom w:w="0" w:type="dxa"/>
          <w:right w:w="0" w:type="dxa"/>
        </w:tblCellMar>
      </w:tblPr>
      <w:tr>
        <w:trPr>
          <w:trHeight w:val="210"/>
        </w:trPr>
        <w:tc>
          <w:tcPr>
            <w:tcW w:w="5960" w:type="dxa"/>
            <w:vAlign w:val="bottom"/>
            <w:gridSpan w:val="2"/>
          </w:tcPr>
          <w:p>
            <w:pPr>
              <w:ind w:left="2640"/>
              <w:spacing w:after="0"/>
              <w:rPr>
                <w:sz w:val="20"/>
                <w:szCs w:val="20"/>
                <w:color w:val="auto"/>
              </w:rPr>
            </w:pPr>
            <w:r>
              <w:rPr>
                <w:rFonts w:ascii="Arial" w:cs="Arial" w:eastAsia="Arial" w:hAnsi="Arial"/>
                <w:sz w:val="16"/>
                <w:szCs w:val="16"/>
                <w:b w:val="1"/>
                <w:bCs w:val="1"/>
                <w:color w:val="auto"/>
              </w:rPr>
              <w:t>Name</w:t>
            </w:r>
          </w:p>
        </w:tc>
        <w:tc>
          <w:tcPr>
            <w:tcW w:w="1460" w:type="dxa"/>
            <w:vAlign w:val="bottom"/>
          </w:tcPr>
          <w:p>
            <w:pPr>
              <w:jc w:val="right"/>
              <w:ind w:right="11"/>
              <w:spacing w:after="0"/>
              <w:rPr>
                <w:sz w:val="20"/>
                <w:szCs w:val="20"/>
                <w:color w:val="auto"/>
              </w:rPr>
            </w:pPr>
            <w:r>
              <w:rPr>
                <w:rFonts w:ascii="Arial" w:cs="Arial" w:eastAsia="Arial" w:hAnsi="Arial"/>
                <w:sz w:val="16"/>
                <w:szCs w:val="16"/>
                <w:b w:val="1"/>
                <w:bCs w:val="1"/>
                <w:color w:val="auto"/>
                <w:w w:val="97"/>
              </w:rPr>
              <w:t>Number of Shares</w:t>
            </w:r>
          </w:p>
        </w:tc>
      </w:tr>
      <w:tr>
        <w:trPr>
          <w:trHeight w:val="33"/>
        </w:trPr>
        <w:tc>
          <w:tcPr>
            <w:tcW w:w="56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1,212,221</w:t>
            </w:r>
          </w:p>
        </w:tc>
      </w:tr>
      <w:tr>
        <w:trPr>
          <w:trHeight w:val="243"/>
        </w:trPr>
        <w:tc>
          <w:tcPr>
            <w:tcW w:w="596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460" w:type="dxa"/>
            <w:vAlign w:val="bottom"/>
          </w:tcPr>
          <w:p>
            <w:pPr>
              <w:jc w:val="right"/>
              <w:spacing w:after="0"/>
              <w:rPr>
                <w:sz w:val="20"/>
                <w:szCs w:val="20"/>
                <w:color w:val="auto"/>
              </w:rPr>
            </w:pPr>
            <w:r>
              <w:rPr>
                <w:rFonts w:ascii="Arial" w:cs="Arial" w:eastAsia="Arial" w:hAnsi="Arial"/>
                <w:sz w:val="18"/>
                <w:szCs w:val="18"/>
                <w:color w:val="auto"/>
              </w:rPr>
              <w:t>1,212,220</w:t>
            </w:r>
          </w:p>
        </w:tc>
      </w:tr>
      <w:tr>
        <w:trPr>
          <w:trHeight w:val="27"/>
        </w:trPr>
        <w:tc>
          <w:tcPr>
            <w:tcW w:w="5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Cantor Fitzgerald &amp; Co.</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255,204</w:t>
            </w:r>
          </w:p>
        </w:tc>
      </w:tr>
      <w:tr>
        <w:trPr>
          <w:trHeight w:val="243"/>
        </w:trPr>
        <w:tc>
          <w:tcPr>
            <w:tcW w:w="596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1460" w:type="dxa"/>
            <w:vAlign w:val="bottom"/>
          </w:tcPr>
          <w:p>
            <w:pPr>
              <w:jc w:val="right"/>
              <w:spacing w:after="0"/>
              <w:rPr>
                <w:sz w:val="20"/>
                <w:szCs w:val="20"/>
                <w:color w:val="auto"/>
              </w:rPr>
            </w:pPr>
            <w:r>
              <w:rPr>
                <w:rFonts w:ascii="Arial" w:cs="Arial" w:eastAsia="Arial" w:hAnsi="Arial"/>
                <w:sz w:val="18"/>
                <w:szCs w:val="18"/>
                <w:color w:val="auto"/>
              </w:rPr>
              <w:t>255,204</w:t>
            </w:r>
          </w:p>
        </w:tc>
      </w:tr>
      <w:tr>
        <w:trPr>
          <w:trHeight w:val="27"/>
        </w:trPr>
        <w:tc>
          <w:tcPr>
            <w:tcW w:w="5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Needham &amp; Company, LLC</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255,204</w:t>
            </w:r>
          </w:p>
        </w:tc>
      </w:tr>
      <w:tr>
        <w:trPr>
          <w:trHeight w:val="263"/>
        </w:trPr>
        <w:tc>
          <w:tcPr>
            <w:tcW w:w="5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3,190,053</w:t>
            </w:r>
          </w:p>
        </w:tc>
      </w:tr>
      <w:tr>
        <w:trPr>
          <w:trHeight w:val="21"/>
        </w:trPr>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w:t>
      </w:r>
    </w:p>
    <w:p>
      <w:pPr>
        <w:spacing w:after="0" w:line="17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 prospectus and part to certain dealers at a price that represents a concession not in excess of $0.792 per share under the public offering price. After the initial offering of the shares of common stock, the offering price and the other selling terms may from time to time be varied by the representatives.</w:t>
      </w:r>
    </w:p>
    <w:p>
      <w:pPr>
        <w:spacing w:after="0" w:line="14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478,507 additional shares of common stock from us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and the selling stockholder. These amounts are shown assuming both no exercise and full exercise of the underwriters’ option to purchase up to an additional 478,507 shares of common stock from us.</w:t>
      </w:r>
    </w:p>
    <w:p>
      <w:pPr>
        <w:spacing w:after="0" w:line="333"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88"/>
              </w:rPr>
              <w:t>Total</w:t>
            </w:r>
          </w:p>
        </w:tc>
        <w:tc>
          <w:tcPr>
            <w:tcW w:w="1400" w:type="dxa"/>
            <w:vAlign w:val="bottom"/>
          </w:tcPr>
          <w:p>
            <w:pPr>
              <w:spacing w:after="0"/>
              <w:rPr>
                <w:sz w:val="18"/>
                <w:szCs w:val="18"/>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6"/>
                <w:szCs w:val="16"/>
                <w:b w:val="1"/>
                <w:bCs w:val="1"/>
                <w:color w:val="auto"/>
              </w:rPr>
              <w:t>Per Share</w:t>
            </w:r>
          </w:p>
        </w:tc>
        <w:tc>
          <w:tcPr>
            <w:tcW w:w="240" w:type="dxa"/>
            <w:vAlign w:val="bottom"/>
          </w:tcPr>
          <w:p>
            <w:pPr>
              <w:spacing w:after="0"/>
              <w:rPr>
                <w:sz w:val="18"/>
                <w:szCs w:val="18"/>
                <w:color w:val="auto"/>
              </w:rPr>
            </w:pPr>
          </w:p>
        </w:tc>
        <w:tc>
          <w:tcPr>
            <w:tcW w:w="1260" w:type="dxa"/>
            <w:vAlign w:val="bottom"/>
          </w:tcPr>
          <w:p>
            <w:pPr>
              <w:jc w:val="right"/>
              <w:ind w:right="232"/>
              <w:spacing w:after="0"/>
              <w:rPr>
                <w:sz w:val="20"/>
                <w:szCs w:val="20"/>
                <w:color w:val="auto"/>
              </w:rPr>
            </w:pPr>
            <w:r>
              <w:rPr>
                <w:rFonts w:ascii="Arial" w:cs="Arial" w:eastAsia="Arial" w:hAnsi="Arial"/>
                <w:sz w:val="16"/>
                <w:szCs w:val="16"/>
                <w:b w:val="1"/>
                <w:bCs w:val="1"/>
                <w:color w:val="auto"/>
              </w:rPr>
              <w:t>No Exercise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292"/>
              <w:spacing w:after="0"/>
              <w:rPr>
                <w:sz w:val="20"/>
                <w:szCs w:val="20"/>
                <w:color w:val="auto"/>
              </w:rPr>
            </w:pPr>
            <w:r>
              <w:rPr>
                <w:rFonts w:ascii="Arial" w:cs="Arial" w:eastAsia="Arial" w:hAnsi="Arial"/>
                <w:sz w:val="16"/>
                <w:szCs w:val="16"/>
                <w:b w:val="1"/>
                <w:bCs w:val="1"/>
                <w:color w:val="auto"/>
              </w:rPr>
              <w:t>Full Exercise</w:t>
            </w:r>
          </w:p>
        </w:tc>
      </w:tr>
      <w:tr>
        <w:trPr>
          <w:trHeight w:val="33"/>
        </w:trPr>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70,181,166.00</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80,708,320.00</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1.320</w:t>
            </w:r>
          </w:p>
        </w:tc>
        <w:tc>
          <w:tcPr>
            <w:tcW w:w="2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3,960,000.00</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4,591,629.24</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Underwriting  discounts  and  commissions  to  be  paid  by  the  selling</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250,869.96</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250,869.96</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20.680</w:t>
            </w:r>
          </w:p>
        </w:tc>
        <w:tc>
          <w:tcPr>
            <w:tcW w:w="2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62,040,000.00</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71,935,524.76</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20.680</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3,930,296.04</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3,930,296.04</w:t>
            </w:r>
          </w:p>
        </w:tc>
      </w:tr>
      <w:tr>
        <w:trPr>
          <w:trHeight w:val="27"/>
        </w:trPr>
        <w:tc>
          <w:tcPr>
            <w:tcW w:w="5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but including expenses we are incurring in connection with the sale of the shares by the selling stockholder, are approximately $365,000. We have also agreed to reimburse the underwriters for expense relating to clearance of this offering with the Financial Industry Regulatory Authority up to $30,000.</w:t>
      </w:r>
    </w:p>
    <w:p>
      <w:pPr>
        <w:spacing w:after="0" w:line="18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ectPr>
          <w:pgSz w:w="11900" w:h="16838" w:orient="portrait"/>
          <w:cols w:equalWidth="0" w:num="1">
            <w:col w:w="11240"/>
          </w:cols>
          <w:pgMar w:left="320" w:top="999"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S-19</w:t>
      </w:r>
    </w:p>
    <w:p>
      <w:pPr>
        <w:sectPr>
          <w:pgSz w:w="11900" w:h="16838" w:orient="portrait"/>
          <w:cols w:equalWidth="0" w:num="1">
            <w:col w:w="11240"/>
          </w:cols>
          <w:pgMar w:left="320" w:top="999" w:right="339" w:bottom="1440" w:gutter="0" w:footer="0" w:header="0"/>
          <w:type w:val="continuous"/>
        </w:sectPr>
      </w:pPr>
    </w:p>
    <w:bookmarkStart w:id="22" w:name="page23"/>
    <w:bookmarkEnd w:id="22"/>
    <w:p>
      <w:pPr>
        <w:ind w:left="420"/>
        <w:spacing w:after="0"/>
        <w:rPr>
          <w:sz w:val="20"/>
          <w:szCs w:val="20"/>
          <w:color w:val="auto"/>
        </w:rPr>
      </w:pPr>
      <w:r>
        <w:rPr>
          <w:rFonts w:ascii="Arial" w:cs="Arial" w:eastAsia="Arial" w:hAnsi="Arial"/>
          <w:sz w:val="18"/>
          <w:szCs w:val="18"/>
          <w:color w:val="auto"/>
        </w:rPr>
        <w:t>Our common stock is listed on the Nasdaq Global Market under the symbol “SIBN.”</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and our directors, officers and the selling stockholder have agreed that, without the prior written consent of Morgan Stanley &amp; Co. LLC and BofA Securities, Inc. on behalf of the underwriters, we will not and they will not publicly disclose an intention to, during the period ending 90 days (30 days in the case of the selling stockholder) after the date of this prospectus (the “restricted period”):</w:t>
      </w:r>
    </w:p>
    <w:p>
      <w:pPr>
        <w:spacing w:after="0" w:line="184" w:lineRule="exact"/>
        <w:rPr>
          <w:sz w:val="20"/>
          <w:szCs w:val="20"/>
          <w:color w:val="auto"/>
        </w:rPr>
      </w:pPr>
    </w:p>
    <w:p>
      <w:pPr>
        <w:jc w:val="both"/>
        <w:ind w:left="740" w:hanging="327"/>
        <w:spacing w:after="0" w:line="263" w:lineRule="auto"/>
        <w:tabs>
          <w:tab w:leader="none" w:pos="7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w:t>
      </w:r>
    </w:p>
    <w:p>
      <w:pPr>
        <w:spacing w:after="0" w:line="183" w:lineRule="exact"/>
        <w:rPr>
          <w:rFonts w:ascii="Arial" w:cs="Arial" w:eastAsia="Arial" w:hAnsi="Arial"/>
          <w:sz w:val="18"/>
          <w:szCs w:val="18"/>
          <w:color w:val="auto"/>
        </w:rPr>
      </w:pPr>
    </w:p>
    <w:p>
      <w:pPr>
        <w:jc w:val="both"/>
        <w:ind w:left="740" w:hanging="327"/>
        <w:spacing w:after="0" w:line="291" w:lineRule="auto"/>
        <w:tabs>
          <w:tab w:leader="none" w:pos="7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the common stock; whether any such transaction described above is to be settled by delivery of common stock or such other securities, in cash or otherwise. In addition, we have agreed that we will not file any registration statement with the Securities and Exchange Commission relating to the offering of any shares of common stock or any securities convertible into or exercisable or exchangeable for common stock, subject to certain exceptions, and each such other person agrees that, without the prior written consent of Morgan Stanley &amp; Co. LLC and BofA Securities, Inc. on behalf of the underwriters,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225" w:lineRule="exact"/>
        <w:rPr>
          <w:sz w:val="20"/>
          <w:szCs w:val="20"/>
          <w:color w:val="auto"/>
        </w:rPr>
      </w:pPr>
    </w:p>
    <w:p>
      <w:pPr>
        <w:jc w:val="both"/>
        <w:ind w:left="740" w:hanging="327"/>
        <w:spacing w:after="0" w:line="286" w:lineRule="auto"/>
        <w:tabs>
          <w:tab w:leader="none" w:pos="7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transactions by a security holder relating to shares of common stock or other securities acquired in open market transactions after the closing of this offering; provided that no filing under Section 16(a) of the Exchange Act is required or voluntarily made during the restricted period in connection with subsequent sales of common stock or other securities acquired in such open market transactions;</w:t>
      </w:r>
    </w:p>
    <w:p>
      <w:pPr>
        <w:spacing w:after="0" w:line="165" w:lineRule="exact"/>
        <w:rPr>
          <w:rFonts w:ascii="Arial" w:cs="Arial" w:eastAsia="Arial" w:hAnsi="Arial"/>
          <w:sz w:val="17"/>
          <w:szCs w:val="17"/>
          <w:color w:val="auto"/>
        </w:rPr>
      </w:pPr>
    </w:p>
    <w:p>
      <w:pPr>
        <w:jc w:val="both"/>
        <w:ind w:left="740" w:hanging="327"/>
        <w:spacing w:after="0" w:line="291" w:lineRule="auto"/>
        <w:tabs>
          <w:tab w:leader="none" w:pos="7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common stock (i) as a bona fide gift, (ii) to an immediate family member or a trust for the direct or indirect benefit of the transferor or such immediate family member of the transferor, (iii) to any corporation, partnership, limited liability company, investment fund, or other entity controlled or managed, or under common control or management by the transferor or the immediate family of the transferor, or (iv) by will, other testamentary document or intestate succession to the legal representative, heir, beneficiary, or a member of the immediate family of the transferor, provided in each case that (a) each distributee or transferee signs and delivers a lock-up letter and (b) no filing under Section 16(a) of the Exchange Act reporting a reduction in beneficial ownership of shares shall be required or voluntarily made during the restricted period (other than a filing on a Form 5);</w:t>
      </w:r>
    </w:p>
    <w:p>
      <w:pPr>
        <w:spacing w:after="0" w:line="166" w:lineRule="exact"/>
        <w:rPr>
          <w:rFonts w:ascii="Arial" w:cs="Arial" w:eastAsia="Arial" w:hAnsi="Arial"/>
          <w:sz w:val="16"/>
          <w:szCs w:val="16"/>
          <w:color w:val="auto"/>
        </w:rPr>
      </w:pPr>
    </w:p>
    <w:p>
      <w:pPr>
        <w:jc w:val="both"/>
        <w:ind w:left="740" w:hanging="327"/>
        <w:spacing w:after="0" w:line="279" w:lineRule="auto"/>
        <w:tabs>
          <w:tab w:leader="none" w:pos="7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distributions or transfers of shares of common stock or any security convertible into or exercisable or exchangeable for common stock to general or limited partners, members, or stockholders of the transferor, provided that (i) each distributee or transferee shall sign and deliver a lock-up letter and (ii) no filing under Section 16(a) of the Exchange Act, reporting a reduction in beneficial ownership of shares of common stock, shall be required or shall be voluntarily made during the restricted period (other than a filing on a Form 5);</w:t>
      </w:r>
    </w:p>
    <w:p>
      <w:pPr>
        <w:spacing w:after="0" w:line="171" w:lineRule="exact"/>
        <w:rPr>
          <w:rFonts w:ascii="Arial" w:cs="Arial" w:eastAsia="Arial" w:hAnsi="Arial"/>
          <w:sz w:val="17"/>
          <w:szCs w:val="17"/>
          <w:color w:val="auto"/>
        </w:rPr>
      </w:pPr>
    </w:p>
    <w:p>
      <w:pPr>
        <w:jc w:val="both"/>
        <w:ind w:left="740" w:hanging="327"/>
        <w:spacing w:after="0" w:line="291" w:lineRule="auto"/>
        <w:tabs>
          <w:tab w:leader="none" w:pos="7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 (i) such plan does not provide for the transfer of common stock during the restricted period; provided, however, that Jeffrey W. Dunn, our President, Chief Executive Officer and Chairman, shall be permitted to establish a 10b5-1 plan and transfer shares of our common stock under such 10b5-1 plan during the restricted period so long as 30 calendar days have elapsed between the establishment of such 10b5-1 plan and the first transfer of shares of common stock pursuant to such plan and (ii) to the extent a public announcement or filing under the Exchange Act, if any, is required of or voluntarily made by or on behalf of the person or us regarding the establishment of such plan, such announcement or filing shall include a statement to the effect that no transfer of common stock may be made under such plan during the restricted period;</w:t>
      </w:r>
    </w:p>
    <w:p>
      <w:pPr>
        <w:spacing w:after="0" w:line="166" w:lineRule="exact"/>
        <w:rPr>
          <w:rFonts w:ascii="Arial" w:cs="Arial" w:eastAsia="Arial" w:hAnsi="Arial"/>
          <w:sz w:val="16"/>
          <w:szCs w:val="16"/>
          <w:color w:val="auto"/>
        </w:rPr>
      </w:pPr>
    </w:p>
    <w:p>
      <w:pPr>
        <w:jc w:val="both"/>
        <w:ind w:left="740" w:hanging="327"/>
        <w:spacing w:after="0" w:line="275" w:lineRule="auto"/>
        <w:tabs>
          <w:tab w:leader="none" w:pos="7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exercise of options to purchase shares of common stock granted under any stock incentive plan or stock purchase plan described in this prospectus, provided that (i) the underlying shares shall continue to be subject to the restrictions on transfer set forth in the lock-up agreement and (ii) any filing under Section 16 of the Exchange Act made during the restricted period shall clearly indicate that (A) the filing relates to the circumstances described above and (B) no securities were sold by the person, and (iii) the person does not otherwise voluntarily effect any other public filing or report regarding such transfers during the restricted period;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40"/>
          </w:cols>
          <w:pgMar w:left="320" w:top="989" w:right="339" w:bottom="1440" w:gutter="0" w:footer="0" w:header="0"/>
        </w:sectPr>
      </w:pPr>
    </w:p>
    <w:bookmarkStart w:id="23" w:name="page24"/>
    <w:bookmarkEnd w:id="23"/>
    <w:p>
      <w:pPr>
        <w:jc w:val="both"/>
        <w:ind w:left="740" w:hanging="327"/>
        <w:spacing w:after="0" w:line="286" w:lineRule="auto"/>
        <w:tabs>
          <w:tab w:leader="none" w:pos="7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receipt from us of shares of common stock upon (A) the exercise or settlement of options or restricted stock units granted under a stock incentive plan or other equity award plan, which plan is described in this prospectus or (B) the exercise of warrants outstanding and which are described in the this prospectus, or (ii) the transfer of shares of common stock or any securities convertible into common stock to us upon a vesting or settlement event of our securities or upon the exercise of options or warrants to purchase our securities on a “cashless” or “net exercise” basis to the extent permitted by the instruments representing such options or warrants (and any transfer to us necessary to generate such amount of cash needed for the payment of taxes, including estimated taxes, due as a result of such vesting or exercise whether by means of a “net settlement” or otherwise) so long as such “cashless exercise” or “net exercise” is effected solely by the surrender of outstanding options or warrants (or the common stock issuable upon the exercise thereof) to us and our cancellation of all or a portion thereof to pay the exercise price and/or withholding tax and remittance obligations, provided that (1) in the case of (i), the shares received upon exercise or settlement of the option, restricted stock unit, or warrant are subject to the terms of the lock-up agreement and (2) to the extent a filing under Section 16 of the Exchange Act is required to be made during the restricted period as a result of transfers, it shall clearly indicate that (A) the filing relates to the circumstances described above and (B) no securities were sold by the transferor in the open market, and (3) the transferor does not otherwise voluntarily effect any other public filing or report regarding such transfers during the restricted period;</w:t>
      </w:r>
    </w:p>
    <w:p>
      <w:pPr>
        <w:spacing w:after="0" w:line="173" w:lineRule="exact"/>
        <w:rPr>
          <w:rFonts w:ascii="Arial" w:cs="Arial" w:eastAsia="Arial" w:hAnsi="Arial"/>
          <w:sz w:val="16"/>
          <w:szCs w:val="16"/>
          <w:color w:val="auto"/>
        </w:rPr>
      </w:pPr>
    </w:p>
    <w:p>
      <w:pPr>
        <w:jc w:val="both"/>
        <w:ind w:left="740" w:hanging="327"/>
        <w:spacing w:after="0" w:line="255" w:lineRule="auto"/>
        <w:tabs>
          <w:tab w:leader="none" w:pos="7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or exercisable or exchangeable for common stock to us pursuant to agreements under which we have the option to repurchase such shares or a right of first refusal with respect to transfers of such shares, provided that (1) to the extent a filing under Section 16 of the Exchange Act is required to be made during the restricted period as a result of such transfers, it shall clearly indicate that (A) the filing relates to the circumstances described above and (B) no securities were sold by the transferor in the open market, and (2) the transferor does not otherwise voluntarily effect any other public filing or report regarding such transfers during the restricted period;</w:t>
      </w:r>
    </w:p>
    <w:p>
      <w:pPr>
        <w:spacing w:after="0" w:line="192" w:lineRule="exact"/>
        <w:rPr>
          <w:rFonts w:ascii="Arial" w:cs="Arial" w:eastAsia="Arial" w:hAnsi="Arial"/>
          <w:sz w:val="18"/>
          <w:szCs w:val="18"/>
          <w:color w:val="auto"/>
        </w:rPr>
      </w:pPr>
    </w:p>
    <w:p>
      <w:pPr>
        <w:jc w:val="both"/>
        <w:ind w:left="740" w:hanging="327"/>
        <w:spacing w:after="0" w:line="275" w:lineRule="auto"/>
        <w:tabs>
          <w:tab w:leader="none" w:pos="7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transfer of shares of common stock or any security convertible into or exercisable or exchangeable for common stock that occurs pursuant to a qualified domestic order or in connection with a divorce settlement, provided that (i) each transferee shall sign and deliver a lock-up agreement, (ii) any filing under Section 16 of the Exchange Act made during the restricted period shall clearly indicate in the footnotes thereto that (A) the filing relates to the circumstances described above and (B) no securities were sold by the transferor, and (iii) the transferor does not otherwise voluntarily effect any other public filing or report regarding such transfers during the restricted period;</w:t>
      </w:r>
    </w:p>
    <w:p>
      <w:pPr>
        <w:spacing w:after="0" w:line="176" w:lineRule="exact"/>
        <w:rPr>
          <w:rFonts w:ascii="Arial" w:cs="Arial" w:eastAsia="Arial" w:hAnsi="Arial"/>
          <w:sz w:val="17"/>
          <w:szCs w:val="17"/>
          <w:color w:val="auto"/>
        </w:rPr>
      </w:pPr>
    </w:p>
    <w:p>
      <w:pPr>
        <w:jc w:val="both"/>
        <w:ind w:left="740" w:right="20" w:hanging="327"/>
        <w:spacing w:after="0" w:line="259" w:lineRule="auto"/>
        <w:tabs>
          <w:tab w:leader="none" w:pos="7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sale or transfer of shares of common stock under a plan established pursuant to Rule 10b5-1 under the Exchange Act (a “10b5-1 Plan”) that is existing prior to this offering; provided, that, to the extent a public report, filing or announcement under the Exchange Act, if any, is required by, or voluntarily made by or on behalf of, such person or us regarding such transfer, such report, filing or announcement shall include a statement that such transfer is in accordance with an established 10b5-1 Plan;</w:t>
      </w:r>
    </w:p>
    <w:p>
      <w:pPr>
        <w:spacing w:after="0" w:line="186" w:lineRule="exact"/>
        <w:rPr>
          <w:rFonts w:ascii="Arial" w:cs="Arial" w:eastAsia="Arial" w:hAnsi="Arial"/>
          <w:sz w:val="18"/>
          <w:szCs w:val="18"/>
          <w:color w:val="auto"/>
        </w:rPr>
      </w:pPr>
    </w:p>
    <w:p>
      <w:pPr>
        <w:jc w:val="both"/>
        <w:ind w:left="740" w:hanging="327"/>
        <w:spacing w:after="0" w:line="273" w:lineRule="auto"/>
        <w:tabs>
          <w:tab w:leader="none" w:pos="7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the sale of shares of common stock solely in connection with the payment of taxes due with respect to the vesting of restricted stock or restricted stock units granted under a stock incentive plan or pursuant to a contractual employment arrangement described or incorporated by reference in this prospectus, insofar as such restricted stock or restricted stock units are outstanding as of the date of the prospectus,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filing under Section 16(a) of the Exchange Act shall be voluntarily made during the restricted period and any filing under Section 16(a) of the Exchange Act that is required to be made shall include a note indicating that such sale was solely in connection with the payment of taxes due with respect to the vesting of such restricted stock or restricted stock units;</w:t>
      </w:r>
    </w:p>
    <w:p>
      <w:pPr>
        <w:spacing w:after="0" w:line="177" w:lineRule="exact"/>
        <w:rPr>
          <w:rFonts w:ascii="Arial" w:cs="Arial" w:eastAsia="Arial" w:hAnsi="Arial"/>
          <w:sz w:val="17"/>
          <w:szCs w:val="17"/>
          <w:color w:val="auto"/>
        </w:rPr>
      </w:pPr>
    </w:p>
    <w:p>
      <w:pPr>
        <w:jc w:val="both"/>
        <w:ind w:left="740" w:hanging="327"/>
        <w:spacing w:after="0" w:line="259" w:lineRule="auto"/>
        <w:tabs>
          <w:tab w:leader="none" w:pos="7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we may the sell or issue shares of our common stock not to exceed 5% of our outstanding common stock in connection with our acquisition of one or more businesses, products or technologies (whether by means of merger, stock purchase, asset purchase or otherwise) or in connection with joint ventures, commercial relationships or other strategic transactions, </w:t>
      </w:r>
      <w:r>
        <w:rPr>
          <w:rFonts w:ascii="Arial" w:cs="Arial" w:eastAsia="Arial" w:hAnsi="Arial"/>
          <w:sz w:val="18"/>
          <w:szCs w:val="18"/>
          <w:i w:val="1"/>
          <w:iCs w:val="1"/>
          <w:color w:val="auto"/>
        </w:rPr>
        <w:t>provided</w:t>
      </w:r>
      <w:r>
        <w:rPr>
          <w:rFonts w:ascii="Arial" w:cs="Arial" w:eastAsia="Arial" w:hAnsi="Arial"/>
          <w:sz w:val="18"/>
          <w:szCs w:val="18"/>
          <w:color w:val="auto"/>
        </w:rPr>
        <w:t>, that the recipient agrees to enter into a lockup agreement similar to the lockup agreements entered into by our directors and officers; or</w:t>
      </w:r>
    </w:p>
    <w:p>
      <w:pPr>
        <w:spacing w:after="0" w:line="186"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sale of shares of common stock to the underwriters pursuant to the underwriting agreement.</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Morgan Stanley &amp; Co. LLC and BofA Securities, Inc., in their sole discretion, may release the common stock and other securities subject to the lock-up agreements described above in whole or in part at any time.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40"/>
          </w:cols>
          <w:pgMar w:left="320" w:top="989" w:right="339" w:bottom="1440" w:gutter="0" w:footer="0" w:header="0"/>
        </w:sectPr>
      </w:pPr>
    </w:p>
    <w:bookmarkStart w:id="24" w:name="page25"/>
    <w:bookmarkEnd w:id="24"/>
    <w:p>
      <w:pPr>
        <w:jc w:val="both"/>
        <w:ind w:firstLine="405"/>
        <w:spacing w:after="0" w:line="269" w:lineRule="auto"/>
        <w:rPr>
          <w:sz w:val="20"/>
          <w:szCs w:val="20"/>
          <w:color w:val="auto"/>
        </w:rPr>
      </w:pPr>
      <w:r>
        <w:rPr>
          <w:rFonts w:ascii="Arial" w:cs="Arial" w:eastAsia="Arial" w:hAnsi="Arial"/>
          <w:sz w:val="17"/>
          <w:szCs w:val="17"/>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option to purchase additional shares from us.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the selling stockholder and the underwriters have agreed to indemnify each other against certain liabilities, including liabilities under the Securities Act.</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performed and may in the future perform various financial advisory and investment banking services for us, for which they will receive customary fees and expenses.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 and the United Kingdom</w:t>
      </w:r>
    </w:p>
    <w:p>
      <w:pPr>
        <w:spacing w:after="0" w:line="22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In relation to each Member State of the European Economic Area and the United Kingdom (each, a “Member State”), an offer to the public of any shares of our common stock may not be made in that Member State, except that an offer to the public in that Member State of any shares of our common stock may be made at any time under the following exemptions under the Prospectus Regulation, if they have been implemented in that Member State:</w:t>
      </w:r>
    </w:p>
    <w:p>
      <w:pPr>
        <w:spacing w:after="0" w:line="149" w:lineRule="exact"/>
        <w:rPr>
          <w:sz w:val="20"/>
          <w:szCs w:val="20"/>
          <w:color w:val="auto"/>
        </w:rPr>
      </w:pPr>
    </w:p>
    <w:p>
      <w:pPr>
        <w:ind w:left="1000" w:hanging="344"/>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225" w:lineRule="exact"/>
        <w:rPr>
          <w:rFonts w:ascii="Arial" w:cs="Arial" w:eastAsia="Arial" w:hAnsi="Arial"/>
          <w:sz w:val="18"/>
          <w:szCs w:val="18"/>
          <w:color w:val="auto"/>
        </w:rPr>
      </w:pPr>
    </w:p>
    <w:p>
      <w:pPr>
        <w:ind w:left="1300" w:hanging="644"/>
        <w:spacing w:after="0" w:line="277" w:lineRule="auto"/>
        <w:tabs>
          <w:tab w:leader="none" w:pos="11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150, natural or legal persons (other than qualified investors as defined in the Prospectus Regulation), as permitted under the Prospectus Regulation, subject to obtaining the prior consent of the representatives for any such offer; or</w:t>
      </w:r>
    </w:p>
    <w:p>
      <w:pPr>
        <w:spacing w:after="0" w:line="170" w:lineRule="exact"/>
        <w:rPr>
          <w:rFonts w:ascii="Arial" w:cs="Arial" w:eastAsia="Arial" w:hAnsi="Arial"/>
          <w:sz w:val="18"/>
          <w:szCs w:val="18"/>
          <w:color w:val="auto"/>
        </w:rPr>
      </w:pPr>
    </w:p>
    <w:p>
      <w:pPr>
        <w:ind w:left="1300" w:hanging="644"/>
        <w:spacing w:after="0" w:line="263" w:lineRule="auto"/>
        <w:tabs>
          <w:tab w:leader="none" w:pos="11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of our common stock shall result in a requirement for the publication by us or any underwriter of a prospectus pursuant to Article 3 of the Prospectus Regulation, or supplement a prospectus pursuant to Article 23 of the Prospectus Regulation.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40"/>
          </w:cols>
          <w:pgMar w:left="320" w:top="989" w:right="339" w:bottom="1440" w:gutter="0" w:footer="0" w:header="0"/>
        </w:sectPr>
      </w:pPr>
    </w:p>
    <w:bookmarkStart w:id="25" w:name="page26"/>
    <w:bookmarkEnd w:id="25"/>
    <w:p>
      <w:pPr>
        <w:jc w:val="both"/>
        <w:ind w:firstLine="648"/>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any Member State means the communication in any form and by any means of sufficient information on the terms of the offer and any shares of our common stock to be offered so as to enable an investor to decide to purchase or subscribe any shares of our common stock, as the same may be varied in that Member State by any measure implementing the Prospectus Regulation in that Member State. For the purposes of this provision, the expression “Prospectus Regulation” means Regulation (EU) 2017/1129.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underwriter has represented and agreed that:</w:t>
      </w:r>
    </w:p>
    <w:p>
      <w:pPr>
        <w:spacing w:after="0" w:line="225" w:lineRule="exact"/>
        <w:rPr>
          <w:sz w:val="20"/>
          <w:szCs w:val="20"/>
          <w:color w:val="auto"/>
        </w:rPr>
      </w:pPr>
    </w:p>
    <w:p>
      <w:pPr>
        <w:ind w:left="1300" w:hanging="644"/>
        <w:spacing w:after="0" w:line="259" w:lineRule="auto"/>
        <w:tabs>
          <w:tab w:leader="none" w:pos="11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186" w:lineRule="exact"/>
        <w:rPr>
          <w:rFonts w:ascii="Arial" w:cs="Arial" w:eastAsia="Arial" w:hAnsi="Arial"/>
          <w:sz w:val="18"/>
          <w:szCs w:val="18"/>
          <w:color w:val="auto"/>
        </w:rPr>
      </w:pPr>
    </w:p>
    <w:p>
      <w:pPr>
        <w:ind w:left="1300" w:right="20" w:hanging="644"/>
        <w:spacing w:after="0" w:line="277" w:lineRule="auto"/>
        <w:tabs>
          <w:tab w:leader="none" w:pos="10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shares must be made in accordance with an exemption from, or in a transaction not subject to, the prospectus requirements of applicable securities laws.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shares of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S-23</w:t>
      </w:r>
    </w:p>
    <w:p>
      <w:pPr>
        <w:sectPr>
          <w:pgSz w:w="11900" w:h="16838" w:orient="portrait"/>
          <w:cols w:equalWidth="0" w:num="1">
            <w:col w:w="11240"/>
          </w:cols>
          <w:pgMar w:left="320" w:top="989"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40"/>
          </w:cols>
          <w:pgMar w:left="320" w:top="985" w:right="3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225" w:lineRule="exact"/>
        <w:rPr>
          <w:sz w:val="20"/>
          <w:szCs w:val="20"/>
          <w:color w:val="auto"/>
        </w:rPr>
      </w:pPr>
    </w:p>
    <w:p>
      <w:pPr>
        <w:ind w:left="900" w:hanging="487"/>
        <w:spacing w:after="0" w:line="277" w:lineRule="auto"/>
        <w:tabs>
          <w:tab w:leader="none" w:pos="8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jc w:val="both"/>
        <w:ind w:left="900" w:hanging="487"/>
        <w:spacing w:after="0" w:line="279" w:lineRule="auto"/>
        <w:tabs>
          <w:tab w:leader="none" w:pos="842"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the sole purpose of which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17" w:lineRule="exact"/>
        <w:rPr>
          <w:rFonts w:ascii="Arial" w:cs="Arial" w:eastAsia="Arial" w:hAnsi="Arial"/>
          <w:sz w:val="17"/>
          <w:szCs w:val="17"/>
          <w:color w:val="auto"/>
        </w:rPr>
      </w:pPr>
    </w:p>
    <w:p>
      <w:pPr>
        <w:ind w:left="1300" w:hanging="482"/>
        <w:spacing w:after="0" w:line="277" w:lineRule="auto"/>
        <w:tabs>
          <w:tab w:leader="none" w:pos="11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16" w:lineRule="exact"/>
        <w:rPr>
          <w:rFonts w:ascii="Arial" w:cs="Arial" w:eastAsia="Arial" w:hAnsi="Arial"/>
          <w:sz w:val="18"/>
          <w:szCs w:val="18"/>
          <w:color w:val="auto"/>
        </w:rPr>
      </w:pPr>
    </w:p>
    <w:p>
      <w:pPr>
        <w:ind w:left="1200" w:hanging="382"/>
        <w:spacing w:after="0"/>
        <w:tabs>
          <w:tab w:leader="none" w:pos="12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71" w:lineRule="exact"/>
        <w:rPr>
          <w:rFonts w:ascii="Arial" w:cs="Arial" w:eastAsia="Arial" w:hAnsi="Arial"/>
          <w:sz w:val="18"/>
          <w:szCs w:val="18"/>
          <w:color w:val="auto"/>
        </w:rPr>
      </w:pPr>
    </w:p>
    <w:p>
      <w:pPr>
        <w:ind w:left="1200" w:hanging="382"/>
        <w:spacing w:after="0"/>
        <w:tabs>
          <w:tab w:leader="none" w:pos="12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rFonts w:ascii="Arial" w:cs="Arial" w:eastAsia="Arial" w:hAnsi="Arial"/>
          <w:sz w:val="18"/>
          <w:szCs w:val="18"/>
          <w:color w:val="auto"/>
        </w:rPr>
      </w:pPr>
    </w:p>
    <w:p>
      <w:pPr>
        <w:ind w:left="1200" w:hanging="382"/>
        <w:spacing w:after="0"/>
        <w:tabs>
          <w:tab w:leader="none" w:pos="12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71" w:lineRule="exact"/>
        <w:rPr>
          <w:rFonts w:ascii="Arial" w:cs="Arial" w:eastAsia="Arial" w:hAnsi="Arial"/>
          <w:sz w:val="18"/>
          <w:szCs w:val="18"/>
          <w:color w:val="auto"/>
        </w:rPr>
      </w:pPr>
    </w:p>
    <w:p>
      <w:pPr>
        <w:ind w:left="1300" w:hanging="482"/>
        <w:spacing w:after="0" w:line="277" w:lineRule="auto"/>
        <w:tabs>
          <w:tab w:leader="none" w:pos="133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Singapore SFA Product Classification - In connection with Section 309B of the SFA and the Securities and Futures (Capital Markets Products) Regulations 2018 (the ‘‘CMP Regulations 2018’’), unless otherwise specified before an offer of shares of our common stock, we have determined, and hereby notify, all relevant persons (as defined in Section 309A(1) of the SFA), that shares of our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Cooley LLP will pass upon the validity of the securities offered by this prospectus supplement. Latham &amp; Watkins LLP is representing the underwriters in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This prospectus supplement is part of the registration statement on Form S-3 we filed with the SEC under the Securities Act and does not contain all the information set forth in the registration statement. Whenever a reference is made in this prospectus supplement or accompanying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accompanying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Arial" w:cs="Arial" w:eastAsia="Arial" w:hAnsi="Arial"/>
          <w:sz w:val="17"/>
          <w:szCs w:val="17"/>
          <w:u w:val="single" w:color="auto"/>
          <w:color w:val="0000FF"/>
        </w:rPr>
        <w:t>www.sec.gov</w:t>
      </w:r>
      <w:r>
        <w:rPr>
          <w:rFonts w:ascii="Arial" w:cs="Arial" w:eastAsia="Arial" w:hAnsi="Arial"/>
          <w:sz w:val="17"/>
          <w:szCs w:val="17"/>
          <w:color w:val="auto"/>
        </w:rPr>
        <w:t>. The information on the SEC’s web site is not part of this prospectus supplement or the accompanying prospectus, and any references to this web site or any other web site are inactive textual references only.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40"/>
          </w:cols>
          <w:pgMar w:left="320" w:top="989"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accompanying prospectus. Information in this prospectus supplement supersedes information in the accompanying prospectus supplement or incorporated by reference that we filed with the SEC prior to the date of this prospectus supplement, while information that we file later with the SEC will automatically update and supersede the information in this prospectus supplement and accompanying prospectus. We incorporate by reference into this prospectus supplement and accompanying prospectus and the registration statement of which this prospectus is a part the information or documents listed below that we have filed with the SEC (Commission File No. 001-38701):</w:t>
      </w:r>
    </w:p>
    <w:p>
      <w:pPr>
        <w:spacing w:after="0" w:line="17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our </w:t>
      </w:r>
      <w:hyperlink r:id="rId17">
        <w:r>
          <w:rPr>
            <w:rFonts w:ascii="Arial" w:cs="Arial" w:eastAsia="Arial" w:hAnsi="Arial"/>
            <w:sz w:val="18"/>
            <w:szCs w:val="18"/>
            <w:u w:val="single" w:color="auto"/>
            <w:color w:val="0000FF"/>
          </w:rPr>
          <w:t>Annual Report on Form 10-K, for the year ended December 31, 2019</w:t>
        </w:r>
      </w:hyperlink>
      <w:r>
        <w:rPr>
          <w:rFonts w:ascii="Arial" w:cs="Arial" w:eastAsia="Arial" w:hAnsi="Arial"/>
          <w:sz w:val="18"/>
          <w:szCs w:val="18"/>
          <w:color w:val="auto"/>
        </w:rPr>
        <w:t>, filed with the SEC on March 11, 2020;</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0000FF"/>
        </w:rPr>
      </w:pPr>
      <w:hyperlink r:id="rId18">
        <w:r>
          <w:rPr>
            <w:rFonts w:ascii="Arial" w:cs="Arial" w:eastAsia="Arial" w:hAnsi="Arial"/>
            <w:sz w:val="18"/>
            <w:szCs w:val="18"/>
            <w:color w:val="auto"/>
          </w:rPr>
          <w:t xml:space="preserve">our </w:t>
        </w:r>
        <w:r>
          <w:rPr>
            <w:rFonts w:ascii="Arial" w:cs="Arial" w:eastAsia="Arial" w:hAnsi="Arial"/>
            <w:sz w:val="18"/>
            <w:szCs w:val="18"/>
            <w:u w:val="single" w:color="auto"/>
            <w:color w:val="0000FF"/>
          </w:rPr>
          <w:t>Quarterly Report on Form 10-Q, for the quarter ended March 31, 2020</w:t>
        </w:r>
        <w:r>
          <w:rPr>
            <w:rFonts w:ascii="Arial" w:cs="Arial" w:eastAsia="Arial" w:hAnsi="Arial"/>
            <w:sz w:val="18"/>
            <w:szCs w:val="18"/>
            <w:color w:val="auto"/>
          </w:rPr>
          <w:t xml:space="preserve">, filed with the SEC on May 5, 2020, as amended by our </w:t>
        </w:r>
        <w:r>
          <w:rPr>
            <w:rFonts w:ascii="Arial" w:cs="Arial" w:eastAsia="Arial" w:hAnsi="Arial"/>
            <w:sz w:val="18"/>
            <w:szCs w:val="18"/>
            <w:u w:val="single" w:color="auto"/>
            <w:color w:val="0000FF"/>
          </w:rPr>
          <w:t>Amendment</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No. 1 to Quarterly Report on Form 10-Q/A</w:t>
        </w:r>
        <w:r>
          <w:rPr>
            <w:rFonts w:ascii="Arial" w:cs="Arial" w:eastAsia="Arial" w:hAnsi="Arial"/>
            <w:sz w:val="18"/>
            <w:szCs w:val="18"/>
            <w:color w:val="0000FF"/>
          </w:rPr>
          <w:t xml:space="preserve"> </w:t>
        </w:r>
        <w:r>
          <w:rPr>
            <w:rFonts w:ascii="Arial" w:cs="Arial" w:eastAsia="Arial" w:hAnsi="Arial"/>
            <w:sz w:val="18"/>
            <w:szCs w:val="18"/>
            <w:color w:val="000000"/>
          </w:rPr>
          <w:t>filed with the SEC on June 17, 2020;</w:t>
        </w:r>
      </w:hyperlink>
    </w:p>
    <w:p>
      <w:pPr>
        <w:spacing w:after="0" w:line="170" w:lineRule="exact"/>
        <w:rPr>
          <w:rFonts w:ascii="Arial" w:cs="Arial" w:eastAsia="Arial" w:hAnsi="Arial"/>
          <w:sz w:val="18"/>
          <w:szCs w:val="18"/>
          <w:color w:val="0000FF"/>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our </w:t>
      </w:r>
      <w:hyperlink r:id="rId19">
        <w:r>
          <w:rPr>
            <w:rFonts w:ascii="Arial" w:cs="Arial" w:eastAsia="Arial" w:hAnsi="Arial"/>
            <w:sz w:val="18"/>
            <w:szCs w:val="18"/>
            <w:u w:val="single" w:color="auto"/>
            <w:color w:val="0000FF"/>
          </w:rPr>
          <w:t>Quarterly Report on Form 10-Q, for the quarter ended June 30, 2020</w:t>
        </w:r>
      </w:hyperlink>
      <w:r>
        <w:rPr>
          <w:rFonts w:ascii="Arial" w:cs="Arial" w:eastAsia="Arial" w:hAnsi="Arial"/>
          <w:sz w:val="18"/>
          <w:szCs w:val="18"/>
          <w:color w:val="auto"/>
        </w:rPr>
        <w:t>, filed with the SEC on August 4, 2020;</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0000FF"/>
        </w:rPr>
      </w:pPr>
      <w:hyperlink r:id="rId20">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FF"/>
          </w:rPr>
          <w:t>July 17, 2020</w:t>
        </w:r>
        <w:r>
          <w:rPr>
            <w:rFonts w:ascii="Arial" w:cs="Arial" w:eastAsia="Arial" w:hAnsi="Arial"/>
            <w:sz w:val="18"/>
            <w:szCs w:val="18"/>
            <w:color w:val="auto"/>
          </w:rPr>
          <w:t xml:space="preserve">, </w:t>
        </w:r>
        <w:r>
          <w:rPr>
            <w:rFonts w:ascii="Arial" w:cs="Arial" w:eastAsia="Arial" w:hAnsi="Arial"/>
            <w:sz w:val="18"/>
            <w:szCs w:val="18"/>
            <w:u w:val="single" w:color="auto"/>
            <w:color w:val="0000FF"/>
          </w:rPr>
          <w:t>June 17, 2020</w:t>
        </w:r>
        <w:r>
          <w:rPr>
            <w:rFonts w:ascii="Arial" w:cs="Arial" w:eastAsia="Arial" w:hAnsi="Arial"/>
            <w:sz w:val="18"/>
            <w:szCs w:val="18"/>
            <w:color w:val="auto"/>
          </w:rPr>
          <w:t xml:space="preserve">, </w:t>
        </w:r>
        <w:r>
          <w:rPr>
            <w:rFonts w:ascii="Arial" w:cs="Arial" w:eastAsia="Arial" w:hAnsi="Arial"/>
            <w:sz w:val="18"/>
            <w:szCs w:val="18"/>
            <w:u w:val="single" w:color="auto"/>
            <w:color w:val="0000FF"/>
          </w:rPr>
          <w:t>June 1, 2020</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April 2, 2020</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March 30, 2020</w:t>
        </w:r>
        <w:r>
          <w:rPr>
            <w:rFonts w:ascii="Arial" w:cs="Arial" w:eastAsia="Arial" w:hAnsi="Arial"/>
            <w:sz w:val="18"/>
            <w:szCs w:val="18"/>
            <w:color w:val="auto"/>
          </w:rPr>
          <w:t xml:space="preserve">, </w:t>
        </w:r>
        <w:r>
          <w:rPr>
            <w:rFonts w:ascii="Arial" w:cs="Arial" w:eastAsia="Arial" w:hAnsi="Arial"/>
            <w:sz w:val="18"/>
            <w:szCs w:val="18"/>
            <w:u w:val="single" w:color="auto"/>
            <w:color w:val="0000FF"/>
          </w:rPr>
          <w:t>January 24,</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FF"/>
          </w:rPr>
          <w:t>2020</w:t>
        </w:r>
        <w:r>
          <w:rPr>
            <w:rFonts w:ascii="Arial" w:cs="Arial" w:eastAsia="Arial" w:hAnsi="Arial"/>
            <w:sz w:val="18"/>
            <w:szCs w:val="18"/>
            <w:color w:val="000000"/>
          </w:rPr>
          <w:t>,</w:t>
        </w:r>
        <w:r>
          <w:rPr>
            <w:rFonts w:ascii="Arial" w:cs="Arial" w:eastAsia="Arial" w:hAnsi="Arial"/>
            <w:sz w:val="18"/>
            <w:szCs w:val="18"/>
            <w:color w:val="0000FF"/>
          </w:rPr>
          <w:t xml:space="preserve"> </w:t>
        </w:r>
      </w:hyperlink>
      <w:hyperlink r:id="rId21">
        <w:r>
          <w:rPr>
            <w:rFonts w:ascii="Arial" w:cs="Arial" w:eastAsia="Arial" w:hAnsi="Arial"/>
            <w:sz w:val="18"/>
            <w:szCs w:val="18"/>
            <w:u w:val="single" w:color="auto"/>
            <w:color w:val="0000FF"/>
          </w:rPr>
          <w:t>January 3, 2020</w:t>
        </w:r>
      </w:hyperlink>
      <w:hyperlink r:id="rId20">
        <w:r>
          <w:rPr>
            <w:rFonts w:ascii="Arial" w:cs="Arial" w:eastAsia="Arial" w:hAnsi="Arial"/>
            <w:sz w:val="18"/>
            <w:szCs w:val="18"/>
            <w:color w:val="000000"/>
          </w:rPr>
          <w:t>;</w:t>
        </w:r>
      </w:hyperlink>
    </w:p>
    <w:p>
      <w:pPr>
        <w:spacing w:after="0" w:line="170" w:lineRule="exact"/>
        <w:rPr>
          <w:rFonts w:ascii="Arial" w:cs="Arial" w:eastAsia="Arial" w:hAnsi="Arial"/>
          <w:sz w:val="18"/>
          <w:szCs w:val="18"/>
          <w:color w:val="0000FF"/>
        </w:rPr>
      </w:pPr>
    </w:p>
    <w:p>
      <w:pPr>
        <w:jc w:val="both"/>
        <w:ind w:left="6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our </w:t>
      </w:r>
      <w:hyperlink r:id="rId22">
        <w:r>
          <w:rPr>
            <w:rFonts w:ascii="Arial" w:cs="Arial" w:eastAsia="Arial" w:hAnsi="Arial"/>
            <w:sz w:val="18"/>
            <w:szCs w:val="18"/>
            <w:u w:val="single" w:color="auto"/>
            <w:color w:val="0000FF"/>
          </w:rPr>
          <w:t>Definitive Proxy Statement on Schedule 14A, filed on April 22,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(but only with respect to information required by Part III of our Annual Report on Form 10-K for the year ended December 31, 2019, which information shall update and supersede information included in Part III of our Annual Report on Form 10-K for the year ended December 31, 2019); and</w:t>
      </w:r>
    </w:p>
    <w:p>
      <w:pPr>
        <w:spacing w:after="0" w:line="18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23">
        <w:r>
          <w:rPr>
            <w:rFonts w:ascii="Arial" w:cs="Arial" w:eastAsia="Arial" w:hAnsi="Arial"/>
            <w:sz w:val="18"/>
            <w:szCs w:val="18"/>
            <w:u w:val="single" w:color="auto"/>
            <w:color w:val="0000FF"/>
          </w:rPr>
          <w:t>Form 8-A, filed with the SEC on October 11, 2018</w:t>
        </w:r>
      </w:hyperlink>
      <w:r>
        <w:rPr>
          <w:rFonts w:ascii="Arial" w:cs="Arial" w:eastAsia="Arial" w:hAnsi="Arial"/>
          <w:sz w:val="18"/>
          <w:szCs w:val="18"/>
          <w:color w:val="auto"/>
        </w:rPr>
        <w:t>, including any amendment or report filed for the purpose of updating such description.</w:t>
      </w:r>
    </w:p>
    <w:p>
      <w:pPr>
        <w:spacing w:after="0" w:line="170" w:lineRule="exact"/>
        <w:rPr>
          <w:rFonts w:ascii="Arial" w:cs="Arial" w:eastAsia="Arial" w:hAnsi="Arial"/>
          <w:sz w:val="18"/>
          <w:szCs w:val="18"/>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supplement and accompanying prospectus, which will become a part of this prospectus supplement and accompanying prospectus from the date that such documents are filed with the SEC. Information in such future filings updates and supplements the information provided in this prospectus supplement and accompanying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supplement and accompanying prospectus is delivered, upon written or oral request, a copy of any or all of the documents incorporated by reference into this prospectus supplement and accompanying prospectus but not delivered with the prospectus supplement and accompanying prospectus, including exhibits that are specifically incorporated by reference into such documents. You should direct any requests for documents to:</w:t>
      </w:r>
    </w:p>
    <w:p>
      <w:pPr>
        <w:spacing w:after="0" w:line="20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SI-BONE, Inc.</w:t>
      </w:r>
    </w:p>
    <w:p>
      <w:pPr>
        <w:spacing w:after="0" w:line="2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471 El Camino Real, Suite 101</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Santa Clara, California 95050</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ind w:left="5500" w:hanging="438"/>
        <w:spacing w:after="0" w:line="207" w:lineRule="exact"/>
        <w:tabs>
          <w:tab w:leader="none" w:pos="5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207</w:t>
      </w:r>
      <w:r>
        <w:rPr>
          <w:rFonts w:ascii="MS PGothic" w:cs="MS PGothic" w:eastAsia="MS PGothic" w:hAnsi="MS PGothic"/>
          <w:sz w:val="18"/>
          <w:szCs w:val="18"/>
          <w:color w:val="auto"/>
        </w:rPr>
        <w:t>‑</w:t>
      </w:r>
      <w:r>
        <w:rPr>
          <w:rFonts w:ascii="Arial" w:cs="Arial" w:eastAsia="Arial" w:hAnsi="Arial"/>
          <w:sz w:val="18"/>
          <w:szCs w:val="18"/>
          <w:color w:val="auto"/>
        </w:rPr>
        <w:t>0700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S-26</w:t>
      </w:r>
    </w:p>
    <w:p>
      <w:pPr>
        <w:sectPr>
          <w:pgSz w:w="11900" w:h="16838" w:orient="portrait"/>
          <w:cols w:equalWidth="0" w:num="1">
            <w:col w:w="11240"/>
          </w:cols>
          <w:pgMar w:left="320" w:top="985"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142875</wp:posOffset>
            </wp:positionV>
            <wp:extent cx="2143125" cy="1225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2143125"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$200,000,000</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Preferred Stock</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Debt Securities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Warrants</w:t>
      </w:r>
    </w:p>
    <w:p>
      <w:pPr>
        <w:spacing w:after="0" w:line="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2,000,000 Shares of Common Stock</w:t>
      </w:r>
    </w:p>
    <w:p>
      <w:pPr>
        <w:spacing w:after="0" w:line="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we may offer and sell up to an aggregate amount of $200,000,000 of any combination of the securities described in this prospectus, either individually or in combination. We may also offer common stock or preferred stock upon conversion of debt securities, common stock upon conversion of preferred stock, or common stock, preferred stock or debt securities upon the exercise of warrants.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selling stockholders to be named in a prospectus supplement may also offer and sell, from time to time, up to 2,000,000 shares of our common stock. To the extent that any selling stockholder resells any securities, the selling stockholder may be required to provide you with this prospectus and a prospectus supplement identifying and containing specific information about the selling stockholder and the terms of the securities being offered. We will not receive any proceeds from the sale of our common stock by selling stockholders.</w:t>
      </w:r>
    </w:p>
    <w:p>
      <w:pPr>
        <w:spacing w:after="0" w:line="7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common stock is listed on the Nasdaq Global Market under the symbol “SIBN.” On December 24, 2019, the last reported sale price of our common stock was $21.13 per share. The applicable prospectus supplement will contain information, where applicable, as to other listings, if any, on the Nasdaq Global Market or other securities exchange of the securities covered by the applicable prospectus supplement.</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Before making an investment decision, you should review carefully the risks described under the heading “</w:t>
      </w:r>
      <w:r>
        <w:rPr>
          <w:rFonts w:ascii="Arial" w:cs="Arial" w:eastAsia="Arial" w:hAnsi="Arial"/>
          <w:sz w:val="18"/>
          <w:szCs w:val="18"/>
          <w:b w:val="1"/>
          <w:bCs w:val="1"/>
          <w:i w:val="1"/>
          <w:iCs w:val="1"/>
          <w:u w:val="single" w:color="auto"/>
          <w:color w:val="0000FF"/>
        </w:rPr>
        <w:t>Risk Factors</w:t>
      </w:r>
      <w:r>
        <w:rPr>
          <w:rFonts w:ascii="Arial" w:cs="Arial" w:eastAsia="Arial" w:hAnsi="Arial"/>
          <w:sz w:val="18"/>
          <w:szCs w:val="18"/>
          <w:b w:val="1"/>
          <w:bCs w:val="1"/>
          <w:i w:val="1"/>
          <w:i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securities unless accompanied by a prospectus supplement.</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securities may be sold directly by us or the selling stockholders to investors, through agents designated from time to time or to or through underwriters or dealers, on a continuous or delayed basis. The supplements to this prospectus will provide the specific terms of the plan of distribution. If any agents or underwriters are involved in the sale of any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will be received from such sale will also be set forth in a prospectus supplement.</w:t>
      </w:r>
    </w:p>
    <w:p>
      <w:pPr>
        <w:spacing w:after="0" w:line="16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as that term is used in the Jumpstart Our Business Startups Act of 2012 and, as such, we have elected to take advantage of certain reduced public company reporting requirements for this prospectus and future filings.</w:t>
      </w:r>
    </w:p>
    <w:p>
      <w:pPr>
        <w:sectPr>
          <w:pgSz w:w="11900" w:h="16838" w:orient="portrait"/>
          <w:cols w:equalWidth="0" w:num="1">
            <w:col w:w="11240"/>
          </w:cols>
          <w:pgMar w:left="320" w:top="809" w:right="339" w:bottom="1440" w:gutter="0" w:footer="0" w:header="0"/>
        </w:sectPr>
      </w:pPr>
    </w:p>
    <w:bookmarkStart w:id="30" w:name="page31"/>
    <w:bookmarkEnd w:id="30"/>
    <w:p>
      <w:pPr>
        <w:ind w:firstLine="324"/>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88265</wp:posOffset>
            </wp:positionV>
            <wp:extent cx="19888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date of this prospectus is January 2, 2020.</w:t>
      </w:r>
    </w:p>
    <w:p>
      <w:pPr>
        <w:sectPr>
          <w:pgSz w:w="11900" w:h="16838" w:orient="portrait"/>
          <w:cols w:equalWidth="0" w:num="1">
            <w:col w:w="11240"/>
          </w:cols>
          <w:pgMar w:left="320" w:top="823" w:right="33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33"/>
        </w:trPr>
        <w:tc>
          <w:tcPr>
            <w:tcW w:w="94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28"/>
        </w:trPr>
        <w:tc>
          <w:tcPr>
            <w:tcW w:w="94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30"/>
        </w:trPr>
        <w:tc>
          <w:tcPr>
            <w:tcW w:w="9460" w:type="dxa"/>
            <w:vAlign w:val="bottom"/>
            <w:shd w:val="clear" w:color="auto" w:fill="CCEEFF"/>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ABOUT THIS PROSPECTUS</w:t>
              </w:r>
            </w:hyperlink>
          </w:p>
        </w:tc>
        <w:tc>
          <w:tcPr>
            <w:tcW w:w="680" w:type="dxa"/>
            <w:vAlign w:val="bottom"/>
            <w:shd w:val="clear" w:color="auto" w:fill="CCEEFF"/>
          </w:tcPr>
          <w:p>
            <w:pPr>
              <w:jc w:val="cente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ii</w:t>
              </w:r>
            </w:hyperlink>
          </w:p>
        </w:tc>
      </w:tr>
      <w:tr>
        <w:trPr>
          <w:trHeight w:val="229"/>
        </w:trPr>
        <w:tc>
          <w:tcPr>
            <w:tcW w:w="9460" w:type="dxa"/>
            <w:vAlign w:val="bottom"/>
          </w:tcPr>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PROSPECTUS SUMMARY</w:t>
              </w:r>
            </w:hyperlink>
          </w:p>
        </w:tc>
        <w:tc>
          <w:tcPr>
            <w:tcW w:w="680" w:type="dxa"/>
            <w:vAlign w:val="bottom"/>
          </w:tcPr>
          <w:p>
            <w:pPr>
              <w:jc w:val="center"/>
              <w:spacing w:after="0"/>
              <w:rPr>
                <w:rFonts w:ascii="Arial" w:cs="Arial" w:eastAsia="Arial" w:hAnsi="Arial"/>
                <w:sz w:val="18"/>
                <w:szCs w:val="18"/>
                <w:u w:val="single" w:color="auto"/>
                <w:color w:val="0000FF"/>
                <w:w w:val="79"/>
              </w:rPr>
            </w:pPr>
            <w:hyperlink w:anchor="page33">
              <w:r>
                <w:rPr>
                  <w:rFonts w:ascii="Arial" w:cs="Arial" w:eastAsia="Arial" w:hAnsi="Arial"/>
                  <w:sz w:val="18"/>
                  <w:szCs w:val="18"/>
                  <w:u w:val="single" w:color="auto"/>
                  <w:color w:val="0000FF"/>
                  <w:w w:val="79"/>
                </w:rPr>
                <w:t>1</w:t>
              </w:r>
            </w:hyperlink>
          </w:p>
        </w:tc>
      </w:tr>
      <w:tr>
        <w:trPr>
          <w:trHeight w:val="229"/>
        </w:trPr>
        <w:tc>
          <w:tcPr>
            <w:tcW w:w="9460" w:type="dxa"/>
            <w:vAlign w:val="bottom"/>
            <w:shd w:val="clear" w:color="auto" w:fill="CCEEFF"/>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RISK FACTORS</w:t>
              </w:r>
            </w:hyperlink>
          </w:p>
        </w:tc>
        <w:tc>
          <w:tcPr>
            <w:tcW w:w="680" w:type="dxa"/>
            <w:vAlign w:val="bottom"/>
            <w:shd w:val="clear" w:color="auto" w:fill="CCEEFF"/>
          </w:tcPr>
          <w:p>
            <w:pPr>
              <w:jc w:val="center"/>
              <w:spacing w:after="0"/>
              <w:rPr>
                <w:rFonts w:ascii="Arial" w:cs="Arial" w:eastAsia="Arial" w:hAnsi="Arial"/>
                <w:sz w:val="18"/>
                <w:szCs w:val="18"/>
                <w:u w:val="single" w:color="auto"/>
                <w:color w:val="0000FF"/>
                <w:w w:val="79"/>
              </w:rPr>
            </w:pPr>
            <w:hyperlink w:anchor="page37">
              <w:r>
                <w:rPr>
                  <w:rFonts w:ascii="Arial" w:cs="Arial" w:eastAsia="Arial" w:hAnsi="Arial"/>
                  <w:sz w:val="18"/>
                  <w:szCs w:val="18"/>
                  <w:u w:val="single" w:color="auto"/>
                  <w:color w:val="0000FF"/>
                  <w:w w:val="79"/>
                </w:rPr>
                <w:t>5</w:t>
              </w:r>
            </w:hyperlink>
          </w:p>
        </w:tc>
      </w:tr>
      <w:tr>
        <w:trPr>
          <w:trHeight w:val="230"/>
        </w:trPr>
        <w:tc>
          <w:tcPr>
            <w:tcW w:w="9460" w:type="dxa"/>
            <w:vAlign w:val="bottom"/>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SPECIAL NOTE REGARDING FORWARD-LOOKING STATEMENTS</w:t>
              </w:r>
            </w:hyperlink>
          </w:p>
        </w:tc>
        <w:tc>
          <w:tcPr>
            <w:tcW w:w="680" w:type="dxa"/>
            <w:vAlign w:val="bottom"/>
          </w:tcPr>
          <w:p>
            <w:pPr>
              <w:jc w:val="center"/>
              <w:spacing w:after="0"/>
              <w:rPr>
                <w:rFonts w:ascii="Arial" w:cs="Arial" w:eastAsia="Arial" w:hAnsi="Arial"/>
                <w:sz w:val="18"/>
                <w:szCs w:val="18"/>
                <w:u w:val="single" w:color="auto"/>
                <w:color w:val="0000FF"/>
                <w:w w:val="79"/>
              </w:rPr>
            </w:pPr>
            <w:hyperlink w:anchor="page38">
              <w:r>
                <w:rPr>
                  <w:rFonts w:ascii="Arial" w:cs="Arial" w:eastAsia="Arial" w:hAnsi="Arial"/>
                  <w:sz w:val="18"/>
                  <w:szCs w:val="18"/>
                  <w:u w:val="single" w:color="auto"/>
                  <w:color w:val="0000FF"/>
                  <w:w w:val="79"/>
                </w:rPr>
                <w:t>5</w:t>
              </w:r>
            </w:hyperlink>
          </w:p>
        </w:tc>
      </w:tr>
      <w:tr>
        <w:trPr>
          <w:trHeight w:val="229"/>
        </w:trPr>
        <w:tc>
          <w:tcPr>
            <w:tcW w:w="9460" w:type="dxa"/>
            <w:vAlign w:val="bottom"/>
            <w:shd w:val="clear" w:color="auto" w:fill="CCEEFF"/>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USE OF PROCEEDS</w:t>
              </w:r>
            </w:hyperlink>
          </w:p>
        </w:tc>
        <w:tc>
          <w:tcPr>
            <w:tcW w:w="680" w:type="dxa"/>
            <w:vAlign w:val="bottom"/>
            <w:shd w:val="clear" w:color="auto" w:fill="CCEEFF"/>
          </w:tcPr>
          <w:p>
            <w:pPr>
              <w:jc w:val="center"/>
              <w:spacing w:after="0"/>
              <w:rPr>
                <w:rFonts w:ascii="Arial" w:cs="Arial" w:eastAsia="Arial" w:hAnsi="Arial"/>
                <w:sz w:val="18"/>
                <w:szCs w:val="18"/>
                <w:u w:val="single" w:color="auto"/>
                <w:color w:val="0000FF"/>
                <w:w w:val="79"/>
              </w:rPr>
            </w:pPr>
            <w:hyperlink w:anchor="page39">
              <w:r>
                <w:rPr>
                  <w:rFonts w:ascii="Arial" w:cs="Arial" w:eastAsia="Arial" w:hAnsi="Arial"/>
                  <w:sz w:val="18"/>
                  <w:szCs w:val="18"/>
                  <w:u w:val="single" w:color="auto"/>
                  <w:color w:val="0000FF"/>
                  <w:w w:val="79"/>
                </w:rPr>
                <w:t>6</w:t>
              </w:r>
            </w:hyperlink>
          </w:p>
        </w:tc>
      </w:tr>
      <w:tr>
        <w:trPr>
          <w:trHeight w:val="230"/>
        </w:trPr>
        <w:tc>
          <w:tcPr>
            <w:tcW w:w="9460" w:type="dxa"/>
            <w:vAlign w:val="bottom"/>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DESCRIPTION OF CAPITAL STOCK</w:t>
              </w:r>
            </w:hyperlink>
          </w:p>
        </w:tc>
        <w:tc>
          <w:tcPr>
            <w:tcW w:w="680" w:type="dxa"/>
            <w:vAlign w:val="bottom"/>
          </w:tcPr>
          <w:p>
            <w:pPr>
              <w:jc w:val="center"/>
              <w:spacing w:after="0"/>
              <w:rPr>
                <w:rFonts w:ascii="Arial" w:cs="Arial" w:eastAsia="Arial" w:hAnsi="Arial"/>
                <w:sz w:val="18"/>
                <w:szCs w:val="18"/>
                <w:u w:val="single" w:color="auto"/>
                <w:color w:val="0000FF"/>
                <w:w w:val="79"/>
              </w:rPr>
            </w:pPr>
            <w:hyperlink w:anchor="page39">
              <w:r>
                <w:rPr>
                  <w:rFonts w:ascii="Arial" w:cs="Arial" w:eastAsia="Arial" w:hAnsi="Arial"/>
                  <w:sz w:val="18"/>
                  <w:szCs w:val="18"/>
                  <w:u w:val="single" w:color="auto"/>
                  <w:color w:val="0000FF"/>
                  <w:w w:val="79"/>
                </w:rPr>
                <w:t>7</w:t>
              </w:r>
            </w:hyperlink>
          </w:p>
        </w:tc>
      </w:tr>
      <w:tr>
        <w:trPr>
          <w:trHeight w:val="229"/>
        </w:trPr>
        <w:tc>
          <w:tcPr>
            <w:tcW w:w="9460" w:type="dxa"/>
            <w:vAlign w:val="bottom"/>
            <w:shd w:val="clear" w:color="auto" w:fill="CCEEFF"/>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DESCRIPTION OF DEBT SECURITIES</w:t>
              </w:r>
            </w:hyperlink>
          </w:p>
        </w:tc>
        <w:tc>
          <w:tcPr>
            <w:tcW w:w="6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10</w:t>
              </w:r>
            </w:hyperlink>
          </w:p>
        </w:tc>
      </w:tr>
      <w:tr>
        <w:trPr>
          <w:trHeight w:val="229"/>
        </w:trPr>
        <w:tc>
          <w:tcPr>
            <w:tcW w:w="9460" w:type="dxa"/>
            <w:vAlign w:val="bottom"/>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DESCRIPTION OF WARRANTS</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15</w:t>
              </w:r>
            </w:hyperlink>
          </w:p>
        </w:tc>
      </w:tr>
      <w:tr>
        <w:trPr>
          <w:trHeight w:val="230"/>
        </w:trPr>
        <w:tc>
          <w:tcPr>
            <w:tcW w:w="9460" w:type="dxa"/>
            <w:vAlign w:val="bottom"/>
            <w:shd w:val="clear" w:color="auto" w:fill="CCEEFF"/>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LEGAL OWNERSHIP SECURITIES</w:t>
              </w:r>
            </w:hyperlink>
          </w:p>
        </w:tc>
        <w:tc>
          <w:tcPr>
            <w:tcW w:w="6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17</w:t>
              </w:r>
            </w:hyperlink>
          </w:p>
        </w:tc>
      </w:tr>
      <w:tr>
        <w:trPr>
          <w:trHeight w:val="229"/>
        </w:trPr>
        <w:tc>
          <w:tcPr>
            <w:tcW w:w="9460" w:type="dxa"/>
            <w:vAlign w:val="bottom"/>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SELLING STOCKHOLDERS</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19</w:t>
              </w:r>
            </w:hyperlink>
          </w:p>
        </w:tc>
      </w:tr>
      <w:tr>
        <w:trPr>
          <w:trHeight w:val="229"/>
        </w:trPr>
        <w:tc>
          <w:tcPr>
            <w:tcW w:w="9460" w:type="dxa"/>
            <w:vAlign w:val="bottom"/>
            <w:shd w:val="clear" w:color="auto" w:fill="CCEEFF"/>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PLAN OF DISTRIBUTION</w:t>
              </w:r>
            </w:hyperlink>
          </w:p>
        </w:tc>
        <w:tc>
          <w:tcPr>
            <w:tcW w:w="6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20</w:t>
              </w:r>
            </w:hyperlink>
          </w:p>
        </w:tc>
      </w:tr>
      <w:tr>
        <w:trPr>
          <w:trHeight w:val="230"/>
        </w:trPr>
        <w:tc>
          <w:tcPr>
            <w:tcW w:w="9460" w:type="dxa"/>
            <w:vAlign w:val="bottom"/>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LEGAL MATTERS</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21</w:t>
              </w:r>
            </w:hyperlink>
          </w:p>
        </w:tc>
      </w:tr>
      <w:tr>
        <w:trPr>
          <w:trHeight w:val="229"/>
        </w:trPr>
        <w:tc>
          <w:tcPr>
            <w:tcW w:w="9460" w:type="dxa"/>
            <w:vAlign w:val="bottom"/>
            <w:shd w:val="clear" w:color="auto" w:fill="CCEEFF"/>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EXPERTS</w:t>
              </w:r>
            </w:hyperlink>
          </w:p>
        </w:tc>
        <w:tc>
          <w:tcPr>
            <w:tcW w:w="6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21</w:t>
              </w:r>
            </w:hyperlink>
          </w:p>
        </w:tc>
      </w:tr>
      <w:tr>
        <w:trPr>
          <w:trHeight w:val="230"/>
        </w:trPr>
        <w:tc>
          <w:tcPr>
            <w:tcW w:w="9460" w:type="dxa"/>
            <w:vAlign w:val="bottom"/>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WHERE YOU CAN FIND ADDITIONAL INFORMATION</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21</w:t>
              </w:r>
            </w:hyperlink>
          </w:p>
        </w:tc>
      </w:tr>
      <w:tr>
        <w:trPr>
          <w:trHeight w:val="229"/>
        </w:trPr>
        <w:tc>
          <w:tcPr>
            <w:tcW w:w="9460" w:type="dxa"/>
            <w:vAlign w:val="bottom"/>
            <w:shd w:val="clear" w:color="auto" w:fill="CCEEFF"/>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INCORPORATION OF CERTAIN INFORMATION BY REFERENCE</w:t>
              </w:r>
            </w:hyperlink>
          </w:p>
        </w:tc>
        <w:tc>
          <w:tcPr>
            <w:tcW w:w="6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21</w:t>
              </w:r>
            </w:hyperlink>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140"/>
          </w:cols>
          <w:pgMar w:left="880" w:top="958" w:right="87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SEC, using a “shelf” registration process. Under this shelf registration statement, we may, from time to time, offer and sell, either individually or in combination, in one or more offerings, up to a total dollar amount of $200,000,000 of any combination of the securities described in this prospectus. In addition, under this shelf process, the selling stockholders to be named in a supplement to this prospectus may, from time to time, offer or sell up to 2,000,000 shares of our common stock.</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This prospectus provides you with a general description of the securities we and the selling stockholders may offer. Each time we and/or the selling stockholders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Neither we nor the selling stockholders have authorized anyone to provide you with different or additional information. You must not rely upon any information or representation not contained or incorporated by reference in this prospectus, the accompanying prospectus supplement or in any related free writing prospectus that we may authorize to be provided to you. This prospectus is an offer to sell only the securities offered hereby, but only under circumstances and in jurisdictions where it is lawful to do so.</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7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Additional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945"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147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6130" cy="8147685"/>
                    </a:xfrm>
                    <a:prstGeom prst="rect">
                      <a:avLst/>
                    </a:prstGeom>
                    <a:noFill/>
                  </pic:spPr>
                </pic:pic>
              </a:graphicData>
            </a:graphic>
          </wp:anchor>
        </w:drawing>
        <w:t>PROSPECTUS SUMMARY</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42,000 procedures have been performed by over 2,000 surgeons in the United States and 34 other countries. Published clinical studies have shown that 15% to 30% of all chronic lower back pain is associated with the sacroiliac joint. We believe iFuse is currently the market leading implantable device used in minimally invasive surgical fusions of the sacroiliac joint in the United States.</w:t>
      </w:r>
    </w:p>
    <w:p>
      <w:pPr>
        <w:spacing w:after="0" w:line="20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In April 2019, we received clearance from the U.S. Food and Drug Administration (FDA) to promote our iFuse Bedrock technique for fusion of the sacroiliac joint in conjunction with multi-level spinal fusion procedures to provide further stabilization and immobilization of the sacroiliac joint. We market our products with a direct sales force and a number of distributors in the United States, and with a combination of a direct sales force and distributors in other countries.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is subject to numerous risks. You should read these risks before you invest in our common stock. In particular, our risks include, but are not limited to, the following:</w:t>
      </w:r>
    </w:p>
    <w:p>
      <w:pPr>
        <w:spacing w:after="0" w:line="62" w:lineRule="exact"/>
        <w:rPr>
          <w:sz w:val="20"/>
          <w:szCs w:val="20"/>
          <w:color w:val="auto"/>
        </w:rPr>
      </w:pPr>
    </w:p>
    <w:p>
      <w:pPr>
        <w:ind w:left="640" w:hanging="314"/>
        <w:spacing w:after="0" w:line="277"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62" w:lineRule="exact"/>
        <w:rPr>
          <w:rFonts w:ascii="Arial" w:cs="Arial" w:eastAsia="Arial" w:hAnsi="Arial"/>
          <w:sz w:val="18"/>
          <w:szCs w:val="18"/>
          <w:color w:val="auto"/>
        </w:rPr>
      </w:pPr>
    </w:p>
    <w:p>
      <w:pPr>
        <w:jc w:val="both"/>
        <w:ind w:left="640" w:hanging="314"/>
        <w:spacing w:after="0" w:line="286"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hospitals, surgeons, and other healthcare providers are unable to obtain coverage and sufficient reimbursement from third-party payors for procedures performed using our products, or if payors reverse existing exclusive or non-exclusive coverage policies relating to our products, adoption and use of our products, or the prices paid for our implants, may decline;</w:t>
      </w:r>
    </w:p>
    <w:p>
      <w:pPr>
        <w:spacing w:after="0" w:line="57" w:lineRule="exact"/>
        <w:rPr>
          <w:rFonts w:ascii="Arial" w:cs="Arial" w:eastAsia="Arial" w:hAnsi="Arial"/>
          <w:sz w:val="17"/>
          <w:szCs w:val="17"/>
          <w:color w:val="auto"/>
        </w:rPr>
      </w:pPr>
    </w:p>
    <w:p>
      <w:pPr>
        <w:ind w:left="640" w:hanging="314"/>
        <w:spacing w:after="0" w:line="277"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62" w:lineRule="exact"/>
        <w:rPr>
          <w:rFonts w:ascii="Arial" w:cs="Arial" w:eastAsia="Arial" w:hAnsi="Arial"/>
          <w:sz w:val="18"/>
          <w:szCs w:val="18"/>
          <w:color w:val="auto"/>
        </w:rPr>
      </w:pPr>
    </w:p>
    <w:p>
      <w:pPr>
        <w:ind w:left="640" w:hanging="314"/>
        <w:spacing w:after="0" w:line="277"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revenue, and ongoing and future research may prove our products to be less safe and effective than initially anticipated;</w:t>
      </w:r>
    </w:p>
    <w:p>
      <w:pPr>
        <w:spacing w:after="0" w:line="62" w:lineRule="exact"/>
        <w:rPr>
          <w:rFonts w:ascii="Arial" w:cs="Arial" w:eastAsia="Arial" w:hAnsi="Arial"/>
          <w:sz w:val="18"/>
          <w:szCs w:val="18"/>
          <w:color w:val="auto"/>
        </w:rPr>
      </w:pPr>
    </w:p>
    <w:p>
      <w:pPr>
        <w:ind w:left="640" w:hanging="314"/>
        <w:spacing w:after="0" w:line="277"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pressure from our competitors, healthcare provider consolidation and payor consolidation may impact our ability to sell our product at prices necessary to support our current business strategies;</w:t>
      </w:r>
    </w:p>
    <w:p>
      <w:pPr>
        <w:spacing w:after="0" w:line="62" w:lineRule="exact"/>
        <w:rPr>
          <w:rFonts w:ascii="Arial" w:cs="Arial" w:eastAsia="Arial" w:hAnsi="Arial"/>
          <w:sz w:val="18"/>
          <w:szCs w:val="18"/>
          <w:color w:val="auto"/>
        </w:rPr>
      </w:pPr>
    </w:p>
    <w:p>
      <w:pPr>
        <w:ind w:left="640" w:hanging="314"/>
        <w:spacing w:after="0" w:line="277"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currently manufacture and sell products primarily used in a single procedure, which could negatively affect our operations and financial condition;</w:t>
      </w:r>
    </w:p>
    <w:p>
      <w:pPr>
        <w:spacing w:after="0" w:line="62" w:lineRule="exact"/>
        <w:rPr>
          <w:rFonts w:ascii="Arial" w:cs="Arial" w:eastAsia="Arial" w:hAnsi="Arial"/>
          <w:sz w:val="18"/>
          <w:szCs w:val="18"/>
          <w:color w:val="auto"/>
        </w:rPr>
      </w:pPr>
    </w:p>
    <w:p>
      <w:pPr>
        <w:ind w:left="640" w:hanging="314"/>
        <w:spacing w:after="0" w:line="308"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38" w:lineRule="exact"/>
        <w:rPr>
          <w:rFonts w:ascii="Arial" w:cs="Arial" w:eastAsia="Arial" w:hAnsi="Arial"/>
          <w:sz w:val="17"/>
          <w:szCs w:val="17"/>
          <w:color w:val="auto"/>
        </w:rPr>
      </w:pPr>
    </w:p>
    <w:p>
      <w:pPr>
        <w:ind w:left="640" w:hanging="314"/>
        <w:spacing w:after="0" w:line="277"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are unable to maintain and expand our network of direct sales representatives and third-party distributors, we may not be able to generate anticipated sales;</w:t>
      </w:r>
    </w:p>
    <w:p>
      <w:pPr>
        <w:spacing w:after="0" w:line="62" w:lineRule="exact"/>
        <w:rPr>
          <w:rFonts w:ascii="Arial" w:cs="Arial" w:eastAsia="Arial" w:hAnsi="Arial"/>
          <w:sz w:val="18"/>
          <w:szCs w:val="18"/>
          <w:color w:val="auto"/>
        </w:rPr>
      </w:pPr>
    </w:p>
    <w:p>
      <w:pPr>
        <w:ind w:left="640" w:hanging="314"/>
        <w:spacing w:after="0" w:line="277"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United States and abroad, and failure to comply with applicable requirements could cause our business to suffer; and</w:t>
      </w:r>
    </w:p>
    <w:p>
      <w:pPr>
        <w:sectPr>
          <w:pgSz w:w="11900" w:h="16838" w:orient="portrait"/>
          <w:cols w:equalWidth="0" w:num="1">
            <w:col w:w="10400"/>
          </w:cols>
          <w:pgMar w:left="740" w:top="1363"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0400"/>
          </w:cols>
          <w:pgMar w:left="740" w:top="1363" w:right="759" w:bottom="1440" w:gutter="0" w:footer="0" w:header="0"/>
          <w:type w:val="continuous"/>
        </w:sectPr>
      </w:pPr>
    </w:p>
    <w:bookmarkStart w:id="34" w:name="page35"/>
    <w:bookmarkEnd w:id="34"/>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5077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6130" cy="8507730"/>
                    </a:xfrm>
                    <a:prstGeom prst="rect">
                      <a:avLst/>
                    </a:prstGeom>
                    <a:noFill/>
                  </pic:spPr>
                </pic:pic>
              </a:graphicData>
            </a:graphic>
          </wp:anchor>
        </w:drawing>
      </w:r>
    </w:p>
    <w:p>
      <w:pPr>
        <w:ind w:left="640" w:hanging="314"/>
        <w:spacing w:after="0" w:line="342" w:lineRule="auto"/>
        <w:tabs>
          <w:tab w:leader="none" w:pos="6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and our sales representatives must comply with U.S. federal and state fraud and abuse laws, including those relating to physician kickbacks and false claims for reimbursement, as well as equivalent foreign laws, which subjects us to risk of non-compliance.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We have included our website address as an inactive textual reference only.</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common stock is currently listed on the Nasdaq Global Market under the symbol “SIBN.” We are an “emerging growth company” under the Jumpstart Our Business Startups Act of 2012, and therefore we are subject to reduced public company reporting requirements.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may offer shares of our common stock and preferred stock, various series of debt securities and/or warrants to purchase any of such securities, either individually or in combination, from time to time under this prospectus, together with the applicable prospectus supplement and any related free writing prospectus, at prices and on terms to be determined by market conditions at the time of any offering, up to a maximum aggregate sales price of $200,000,000. We may also offer common stock, preferred stock and/or debt securities upon the exercise of warrants.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77" w:lineRule="exact"/>
        <w:rPr>
          <w:sz w:val="20"/>
          <w:szCs w:val="20"/>
          <w:color w:val="auto"/>
        </w:rPr>
      </w:pPr>
    </w:p>
    <w:p>
      <w:pPr>
        <w:ind w:left="640" w:hanging="31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maturity date, if applicable;</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redemption, conversion, exercise, exchange or sinking fund terms, if any;</w:t>
      </w:r>
    </w:p>
    <w:p>
      <w:pPr>
        <w:spacing w:after="0" w:line="117" w:lineRule="exact"/>
        <w:rPr>
          <w:rFonts w:ascii="Arial" w:cs="Arial" w:eastAsia="Arial" w:hAnsi="Arial"/>
          <w:sz w:val="18"/>
          <w:szCs w:val="18"/>
          <w:color w:val="auto"/>
        </w:rPr>
      </w:pPr>
    </w:p>
    <w:p>
      <w:pPr>
        <w:ind w:left="640" w:hanging="314"/>
        <w:spacing w:after="0" w:line="277"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2" w:lineRule="exact"/>
        <w:rPr>
          <w:rFonts w:ascii="Arial" w:cs="Arial" w:eastAsia="Arial" w:hAnsi="Arial"/>
          <w:sz w:val="18"/>
          <w:szCs w:val="18"/>
          <w:color w:val="auto"/>
        </w:rPr>
      </w:pPr>
    </w:p>
    <w:p>
      <w:pPr>
        <w:ind w:left="640" w:hanging="31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ranking;</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or special U.S. federal income tax considerations, if any.</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addition, the selling stockholders to be named in a prospectus supplement may also offer and sell, from time to time, up to 2,000,000 shares of our common stock.</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66"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18"/>
          <w:szCs w:val="18"/>
          <w:color w:val="auto"/>
        </w:rPr>
        <w:t>We or the selling stockholders may sell the securities directly to investors or to or through agents, underwriters or dealers. We and the selling stockholders, and our or their agents or underwriters, reserve the right to accept or reject all or part of any proposed purchase of securities. If we or the selling stockholders do offer securities to or through agents or underwriters, we will include in the applicable prospectus supplement:</w:t>
      </w:r>
    </w:p>
    <w:p>
      <w:pPr>
        <w:sectPr>
          <w:pgSz w:w="11900" w:h="16838" w:orient="portrait"/>
          <w:cols w:equalWidth="0" w:num="1">
            <w:col w:w="10400"/>
          </w:cols>
          <w:pgMar w:left="74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400"/>
          </w:cols>
          <w:pgMar w:left="740" w:top="1440" w:right="759" w:bottom="1440" w:gutter="0" w:footer="0" w:header="0"/>
          <w:type w:val="continuous"/>
        </w:sectPr>
      </w:pPr>
    </w:p>
    <w:bookmarkStart w:id="35" w:name="page36"/>
    <w:bookmarkEnd w:id="35"/>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7393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6130" cy="7393305"/>
                    </a:xfrm>
                    <a:prstGeom prst="rect">
                      <a:avLst/>
                    </a:prstGeom>
                    <a:noFill/>
                  </pic:spPr>
                </pic:pic>
              </a:graphicData>
            </a:graphic>
          </wp:anchor>
        </w:drawing>
      </w:r>
    </w:p>
    <w:p>
      <w:pPr>
        <w:ind w:left="640" w:hanging="314"/>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Common Stock</w:t>
      </w:r>
      <w:r>
        <w:rPr>
          <w:rFonts w:ascii="Arial" w:cs="Arial" w:eastAsia="Arial" w:hAnsi="Arial"/>
          <w:sz w:val="17"/>
          <w:szCs w:val="17"/>
          <w:color w:val="auto"/>
        </w:rPr>
        <w:t>. We may issue shares of our common stock from time to time. The selling stockholders may offer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to the extent such shares were issued and outstanding prior to the original date of filing of the registration statement to which this prospectus relates. The holders of our common stock are entitled to one vote for each share held of record on all matters submitted to a vote of stockholders. Subject to preferences that may be applicable to any outstanding shares of preferred stock, the holders of common stock are entitled to receive ratably such dividends as may be declared by our board of directors out of legally available funds. Upon our liquidation, dissolution or winding up, holders of our common stock are entitled to share ratably in all assets remaining after payment of liabilities and the liquidation preferences of any outstanding shares of preferred stock. Holders of common stock have no preemptive rights and no right to convert their common stock into any other securities. There are no redemption or sinking fund provisions applicable to our common stock. In this prospectus, we have summarized certain general features of the common stock under “Description of Capital Stock - Common Stock.” We urge you, however, to read the applicable prospectus supplement (and any related free writing prospectus that we may authorize to be provided to you) related to any common stock being offered.</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We may issue shares of our preferred stock from time to time, in one or more series. Our board of directors will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Convertible preferred stock will be convertible into our common stock or exchangeable for other securities. Conversion may be mandatory or at your option and would be at prescribed conversion rates.</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7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We may issue debt securities from time to time, in one or more series, as either senior or subordinated debt or as senior or</w:t>
      </w:r>
      <w:r>
        <w:rPr>
          <w:rFonts w:ascii="Arial" w:cs="Arial" w:eastAsia="Arial" w:hAnsi="Arial"/>
          <w:sz w:val="17"/>
          <w:szCs w:val="17"/>
          <w:i w:val="1"/>
          <w:iCs w:val="1"/>
          <w:color w:val="auto"/>
        </w:rPr>
        <w:t xml:space="preserve"> </w:t>
      </w:r>
      <w:r>
        <w:rPr>
          <w:rFonts w:ascii="Arial" w:cs="Arial" w:eastAsia="Arial" w:hAnsi="Arial"/>
          <w:sz w:val="17"/>
          <w:szCs w:val="17"/>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spacing w:after="0" w:line="1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00"/>
          </w:cols>
          <w:pgMar w:left="740" w:top="1440" w:right="759" w:bottom="1440" w:gutter="0" w:footer="0" w:header="0"/>
        </w:sectPr>
      </w:pPr>
    </w:p>
    <w:bookmarkStart w:id="36" w:name="page37"/>
    <w:bookmarkEnd w:id="36"/>
    <w:p>
      <w:pPr>
        <w:jc w:val="both"/>
        <w:ind w:firstLine="324"/>
        <w:spacing w:after="0" w:line="25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439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6130" cy="4392930"/>
                    </a:xfrm>
                    <a:prstGeom prst="rect">
                      <a:avLst/>
                    </a:prstGeom>
                    <a:noFill/>
                  </pic:spPr>
                </pic:pic>
              </a:graphicData>
            </a:graphic>
          </wp:anchor>
        </w:drawing>
        <w:t xml:space="preserve">Warrants. </w:t>
      </w:r>
      <w:r>
        <w:rPr>
          <w:rFonts w:ascii="Arial" w:cs="Arial" w:eastAsia="Arial" w:hAnsi="Arial"/>
          <w:sz w:val="18"/>
          <w:szCs w:val="18"/>
          <w:color w:val="auto"/>
        </w:rPr>
        <w:t>We may issue warrants for the purchase of common stock, preferred stock and/or debt securities in one or more series. We may</w:t>
      </w:r>
      <w:r>
        <w:rPr>
          <w:rFonts w:ascii="Arial" w:cs="Arial" w:eastAsia="Arial" w:hAnsi="Arial"/>
          <w:sz w:val="18"/>
          <w:szCs w:val="18"/>
          <w:i w:val="1"/>
          <w:iCs w:val="1"/>
          <w:color w:val="auto"/>
        </w:rPr>
        <w:t xml:space="preserve"> </w:t>
      </w:r>
      <w:r>
        <w:rPr>
          <w:rFonts w:ascii="Arial" w:cs="Arial" w:eastAsia="Arial" w:hAnsi="Arial"/>
          <w:sz w:val="18"/>
          <w:szCs w:val="18"/>
          <w:color w:val="auto"/>
        </w:rPr>
        <w:t>issue warrants independently or in combination with common stock, preferred stock and/or debt securities. In this prospectus, we have summarized certain general features of the warrants under “Description of Warrants.” We urge you, however, to read the applicable prospectus supplement (and any related free writing prospectus that we may authorize to be provided to you) related to the particular series of warrants being offered, as well as any warrant agreements and warrant certificates that contain the terms of the warrants. 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We will not receive any proceeds from the sale of shares of our common stock by any selling stockholder. See “Use of Proceeds” in this prospectus.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common stock is listed on the Nasdaq Global Market under the symbol “SIBN.” The applicable prospectus supplement will contain information, where applicable, as to other listings, if any, on the Nasdaq Global Market or other securities exchange of the securities covered by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00"/>
          </w:cols>
          <w:pgMar w:left="740" w:top="1367" w:right="7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9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expand our sales team to increase demand for our products and expand geographically;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favorable coverage and reimbursement determinations from third-party payors;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marketing authorization from the U.S. Food and Drug Administration or FDA;</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reliance on a limited number of suppliers which may impact the availability of instruments and materials;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drive demand for our products and sustain or increase such demand;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999" w:right="339" w:bottom="1440" w:gutter="0" w:footer="0" w:header="0"/>
          <w:type w:val="continuous"/>
        </w:sectPr>
      </w:pPr>
    </w:p>
    <w:bookmarkStart w:id="38" w:name="page39"/>
    <w:bookmarkEnd w:id="38"/>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 and expand our sales force;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which may include costs of funding future acquisitions or for any other purpose we describe in the applicable prospectus supplement.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not receive any proceeds from the sale of shares of our common stock by any selling stockholder.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949"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authorized capital stock consists of 100,000,000 shares of common stock, $0.0001 par value per share, and 5,000,000 shares of preferred stock, $0.0001 par value per share. A description of material terms and provisions of our certificate of incorporation and bylaws affecting the rights of holders of our capital stock is set forth below. The description is intended as a summary, and is qualified in its entirety by reference to our certificate of incorporation and the bylaws.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holders of our common stock are entitled to one vote per share. Stockholders do not have the ability to cumulate votes for the election of directors. Our amended and restated certificate of incorporation and amended and restated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amended and restated certificate of incorporation authorizes our board of directors,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18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ectPr>
          <w:pgSz w:w="11900" w:h="16838" w:orient="portrait"/>
          <w:cols w:equalWidth="0" w:num="1">
            <w:col w:w="11240"/>
          </w:cols>
          <w:pgMar w:left="320" w:top="945"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945" w:right="339" w:bottom="1440" w:gutter="0" w:footer="0" w:header="0"/>
          <w:type w:val="continuous"/>
        </w:sectPr>
      </w:pPr>
    </w:p>
    <w:bookmarkStart w:id="40" w:name="page41"/>
    <w:bookmarkEnd w:id="40"/>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applicable;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for a sinking fund, if applicable;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those redemption and repurchase rights;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voting rights of the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transfer, sale or other assignment;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discussion of material United States federal income tax considerations applicable to the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 and Delaware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4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prior to the time that the interested stockholder became an interested stockholder;</w:t>
      </w:r>
    </w:p>
    <w:p>
      <w:pPr>
        <w:spacing w:after="0" w:line="128" w:lineRule="exact"/>
        <w:rPr>
          <w:rFonts w:ascii="Arial" w:cs="Arial" w:eastAsia="Arial" w:hAnsi="Arial"/>
          <w:sz w:val="17"/>
          <w:szCs w:val="17"/>
          <w:color w:val="auto"/>
        </w:rPr>
      </w:pPr>
    </w:p>
    <w:p>
      <w:pPr>
        <w:ind w:left="660" w:right="100" w:hanging="328"/>
        <w:spacing w:after="0" w:line="275"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222222"/>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w:t>
      </w:r>
      <w:r>
        <w:rPr>
          <w:rFonts w:ascii="Arial" w:cs="Arial" w:eastAsia="Arial" w:hAnsi="Arial"/>
          <w:sz w:val="17"/>
          <w:szCs w:val="17"/>
          <w:color w:val="000000"/>
        </w:rPr>
        <w:t>or</w:t>
      </w:r>
    </w:p>
    <w:p>
      <w:pPr>
        <w:spacing w:after="0" w:line="68" w:lineRule="exact"/>
        <w:rPr>
          <w:rFonts w:ascii="Arial" w:cs="Arial" w:eastAsia="Arial" w:hAnsi="Arial"/>
          <w:sz w:val="17"/>
          <w:szCs w:val="17"/>
          <w:color w:val="auto"/>
        </w:rPr>
      </w:pPr>
    </w:p>
    <w:p>
      <w:pPr>
        <w:ind w:left="660" w:right="10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8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4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may have the effect of deterring hostile takeovers or delaying or preventing changes in control of our management team, including the following:</w:t>
      </w:r>
    </w:p>
    <w:p>
      <w:pPr>
        <w:spacing w:after="0" w:line="170" w:lineRule="exact"/>
        <w:rPr>
          <w:sz w:val="20"/>
          <w:szCs w:val="20"/>
          <w:color w:val="auto"/>
        </w:rPr>
      </w:pPr>
    </w:p>
    <w:p>
      <w:pPr>
        <w:jc w:val="both"/>
        <w:ind w:left="660" w:hanging="328"/>
        <w:spacing w:after="0" w:line="279"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Board of Directors Vacancies</w:t>
      </w:r>
      <w:r>
        <w:rPr>
          <w:rFonts w:ascii="Arial" w:cs="Arial" w:eastAsia="Arial" w:hAnsi="Arial"/>
          <w:sz w:val="17"/>
          <w:szCs w:val="17"/>
          <w:color w:val="auto"/>
        </w:rPr>
        <w:t>. Our amended and restated certificate of incorporation and amended and restated bylaws authorize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to fill vacant directorships, including newly-created seats. In addition, the number of directors constituting our board of directors is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98"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provide that our board of directors is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into three classes of directors, each of whom will hold office for a three-year term. In addition, directors may only be removed from the board of directors for cause and only by the approval of a majority of our then-outstanding shares of our common stock. The existence of a classified board could delay a successful tender offeror from obtaining majority control of our board of directors, and the prospect of that delay might deter a potential offeror.</w:t>
      </w:r>
    </w:p>
    <w:p>
      <w:pPr>
        <w:spacing w:after="0" w:line="214"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provides that stockholders are not able</w:t>
      </w:r>
      <w:r>
        <w:rPr>
          <w:rFonts w:ascii="Arial" w:cs="Arial" w:eastAsia="Arial" w:hAnsi="Arial"/>
          <w:sz w:val="18"/>
          <w:szCs w:val="18"/>
          <w:i w:val="1"/>
          <w:iCs w:val="1"/>
          <w:color w:val="auto"/>
        </w:rPr>
        <w:t xml:space="preserve"> </w:t>
      </w:r>
      <w:r>
        <w:rPr>
          <w:rFonts w:ascii="Arial" w:cs="Arial" w:eastAsia="Arial" w:hAnsi="Arial"/>
          <w:sz w:val="18"/>
          <w:szCs w:val="18"/>
          <w:color w:val="auto"/>
        </w:rPr>
        <w:t>to take action by written consent, and are only be able to take action at annual or special meetings of our stockholders. Stockholders are not be permitted to cumulate their votes for the election of directors. Our amended and restated bylaws further provide that special meetings of our stockholders may be called only by a majority vote of our entire board of directors, the chairman of our board of directors, or our chief executive officer.</w:t>
      </w:r>
    </w:p>
    <w:p>
      <w:pPr>
        <w:spacing w:after="0" w:line="214"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amended and restated bylaws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214"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Issuance of Undesignated Preferred Stock</w:t>
      </w:r>
      <w:r>
        <w:rPr>
          <w:rFonts w:ascii="Arial" w:cs="Arial" w:eastAsia="Arial" w:hAnsi="Arial"/>
          <w:sz w:val="17"/>
          <w:szCs w:val="17"/>
          <w:color w:val="auto"/>
        </w:rPr>
        <w:t>. Our board of directors have the authority, without further action by the holders of common stock, to</w:t>
      </w:r>
      <w:r>
        <w:rPr>
          <w:rFonts w:ascii="Arial" w:cs="Arial" w:eastAsia="Arial" w:hAnsi="Arial"/>
          <w:sz w:val="17"/>
          <w:szCs w:val="17"/>
          <w:i w:val="1"/>
          <w:iCs w:val="1"/>
          <w:color w:val="auto"/>
        </w:rPr>
        <w:t xml:space="preserve"> </w:t>
      </w:r>
      <w:r>
        <w:rPr>
          <w:rFonts w:ascii="Arial" w:cs="Arial" w:eastAsia="Arial" w:hAnsi="Arial"/>
          <w:sz w:val="17"/>
          <w:szCs w:val="17"/>
          <w:color w:val="auto"/>
        </w:rPr>
        <w:t>issue up to 5,000,000 shares of undesignated preferred stock with rights and preferences, including voting rights, designated from time to time by the board of directors. The existence of authorized but unissued shares of preferred stock enable our board of directors to render more difficult or to discourage an attempt to obtain control of us by means of a merger, tender offer, proxy contest, or otherwise.</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fiduciary duty by any director, officer, or other employee to us or our stockholders; any action asserting a claim against us arising pursuant to the Delaware General Corporation Law, our amended and restated certificate of incorporation or our amended and restated bylaws, or any action asserting a claim against us or any director or officer or other employee that is governed by the internal affairs doctrine. The provision does not apply to suits brought to enforce a duty or liability created by the Exchange Act.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is be the exclusive forum for resolving any complaint asserting a cause of action arising under the Securities Act. We do not currently intend to enforce the federal forum selection provision unless a recent Delaware Chancery Court decision invalidating such a clause is appealed and the Delaware Supreme Court reverses the decision.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Market</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common stock is listed on the Nasdaq Global Market the symbol “SIBN.” The applicable prospectus supplement will contain information, where applicable, as to any other listing, if any, on the Nasdaq Global Market or any securities market or other exchange of the preferred stock covered by such prospectus supplement.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97"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will issue the debt securities under the indenture that we will enter into with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78"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17"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45" w:right="339" w:bottom="1440" w:gutter="0" w:footer="0" w:header="0"/>
        </w:sectPr>
      </w:pPr>
    </w:p>
    <w:bookmarkStart w:id="43" w:name="page44"/>
    <w:bookmarkEnd w:id="43"/>
    <w:p>
      <w:pPr>
        <w:jc w:val="both"/>
        <w:ind w:left="66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denominations in which we will issue the series of debt securities, if other than denominations of $1,000 and any integral multiple thereof;</w:t>
      </w:r>
    </w:p>
    <w:p>
      <w:pPr>
        <w:spacing w:after="0" w:line="128" w:lineRule="exact"/>
        <w:rPr>
          <w:rFonts w:ascii="Arial" w:cs="Arial" w:eastAsia="Arial" w:hAnsi="Arial"/>
          <w:sz w:val="17"/>
          <w:szCs w:val="17"/>
          <w:color w:val="auto"/>
        </w:rPr>
      </w:pPr>
    </w:p>
    <w:p>
      <w:pPr>
        <w:ind w:left="660" w:hanging="328"/>
        <w:spacing w:after="0" w:line="342"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7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currency of payment of debt securities if other than U.S. dollars and the manner of determining the equivalent amount in U.S. dollars;</w:t>
      </w:r>
    </w:p>
    <w:p>
      <w:pPr>
        <w:spacing w:after="0" w:line="128"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4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70" w:lineRule="exact"/>
        <w:rPr>
          <w:sz w:val="20"/>
          <w:szCs w:val="20"/>
          <w:color w:val="auto"/>
        </w:rPr>
      </w:pPr>
    </w:p>
    <w:p>
      <w:pPr>
        <w:jc w:val="both"/>
        <w:ind w:left="660" w:hanging="328"/>
        <w:spacing w:after="0" w:line="286"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57"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63"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6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76"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17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holders have offered to the trustee indemnity satisfactory to it against the costs, expenses and liabilities to be incurred by the trustee in compliance with the request;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45" w:right="339" w:bottom="1440" w:gutter="0" w:footer="0" w:header="0"/>
        </w:sectPr>
      </w:pPr>
    </w:p>
    <w:bookmarkStart w:id="45" w:name="page46"/>
    <w:bookmarkEnd w:id="45"/>
    <w:p>
      <w:pPr>
        <w:ind w:firstLine="324"/>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the trustee may change an indenture without the consent of any holders with respect to specific matters:</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the debt securities of any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Debt Securities-Consolidation, Merger or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17"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interests of any holder of debt securities of any series in any material respect;</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any indenture by a successor trustee;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8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series of any debt securities;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17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49" w:right="339" w:bottom="1440" w:gutter="0" w:footer="0" w:header="0"/>
        </w:sectPr>
      </w:pPr>
    </w:p>
    <w:bookmarkStart w:id="46" w:name="page47"/>
    <w:bookmarkEnd w:id="46"/>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 entry securities will be set forth in the applicable prospectus supplement.</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94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warrants being offered, including:</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45" w:right="339" w:bottom="1440" w:gutter="0" w:footer="0" w:header="0"/>
        </w:sectPr>
      </w:pPr>
    </w:p>
    <w:bookmarkStart w:id="48" w:name="page49"/>
    <w:bookmarkEnd w:id="48"/>
    <w:p>
      <w:pPr>
        <w:ind w:left="660" w:hanging="328"/>
        <w:spacing w:after="0" w:line="308"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of holding or exercising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170" w:lineRule="exact"/>
        <w:rPr>
          <w:sz w:val="20"/>
          <w:szCs w:val="20"/>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949"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LEGAL OWNERSHIP OF SECURITIES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Holders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Street Name Holders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4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Holders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98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or in street name, you should check with your own institution to find out:</w:t>
      </w:r>
    </w:p>
    <w:p>
      <w:pPr>
        <w:spacing w:after="0" w:line="17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whether and how you can instruct it to send you securities registered in your own name so you can be a holder, if that is permitted in the future;</w:t>
      </w:r>
    </w:p>
    <w:p>
      <w:pPr>
        <w:spacing w:after="0" w:line="1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9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securities are issued only in the form of a global security, an investor should be aware of the following:</w:t>
      </w:r>
    </w:p>
    <w:p>
      <w:pPr>
        <w:spacing w:after="0" w:line="225" w:lineRule="exact"/>
        <w:rPr>
          <w:sz w:val="20"/>
          <w:szCs w:val="20"/>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945" w:right="339" w:bottom="1440" w:gutter="0" w:footer="0" w:header="0"/>
        </w:sectPr>
      </w:pPr>
    </w:p>
    <w:bookmarkStart w:id="51" w:name="page52"/>
    <w:bookmarkEnd w:id="51"/>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Unless we provide otherwise in the applicable prospectus supplement, the global security will terminate when the following special situations occur:</w:t>
      </w:r>
    </w:p>
    <w:p>
      <w:pPr>
        <w:spacing w:after="0" w:line="248" w:lineRule="exact"/>
        <w:rPr>
          <w:sz w:val="20"/>
          <w:szCs w:val="20"/>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securities represented by that global security and has not been cured or waived.</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prospectus also relates to the possible resale by certain of our stockholders, who we refer to in this prospectus as the “selling stockholders,” of up to 2,000,000 shares of our common stock that were issued and outstanding prior to the original date of filing of the registration statement of which this prospectus forms a part, including shares that may be owned by affiliates. The selling stockholders are (1) former holders of our preferred stock that originally acquired the shares of our common stock included in this prospectus through several private placements of our convertible preferred stock prior to our initial public offering, all of which shares of preferred stock were converted into shares of our common stock in connection with our initial public offering, or (2) a holder who acquired shares of common stock in a private placement of our common stock or pursuant to the exercise of stock options.</w:t>
      </w:r>
    </w:p>
    <w:p>
      <w:pPr>
        <w:spacing w:after="0" w:line="1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Information about the selling stockholders, where applicable, including their identities, the amount of shares of common stock owned by each selling stockholder prior to the offering, the number of shares of our common stock to be offered by each selling stockholder and the amount of common stock to be owned by each selling stockholder after completion of the offering, will be set forth in an applicable prospectus supplement, documents incorporated by reference or in a free writing prospectus we file with the SEC. The applicable prospectus supplement will also disclose whether any of the selling stockholders has held any position or office with, has been employed by or otherwise has had a material relationship with us during the three years prior to the date of the prospectus supplement.</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selling stockholders shall not sell any shares of our common stock pursuant to this prospectus until we have identified such selling stockholders and the shares being offered for resale by such selling stockholders in a subsequent prospectus supplement. However, the selling stockholders may sell or transfer all or a portion of their shares of our common stock pursuant to any available exemption from the registration requirements of the Securities Act.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949"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or the selling stockholders may sell the securities from time to time pursuant to underwritten public offerings, direct sales to the public, negotiated transactions, block trades or a combination of these methods. We or the selling stockholders may sell the securities to or through underwriters or dealers, through agents, or directly to one or more purchasers. We or the selling stockholders may distribute securities from time to time in one or more transactions:</w:t>
      </w:r>
    </w:p>
    <w:p>
      <w:pPr>
        <w:spacing w:after="0" w:line="187"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70"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name or names of the underwriters, if 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purchase price of the securities or other consideration therefor, and the proceeds, if any, we will receive from the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Only underwriters named in the prospectus supplement will be underwriters of the securities offered by the prospectus supplement.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the selling stockholders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or the selling stockholders may use underwriters with whom we have a material relationship. We will describe in the prospectus supplement, naming the underwriter, the nature of any such relationship.</w:t>
      </w:r>
    </w:p>
    <w:p>
      <w:pPr>
        <w:spacing w:after="0" w:line="1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or the selling stockholders may sell securities directly or through agents we designate from time to time. We will name any agent involved in the offering and sale of securities and we will describe any commissions we or the selling stockholders will pay the agent in the prospectus supplement. Unless the prospectus supplement states otherwise, our or the selling stockholders’ agent will act on a best-efforts basis for the period of its appointment.</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or the selling stockholders may authorize agents or underwriters to solicit offers by certain types of institutional investors to purchase securities from us or the selling stockholders at the public offering price set forth in the prospectus supplement pursuant to delayed delivery contracts providing for payment and delivery on a specified date in the future. We will describe the conditions to these contracts and the commissions we or the selling stockholders must pay for solicitation of these contracts in the prospectus supplement.</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or the selling stockholders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or the selling stockholders in the ordinary course of business.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985" w:right="339" w:bottom="1440" w:gutter="0" w:footer="0" w:header="0"/>
        </w:sectPr>
      </w:pPr>
    </w:p>
    <w:bookmarkStart w:id="53" w:name="page54"/>
    <w:bookmarkEnd w:id="53"/>
    <w:p>
      <w:pPr>
        <w:jc w:val="both"/>
        <w:ind w:firstLine="324"/>
        <w:spacing w:after="0" w:line="291" w:lineRule="auto"/>
        <w:rPr>
          <w:sz w:val="20"/>
          <w:szCs w:val="20"/>
          <w:color w:val="auto"/>
        </w:rPr>
      </w:pPr>
      <w:r>
        <w:rPr>
          <w:rFonts w:ascii="Arial" w:cs="Arial" w:eastAsia="Arial" w:hAnsi="Arial"/>
          <w:sz w:val="16"/>
          <w:szCs w:val="16"/>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Any underwriters or agents that are qualified market makers on the Nasdaq Global Market may engage in passive market making transactions in the common stock on the Nasdaq Global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Cooley LLP will pass upon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2018, have been so incorporated in reliance on the report of PricewaterhouseCoopers LLP, an independent registered public accounting firm, given on the authority of said firm as experts in auditing and accounting.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Arial" w:cs="Arial" w:eastAsia="Arial" w:hAnsi="Arial"/>
          <w:sz w:val="17"/>
          <w:szCs w:val="17"/>
          <w:u w:val="single" w:color="auto"/>
          <w:color w:val="0000FF"/>
        </w:rPr>
        <w:t>www.sec.gov</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949"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001-38701):</w:t>
      </w:r>
    </w:p>
    <w:p>
      <w:pPr>
        <w:spacing w:after="0" w:line="192"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our </w:t>
      </w:r>
      <w:hyperlink r:id="rId30">
        <w:r>
          <w:rPr>
            <w:rFonts w:ascii="Arial" w:cs="Arial" w:eastAsia="Arial" w:hAnsi="Arial"/>
            <w:sz w:val="18"/>
            <w:szCs w:val="18"/>
            <w:u w:val="single" w:color="auto"/>
            <w:color w:val="0000FF"/>
          </w:rPr>
          <w:t>Annual Report on Form 10-K, for the year ended December 31, 2018</w:t>
        </w:r>
      </w:hyperlink>
      <w:r>
        <w:rPr>
          <w:rFonts w:ascii="Arial" w:cs="Arial" w:eastAsia="Arial" w:hAnsi="Arial"/>
          <w:sz w:val="18"/>
          <w:szCs w:val="18"/>
          <w:color w:val="auto"/>
        </w:rPr>
        <w:t>, filed with the SEC on March 14,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our </w:t>
      </w:r>
      <w:hyperlink r:id="rId31">
        <w:r>
          <w:rPr>
            <w:rFonts w:ascii="Arial" w:cs="Arial" w:eastAsia="Arial" w:hAnsi="Arial"/>
            <w:sz w:val="18"/>
            <w:szCs w:val="18"/>
            <w:u w:val="single" w:color="auto"/>
            <w:color w:val="0000FF"/>
          </w:rPr>
          <w:t>Quarterly Report on Form 10-Q, for the quarter ended March 31, 2019</w:t>
        </w:r>
      </w:hyperlink>
      <w:r>
        <w:rPr>
          <w:rFonts w:ascii="Arial" w:cs="Arial" w:eastAsia="Arial" w:hAnsi="Arial"/>
          <w:sz w:val="18"/>
          <w:szCs w:val="18"/>
          <w:color w:val="auto"/>
        </w:rPr>
        <w:t>, filed with the SEC on May 9,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our </w:t>
      </w:r>
      <w:hyperlink r:id="rId32">
        <w:r>
          <w:rPr>
            <w:rFonts w:ascii="Arial" w:cs="Arial" w:eastAsia="Arial" w:hAnsi="Arial"/>
            <w:sz w:val="18"/>
            <w:szCs w:val="18"/>
            <w:u w:val="single" w:color="auto"/>
            <w:color w:val="0000FF"/>
          </w:rPr>
          <w:t>Quarterly Report on Form 10-Q, for the quarter ended June 30, 2019</w:t>
        </w:r>
      </w:hyperlink>
      <w:r>
        <w:rPr>
          <w:rFonts w:ascii="Arial" w:cs="Arial" w:eastAsia="Arial" w:hAnsi="Arial"/>
          <w:sz w:val="18"/>
          <w:szCs w:val="18"/>
          <w:color w:val="auto"/>
        </w:rPr>
        <w:t>, filed with the SEC on August 7,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our </w:t>
      </w:r>
      <w:hyperlink r:id="rId33">
        <w:r>
          <w:rPr>
            <w:rFonts w:ascii="Arial" w:cs="Arial" w:eastAsia="Arial" w:hAnsi="Arial"/>
            <w:sz w:val="18"/>
            <w:szCs w:val="18"/>
            <w:u w:val="single" w:color="auto"/>
            <w:color w:val="0000FF"/>
          </w:rPr>
          <w:t>Quarterly Report on Form 10-Q, for the quarter ended September 30, 2019</w:t>
        </w:r>
      </w:hyperlink>
      <w:r>
        <w:rPr>
          <w:rFonts w:ascii="Arial" w:cs="Arial" w:eastAsia="Arial" w:hAnsi="Arial"/>
          <w:sz w:val="18"/>
          <w:szCs w:val="18"/>
          <w:color w:val="auto"/>
        </w:rPr>
        <w:t>, filed with the SEC on November 12, 2019;</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34">
        <w:r>
          <w:rPr>
            <w:rFonts w:ascii="Arial" w:cs="Arial" w:eastAsia="Arial" w:hAnsi="Arial"/>
            <w:sz w:val="18"/>
            <w:szCs w:val="18"/>
            <w:u w:val="single" w:color="auto"/>
            <w:color w:val="0000FF"/>
          </w:rPr>
          <w:t>January 22, 2019</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FF"/>
          </w:rPr>
          <w:t>April 11, 2019</w:t>
        </w:r>
      </w:hyperlink>
      <w:r>
        <w:rPr>
          <w:rFonts w:ascii="Arial" w:cs="Arial" w:eastAsia="Arial" w:hAnsi="Arial"/>
          <w:sz w:val="18"/>
          <w:szCs w:val="18"/>
          <w:color w:val="auto"/>
        </w:rPr>
        <w:t xml:space="preserve">, </w:t>
      </w:r>
      <w:hyperlink r:id="rId36">
        <w:r>
          <w:rPr>
            <w:rFonts w:ascii="Arial" w:cs="Arial" w:eastAsia="Arial" w:hAnsi="Arial"/>
            <w:sz w:val="18"/>
            <w:szCs w:val="18"/>
            <w:u w:val="single" w:color="auto"/>
            <w:color w:val="0000FF"/>
          </w:rPr>
          <w:t>June 14, 2019</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FF"/>
          </w:rPr>
          <w:t>August 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2.02 and related exhibit), </w:t>
      </w:r>
      <w:hyperlink r:id="rId38">
        <w:r>
          <w:rPr>
            <w:rFonts w:ascii="Arial" w:cs="Arial" w:eastAsia="Arial" w:hAnsi="Arial"/>
            <w:sz w:val="18"/>
            <w:szCs w:val="18"/>
            <w:u w:val="single" w:color="auto"/>
            <w:color w:val="0000FF"/>
          </w:rPr>
          <w:t>August 14, 2019</w:t>
        </w:r>
      </w:hyperlink>
      <w:r>
        <w:rPr>
          <w:rFonts w:ascii="Arial" w:cs="Arial" w:eastAsia="Arial" w:hAnsi="Arial"/>
          <w:sz w:val="18"/>
          <w:szCs w:val="18"/>
          <w:color w:val="auto"/>
        </w:rPr>
        <w:t xml:space="preserve">, and </w:t>
      </w:r>
      <w:hyperlink r:id="rId39">
        <w:r>
          <w:rPr>
            <w:rFonts w:ascii="Arial" w:cs="Arial" w:eastAsia="Arial" w:hAnsi="Arial"/>
            <w:sz w:val="18"/>
            <w:szCs w:val="18"/>
            <w:u w:val="single" w:color="auto"/>
            <w:color w:val="0000FF"/>
          </w:rPr>
          <w:t>December 4, 2019</w:t>
        </w:r>
      </w:hyperlink>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our </w:t>
      </w:r>
      <w:hyperlink r:id="rId40">
        <w:r>
          <w:rPr>
            <w:rFonts w:ascii="Arial" w:cs="Arial" w:eastAsia="Arial" w:hAnsi="Arial"/>
            <w:sz w:val="18"/>
            <w:szCs w:val="18"/>
            <w:u w:val="single" w:color="auto"/>
            <w:color w:val="0000FF"/>
          </w:rPr>
          <w:t>Definitive Proxy Statement on Schedule 14A, filed on April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(but only with respect to information required by Part III of our Annual Report on Form 10-K for the year ended December 31, 2018, which information shall update and supersede information included in Part III of our Annual Report on Form 10-K for the year ended December 31, 2018); and</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23">
        <w:r>
          <w:rPr>
            <w:rFonts w:ascii="Arial" w:cs="Arial" w:eastAsia="Arial" w:hAnsi="Arial"/>
            <w:sz w:val="18"/>
            <w:szCs w:val="18"/>
            <w:u w:val="single" w:color="auto"/>
            <w:color w:val="0000FF"/>
          </w:rPr>
          <w:t>Form 8-A, filed with the SEC on October 11, 2018</w:t>
        </w:r>
      </w:hyperlink>
      <w:r>
        <w:rPr>
          <w:rFonts w:ascii="Arial" w:cs="Arial" w:eastAsia="Arial" w:hAnsi="Arial"/>
          <w:sz w:val="18"/>
          <w:szCs w:val="18"/>
          <w:color w:val="auto"/>
        </w:rPr>
        <w:t>, including any amendment or report filed for the purpose of updating such description.</w:t>
      </w:r>
    </w:p>
    <w:p>
      <w:pPr>
        <w:spacing w:after="0" w:line="116" w:lineRule="exact"/>
        <w:rPr>
          <w:rFonts w:ascii="Arial" w:cs="Arial" w:eastAsia="Arial" w:hAnsi="Arial"/>
          <w:sz w:val="18"/>
          <w:szCs w:val="18"/>
          <w:color w:val="auto"/>
        </w:rPr>
      </w:pPr>
    </w:p>
    <w:p>
      <w:pPr>
        <w:jc w:val="both"/>
        <w:ind w:firstLine="435"/>
        <w:spacing w:after="0" w:line="269" w:lineRule="auto"/>
        <w:rPr>
          <w:sz w:val="20"/>
          <w:szCs w:val="20"/>
          <w:color w:val="auto"/>
        </w:rPr>
      </w:pPr>
      <w:r>
        <w:rPr>
          <w:rFonts w:ascii="Arial" w:cs="Arial" w:eastAsia="Arial" w:hAnsi="Arial"/>
          <w:sz w:val="17"/>
          <w:szCs w:val="17"/>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82"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Santa Clara, California 95050</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jc w:val="center"/>
        <w:spacing w:after="0" w:line="207" w:lineRule="exact"/>
        <w:rPr>
          <w:sz w:val="20"/>
          <w:szCs w:val="20"/>
          <w:color w:val="auto"/>
        </w:rPr>
      </w:pPr>
      <w:r>
        <w:rPr>
          <w:rFonts w:ascii="Arial" w:cs="Arial" w:eastAsia="Arial" w:hAnsi="Arial"/>
          <w:sz w:val="18"/>
          <w:szCs w:val="18"/>
          <w:color w:val="auto"/>
        </w:rPr>
        <w:t>(408) 207</w:t>
      </w:r>
      <w:r>
        <w:rPr>
          <w:rFonts w:ascii="MS PGothic" w:cs="MS PGothic" w:eastAsia="MS PGothic" w:hAnsi="MS PGothic"/>
          <w:sz w:val="18"/>
          <w:szCs w:val="18"/>
          <w:color w:val="auto"/>
        </w:rPr>
        <w:t>‑</w:t>
      </w:r>
      <w:r>
        <w:rPr>
          <w:rFonts w:ascii="Arial" w:cs="Arial" w:eastAsia="Arial" w:hAnsi="Arial"/>
          <w:sz w:val="18"/>
          <w:szCs w:val="18"/>
          <w:color w:val="auto"/>
        </w:rPr>
        <w:t>0700</w:t>
      </w:r>
    </w:p>
    <w:p>
      <w:pPr>
        <w:sectPr>
          <w:pgSz w:w="11900" w:h="16838" w:orient="portrait"/>
          <w:cols w:equalWidth="0" w:num="1">
            <w:col w:w="11240"/>
          </w:cols>
          <w:pgMar w:left="320" w:top="945"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3,190,053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239395</wp:posOffset>
            </wp:positionV>
            <wp:extent cx="2143125" cy="1225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2143125"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Prospectus</w:t>
      </w:r>
    </w:p>
    <w:p>
      <w:pPr>
        <w:sectPr>
          <w:pgSz w:w="11900" w:h="16838" w:orient="portrait"/>
          <w:cols w:equalWidth="0" w:num="1">
            <w:col w:w="9800"/>
          </w:cols>
          <w:pgMar w:left="1040" w:top="1440" w:right="105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Morgan Stanley</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BofA Securities</w:t>
      </w:r>
    </w:p>
    <w:p>
      <w:pPr>
        <w:spacing w:after="0" w:line="103" w:lineRule="exact"/>
        <w:rPr>
          <w:sz w:val="20"/>
          <w:szCs w:val="20"/>
          <w:color w:val="auto"/>
        </w:rPr>
      </w:pPr>
    </w:p>
    <w:p>
      <w:pPr>
        <w:sectPr>
          <w:pgSz w:w="11900" w:h="16838" w:orient="portrait"/>
          <w:cols w:equalWidth="0" w:num="2">
            <w:col w:w="6920" w:space="720"/>
            <w:col w:w="2160"/>
          </w:cols>
          <w:pgMar w:left="1040" w:top="1440" w:right="1059" w:bottom="1440" w:gutter="0" w:footer="0" w:header="0"/>
          <w:type w:val="continuous"/>
        </w:sectPr>
      </w:pPr>
    </w:p>
    <w:p>
      <w:pPr>
        <w:spacing w:after="0"/>
        <w:rPr>
          <w:sz w:val="20"/>
          <w:szCs w:val="20"/>
          <w:color w:val="auto"/>
        </w:rPr>
      </w:pPr>
      <w:r>
        <w:rPr>
          <w:rFonts w:ascii="Arial" w:cs="Arial" w:eastAsia="Arial" w:hAnsi="Arial"/>
          <w:sz w:val="24"/>
          <w:szCs w:val="24"/>
          <w:b w:val="1"/>
          <w:bCs w:val="1"/>
          <w:color w:val="auto"/>
        </w:rPr>
        <w:t>Cantor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JMP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Needham &amp; Company</w:t>
      </w:r>
    </w:p>
    <w:p>
      <w:pPr>
        <w:spacing w:after="0" w:line="211" w:lineRule="exact"/>
        <w:rPr>
          <w:sz w:val="20"/>
          <w:szCs w:val="20"/>
          <w:color w:val="auto"/>
        </w:rPr>
      </w:pPr>
    </w:p>
    <w:p>
      <w:pPr>
        <w:sectPr>
          <w:pgSz w:w="11900" w:h="16838" w:orient="portrait"/>
          <w:cols w:equalWidth="0" w:num="3">
            <w:col w:w="3360" w:space="720"/>
            <w:col w:w="2600" w:space="720"/>
            <w:col w:w="2400"/>
          </w:cols>
          <w:pgMar w:left="1040" w:top="1440"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October 14, 2020</w:t>
      </w:r>
    </w:p>
    <w:sectPr>
      <w:pgSz w:w="11900" w:h="16838" w:orient="portrait"/>
      <w:cols w:equalWidth="0" w:num="1">
        <w:col w:w="9800"/>
      </w:cols>
      <w:pgMar w:left="1040" w:top="1440" w:right="10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lowerRoman"/>
      <w:start w:val="1"/>
    </w:lvl>
  </w:abstractNum>
  <w:abstractNum w:abstractNumId="18">
    <w:nsid w:val="440BADFC"/>
    <w:multiLevelType w:val="hybridMultilevel"/>
    <w:lvl w:ilvl="0">
      <w:lvlJc w:val="left"/>
      <w:lvlText w:val="(%1)"/>
      <w:numFmt w:val="lowerLetter"/>
      <w:start w:val="1"/>
    </w:lvl>
  </w:abstractNum>
  <w:abstractNum w:abstractNumId="19">
    <w:nsid w:val="5072367"/>
    <w:multiLevelType w:val="hybridMultilevel"/>
    <w:lvl w:ilvl="0">
      <w:lvlJc w:val="left"/>
      <w:lvlText w:val="(%1)"/>
      <w:numFmt w:val="lowerLetter"/>
      <w:start w:val="1"/>
    </w:lvl>
    <w:lvl w:ilvl="1">
      <w:lvlJc w:val="left"/>
      <w:lvlText w:val="(%2)"/>
      <w:numFmt w:val="lowerLetter"/>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408"/>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jpe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41" Type="http://schemas.openxmlformats.org/officeDocument/2006/relationships/image" Target="media/image16.jpeg"/><Relationship Id="rId17" Type="http://schemas.openxmlformats.org/officeDocument/2006/relationships/hyperlink" Target="http://www.sec.gov/Archives/edgar/data/1459839/000145983920000031/sibn1231201910-k.htm" TargetMode="External"/><Relationship Id="rId18" Type="http://schemas.openxmlformats.org/officeDocument/2006/relationships/hyperlink" Target="http://www.sec.gov/Archives/edgar/data/1459839/000145983920000062/sibn331202010-qa.htm" TargetMode="External"/><Relationship Id="rId19" Type="http://schemas.openxmlformats.org/officeDocument/2006/relationships/hyperlink" Target="http://www.sec.gov/ix?doc=/Archives/edgar/data/1459839/000145983920000074/sibn-20200630.htm" TargetMode="External"/><Relationship Id="rId20" Type="http://schemas.openxmlformats.org/officeDocument/2006/relationships/hyperlink" Target="http://www.sec.gov/Archives/edgar/data/1459839/000145983920000018/sibnform8-kxunderwritingag.htm" TargetMode="External"/><Relationship Id="rId21" Type="http://schemas.openxmlformats.org/officeDocument/2006/relationships/hyperlink" Target="http://www.sec.gov/Archives/edgar/data/1459839/000145983920000003/sibn8-k132020fy2020bonuspl.htm" TargetMode="External"/><Relationship Id="rId22" Type="http://schemas.openxmlformats.org/officeDocument/2006/relationships/hyperlink" Target="http://www.sec.gov/Archives/edgar/data/1459839/000145983920000040/sibn2020proxystatement.htm" TargetMode="External"/><Relationship Id="rId23" Type="http://schemas.openxmlformats.org/officeDocument/2006/relationships/hyperlink" Target="http://www.sec.gov/Archives/edgar/data/1459839/000119312518297571/d486750d8a12b.htm" TargetMode="External"/><Relationship Id="rId30" Type="http://schemas.openxmlformats.org/officeDocument/2006/relationships/hyperlink" Target="http://www.sec.gov/Archives/edgar/data/1459839/000145983919000011/sibn1231201810-k.htm" TargetMode="External"/><Relationship Id="rId31" Type="http://schemas.openxmlformats.org/officeDocument/2006/relationships/hyperlink" Target="http://www.sec.gov/Archives/edgar/data/1459839/000145983919000026/sibn331201910-q.htm" TargetMode="External"/><Relationship Id="rId32" Type="http://schemas.openxmlformats.org/officeDocument/2006/relationships/hyperlink" Target="http://www.sec.gov/Archives/edgar/data/1459839/000145983919000035/sibn630201910-q.htm" TargetMode="External"/><Relationship Id="rId33" Type="http://schemas.openxmlformats.org/officeDocument/2006/relationships/hyperlink" Target="http://www.sec.gov/Archives/edgar/data/1459839/000145983919000044/sibn930201910-q.htm" TargetMode="External"/><Relationship Id="rId34" Type="http://schemas.openxmlformats.org/officeDocument/2006/relationships/hyperlink" Target="http://www.sec.gov/Archives/edgar/data/1459839/000145983919000004/sibn-8xkbonusplan.htm" TargetMode="External"/><Relationship Id="rId35" Type="http://schemas.openxmlformats.org/officeDocument/2006/relationships/hyperlink" Target="http://www.sec.gov/Archives/edgar/data/1459839/000145983919000017/sibn-8xkbodchange.htm" TargetMode="External"/><Relationship Id="rId36" Type="http://schemas.openxmlformats.org/officeDocument/2006/relationships/hyperlink" Target="http://www.sec.gov/Archives/edgar/data/1459839/000145983919000028/sibn8-k.htm" TargetMode="External"/><Relationship Id="rId37" Type="http://schemas.openxmlformats.org/officeDocument/2006/relationships/hyperlink" Target="http://www.sec.gov/Archives/edgar/data/1459839/000145983919000033/sibn630198-k.htm" TargetMode="External"/><Relationship Id="rId38" Type="http://schemas.openxmlformats.org/officeDocument/2006/relationships/hyperlink" Target="http://www.sec.gov/Archives/edgar/data/1459839/000145983919000037/sibn8-k8132019bodresignati.htm" TargetMode="External"/><Relationship Id="rId39" Type="http://schemas.openxmlformats.org/officeDocument/2006/relationships/hyperlink" Target="http://www.sec.gov/Archives/edgar/data/1459839/000145983919000053/sibn8-k12419bodadditionxhi.htm" TargetMode="External"/><Relationship Id="rId40" Type="http://schemas.openxmlformats.org/officeDocument/2006/relationships/hyperlink" Target="http://www.sec.gov/Archives/edgar/data/1459839/000145983919000021/sibn2019proxystat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2020-10-16T05:09:28Z</dcterms:created>
  <dcterms:modified xsi:type="dcterms:W3CDTF">2020-10-16T05:09:28Z</dcterms:modified>
</cp:coreProperties>
</file>