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71" w:lineRule="exact"/>
        <w:rPr>
          <w:sz w:val="24"/>
          <w:szCs w:val="24"/>
          <w:color w:val="auto"/>
        </w:rPr>
      </w:pPr>
    </w:p>
    <w:p>
      <w:pPr>
        <w:ind w:left="740" w:hanging="596"/>
        <w:spacing w:after="0"/>
        <w:tabs>
          <w:tab w:leader="none" w:pos="740" w:val="left"/>
        </w:tabs>
        <w:numPr>
          <w:ilvl w:val="1"/>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86" w:lineRule="exact"/>
        <w:rPr>
          <w:rFonts w:ascii="MS PGothic" w:cs="MS PGothic" w:eastAsia="MS PGothic" w:hAnsi="MS PGothic"/>
          <w:sz w:val="20"/>
          <w:szCs w:val="20"/>
          <w:b w:val="1"/>
          <w:bCs w:val="1"/>
          <w:color w:val="auto"/>
        </w:rPr>
      </w:pPr>
    </w:p>
    <w:p>
      <w:pPr>
        <w:ind w:left="3820"/>
        <w:spacing w:after="0"/>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For the fiscal year ended December 31, 2023</w:t>
      </w:r>
    </w:p>
    <w:p>
      <w:pPr>
        <w:spacing w:after="0" w:line="89" w:lineRule="exact"/>
        <w:rPr>
          <w:rFonts w:ascii="MS PGothic" w:cs="MS PGothic" w:eastAsia="MS PGothic" w:hAnsi="MS PGothic"/>
          <w:sz w:val="20"/>
          <w:szCs w:val="20"/>
          <w:b w:val="1"/>
          <w:bCs w:val="1"/>
          <w:color w:val="auto"/>
        </w:rPr>
      </w:pPr>
    </w:p>
    <w:p>
      <w:pPr>
        <w:ind w:left="5400"/>
        <w:spacing w:after="0"/>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OR</w:t>
      </w:r>
    </w:p>
    <w:p>
      <w:pPr>
        <w:spacing w:after="0" w:line="173" w:lineRule="exact"/>
        <w:rPr>
          <w:rFonts w:ascii="MS PGothic" w:cs="MS PGothic" w:eastAsia="MS PGothic" w:hAnsi="MS PGothic"/>
          <w:sz w:val="20"/>
          <w:szCs w:val="20"/>
          <w:b w:val="1"/>
          <w:bCs w:val="1"/>
          <w:color w:val="auto"/>
        </w:rPr>
      </w:pPr>
    </w:p>
    <w:p>
      <w:pPr>
        <w:ind w:left="500" w:hanging="378"/>
        <w:spacing w:after="0"/>
        <w:tabs>
          <w:tab w:leader="none" w:pos="500"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ind w:left="3060"/>
        <w:spacing w:after="0"/>
        <w:tabs>
          <w:tab w:leader="none" w:pos="784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20"/>
          <w:szCs w:val="20"/>
          <w:b w:val="1"/>
          <w:bCs w:val="1"/>
          <w:color w:val="auto"/>
        </w:rPr>
        <w:t>001-38701</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SI-BONE, Inc.</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9" w:lineRule="exact"/>
        <w:rPr>
          <w:sz w:val="24"/>
          <w:szCs w:val="24"/>
          <w:color w:val="auto"/>
        </w:rPr>
      </w:pPr>
    </w:p>
    <w:tbl>
      <w:tblPr>
        <w:tblLayout w:type="fixed"/>
        <w:tblInd w:w="1640" w:type="dxa"/>
        <w:tblCellMar>
          <w:top w:w="0" w:type="dxa"/>
          <w:left w:w="0" w:type="dxa"/>
          <w:bottom w:w="0" w:type="dxa"/>
          <w:right w:w="0" w:type="dxa"/>
        </w:tblCellMar>
      </w:tblPr>
      <w:tr>
        <w:trPr>
          <w:trHeight w:val="264"/>
        </w:trPr>
        <w:tc>
          <w:tcPr>
            <w:tcW w:w="4100" w:type="dxa"/>
            <w:vAlign w:val="bottom"/>
          </w:tcPr>
          <w:p>
            <w:pPr>
              <w:jc w:val="center"/>
              <w:ind w:right="1733"/>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060" w:type="dxa"/>
            <w:vAlign w:val="bottom"/>
          </w:tcPr>
          <w:p>
            <w:pPr>
              <w:jc w:val="center"/>
              <w:ind w:left="1733"/>
              <w:spacing w:after="0"/>
              <w:rPr>
                <w:sz w:val="20"/>
                <w:szCs w:val="20"/>
                <w:color w:val="auto"/>
              </w:rPr>
            </w:pPr>
            <w:r>
              <w:rPr>
                <w:rFonts w:ascii="Times New Roman" w:cs="Times New Roman" w:eastAsia="Times New Roman" w:hAnsi="Times New Roman"/>
                <w:sz w:val="20"/>
                <w:szCs w:val="20"/>
                <w:b w:val="1"/>
                <w:bCs w:val="1"/>
                <w:color w:val="auto"/>
                <w:w w:val="99"/>
              </w:rPr>
              <w:t>26-2216351</w:t>
            </w:r>
          </w:p>
        </w:tc>
      </w:tr>
      <w:tr>
        <w:trPr>
          <w:trHeight w:val="196"/>
        </w:trPr>
        <w:tc>
          <w:tcPr>
            <w:tcW w:w="4100" w:type="dxa"/>
            <w:vAlign w:val="bottom"/>
          </w:tcPr>
          <w:p>
            <w:pPr>
              <w:jc w:val="center"/>
              <w:ind w:right="1733"/>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3060" w:type="dxa"/>
            <w:vAlign w:val="bottom"/>
          </w:tcPr>
          <w:p>
            <w:pPr>
              <w:jc w:val="center"/>
              <w:ind w:left="1733"/>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1"/>
        </w:trPr>
        <w:tc>
          <w:tcPr>
            <w:tcW w:w="4100" w:type="dxa"/>
            <w:vAlign w:val="bottom"/>
          </w:tcPr>
          <w:p>
            <w:pPr>
              <w:jc w:val="center"/>
              <w:ind w:right="1733"/>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3060" w:type="dxa"/>
            <w:vAlign w:val="bottom"/>
          </w:tcPr>
          <w:p>
            <w:pPr>
              <w:jc w:val="center"/>
              <w:ind w:left="1733"/>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bl>
    <w:p>
      <w:pPr>
        <w:spacing w:after="0" w:line="49" w:lineRule="exact"/>
        <w:rPr>
          <w:sz w:val="24"/>
          <w:szCs w:val="24"/>
          <w:color w:val="auto"/>
        </w:rPr>
      </w:pPr>
    </w:p>
    <w:tbl>
      <w:tblPr>
        <w:tblLayout w:type="fixed"/>
        <w:tblInd w:w="142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51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471 El Camino Real, Suite 101, Santa Clara, California</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95050</w:t>
            </w:r>
          </w:p>
        </w:tc>
      </w:tr>
      <w:tr>
        <w:trPr>
          <w:trHeight w:val="238"/>
        </w:trPr>
        <w:tc>
          <w:tcPr>
            <w:tcW w:w="840" w:type="dxa"/>
            <w:vAlign w:val="bottom"/>
          </w:tcPr>
          <w:p>
            <w:pPr>
              <w:spacing w:after="0"/>
              <w:rPr>
                <w:sz w:val="20"/>
                <w:szCs w:val="20"/>
                <w:color w:val="auto"/>
              </w:rPr>
            </w:pPr>
          </w:p>
        </w:tc>
        <w:tc>
          <w:tcPr>
            <w:tcW w:w="7660" w:type="dxa"/>
            <w:vAlign w:val="bottom"/>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tc>
      </w:tr>
      <w:tr>
        <w:trPr>
          <w:trHeight w:val="296"/>
        </w:trPr>
        <w:tc>
          <w:tcPr>
            <w:tcW w:w="840" w:type="dxa"/>
            <w:vAlign w:val="bottom"/>
          </w:tcPr>
          <w:p>
            <w:pPr>
              <w:spacing w:after="0"/>
              <w:rPr>
                <w:sz w:val="24"/>
                <w:szCs w:val="24"/>
                <w:color w:val="auto"/>
              </w:rPr>
            </w:pPr>
          </w:p>
        </w:tc>
        <w:tc>
          <w:tcPr>
            <w:tcW w:w="51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207-0700</w:t>
            </w:r>
          </w:p>
        </w:tc>
      </w:tr>
      <w:tr>
        <w:trPr>
          <w:trHeight w:val="319"/>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00" w:type="dxa"/>
            <w:vAlign w:val="bottom"/>
          </w:tcPr>
          <w:p>
            <w:pPr>
              <w:spacing w:after="0"/>
              <w:rPr>
                <w:sz w:val="24"/>
                <w:szCs w:val="24"/>
                <w:color w:val="auto"/>
              </w:rPr>
            </w:pPr>
          </w:p>
        </w:tc>
      </w:tr>
      <w:tr>
        <w:trPr>
          <w:trHeight w:val="367"/>
        </w:trPr>
        <w:tc>
          <w:tcPr>
            <w:tcW w:w="84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58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500" w:type="dxa"/>
            <w:vAlign w:val="bottom"/>
          </w:tcPr>
          <w:p>
            <w:pPr>
              <w:spacing w:after="0"/>
              <w:rPr>
                <w:sz w:val="24"/>
                <w:szCs w:val="24"/>
                <w:color w:val="auto"/>
              </w:rPr>
            </w:pPr>
          </w:p>
        </w:tc>
        <w:tc>
          <w:tcPr>
            <w:tcW w:w="3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5"/>
        </w:trPr>
        <w:tc>
          <w:tcPr>
            <w:tcW w:w="366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SIBN</w:t>
            </w: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500" w:type="dxa"/>
            <w:vAlign w:val="bottom"/>
          </w:tcPr>
          <w:p>
            <w:pPr>
              <w:jc w:val="center"/>
              <w:ind w:right="473"/>
              <w:spacing w:after="0"/>
              <w:rPr>
                <w:sz w:val="20"/>
                <w:szCs w:val="20"/>
                <w:color w:val="auto"/>
              </w:rPr>
            </w:pPr>
            <w:r>
              <w:rPr>
                <w:rFonts w:ascii="Times New Roman" w:cs="Times New Roman" w:eastAsia="Times New Roman" w:hAnsi="Times New Roman"/>
                <w:sz w:val="16"/>
                <w:szCs w:val="16"/>
                <w:color w:val="auto"/>
                <w:w w:val="99"/>
              </w:rPr>
              <w:t>The Nasdaq Global Market</w:t>
            </w:r>
          </w:p>
        </w:tc>
      </w:tr>
    </w:tbl>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63" w:lineRule="exact"/>
        <w:rPr>
          <w:sz w:val="24"/>
          <w:szCs w:val="24"/>
          <w:color w:val="auto"/>
        </w:rPr>
      </w:pPr>
    </w:p>
    <w:p>
      <w:pPr>
        <w:jc w:val="center"/>
        <w:ind w:right="-19"/>
        <w:spacing w:after="0" w:line="230"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20"/>
          <w:szCs w:val="20"/>
          <w:b w:val="1"/>
          <w:bCs w:val="1"/>
          <w:color w:val="auto"/>
        </w:rPr>
        <w:t>☐</w:t>
      </w:r>
    </w:p>
    <w:p>
      <w:pPr>
        <w:spacing w:after="0" w:line="143" w:lineRule="exact"/>
        <w:rPr>
          <w:sz w:val="24"/>
          <w:szCs w:val="24"/>
          <w:color w:val="auto"/>
        </w:rPr>
      </w:pPr>
    </w:p>
    <w:p>
      <w:pPr>
        <w:jc w:val="center"/>
        <w:spacing w:after="0" w:line="230" w:lineRule="exact"/>
        <w:tabs>
          <w:tab w:leader="none" w:pos="14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20"/>
          <w:szCs w:val="20"/>
          <w:b w:val="1"/>
          <w:bCs w:val="1"/>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64" w:lineRule="exact"/>
        <w:rPr>
          <w:sz w:val="24"/>
          <w:szCs w:val="24"/>
          <w:color w:val="auto"/>
        </w:rPr>
      </w:pPr>
    </w:p>
    <w:p>
      <w:pPr>
        <w:ind w:left="240" w:right="220" w:firstLine="27"/>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4680"/>
        <w:spacing w:after="0" w:line="230" w:lineRule="exact"/>
        <w:tabs>
          <w:tab w:leader="none" w:pos="5920" w:val="left"/>
        </w:tabs>
        <w:rPr>
          <w:sz w:val="20"/>
          <w:szCs w:val="20"/>
          <w:color w:val="auto"/>
        </w:rPr>
      </w:pPr>
      <w:r>
        <w:rPr>
          <w:rFonts w:ascii="Times New Roman" w:cs="Times New Roman" w:eastAsia="Times New Roman" w:hAnsi="Times New Roman"/>
          <w:sz w:val="16"/>
          <w:szCs w:val="16"/>
          <w:color w:val="auto"/>
        </w:rPr>
        <w:t xml:space="preserve">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20"/>
          <w:szCs w:val="20"/>
          <w:b w:val="1"/>
          <w:bCs w:val="1"/>
          <w:color w:val="auto"/>
        </w:rPr>
        <w:t>☐</w:t>
      </w:r>
    </w:p>
    <w:p>
      <w:pPr>
        <w:spacing w:after="0" w:line="13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line="1" w:lineRule="exact"/>
        <w:rPr>
          <w:sz w:val="24"/>
          <w:szCs w:val="24"/>
          <w:color w:val="auto"/>
        </w:rPr>
      </w:pPr>
    </w:p>
    <w:p>
      <w:pPr>
        <w:jc w:val="center"/>
        <w:spacing w:after="0" w:line="219" w:lineRule="exact"/>
        <w:tabs>
          <w:tab w:leader="none" w:pos="140" w:val="left"/>
        </w:tabs>
        <w:rPr>
          <w:sz w:val="20"/>
          <w:szCs w:val="20"/>
          <w:color w:val="auto"/>
        </w:rPr>
      </w:pPr>
      <w:r>
        <w:rPr>
          <w:rFonts w:ascii="Times New Roman" w:cs="Times New Roman" w:eastAsia="Times New Roman" w:hAnsi="Times New Roman"/>
          <w:sz w:val="16"/>
          <w:szCs w:val="16"/>
          <w:color w:val="auto"/>
        </w:rPr>
        <w:t xml:space="preserve">(§232.405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9"/>
          <w:szCs w:val="19"/>
          <w:b w:val="1"/>
          <w:bCs w:val="1"/>
          <w:color w:val="auto"/>
        </w:rPr>
        <w:t>☐</w:t>
      </w:r>
    </w:p>
    <w:p>
      <w:pPr>
        <w:spacing w:after="0" w:line="109" w:lineRule="exact"/>
        <w:rPr>
          <w:sz w:val="24"/>
          <w:szCs w:val="24"/>
          <w:color w:val="auto"/>
        </w:rPr>
      </w:pPr>
    </w:p>
    <w:p>
      <w:pPr>
        <w:jc w:val="center"/>
        <w:ind w:left="660"/>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1040"/>
          </w:cols>
          <w:pgMar w:left="640" w:top="534" w:right="560" w:bottom="120" w:gutter="0" w:footer="0" w:header="0"/>
        </w:sectPr>
      </w:pPr>
    </w:p>
    <w:p>
      <w:pPr>
        <w:spacing w:after="0" w:line="144" w:lineRule="exact"/>
        <w:rPr>
          <w:sz w:val="24"/>
          <w:szCs w:val="24"/>
          <w:color w:val="auto"/>
        </w:rPr>
      </w:pPr>
    </w:p>
    <w:p>
      <w:pPr>
        <w:jc w:val="center"/>
        <w:ind w:left="12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66" w:lineRule="exact"/>
        <w:rPr>
          <w:sz w:val="24"/>
          <w:szCs w:val="24"/>
          <w:color w:val="auto"/>
        </w:rPr>
      </w:pPr>
    </w:p>
    <w:p>
      <w:pPr>
        <w:jc w:val="center"/>
        <w:ind w:left="1240"/>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ind w:left="1212" w:hanging="1212"/>
        <w:spacing w:after="0"/>
        <w:tabs>
          <w:tab w:leader="none" w:pos="1212" w:val="left"/>
        </w:tabs>
        <w:numPr>
          <w:ilvl w:val="0"/>
          <w:numId w:val="2"/>
        </w:numPr>
        <w:rPr>
          <w:rFonts w:ascii="MS PGothic" w:cs="MS PGothic" w:eastAsia="MS PGothic" w:hAnsi="MS PGothic"/>
          <w:sz w:val="20"/>
          <w:szCs w:val="20"/>
          <w:b w:val="1"/>
          <w:bCs w:val="1"/>
          <w:color w:val="auto"/>
        </w:rPr>
      </w:pPr>
      <w:r>
        <w:rPr>
          <w:rFonts w:ascii="Times New Roman" w:cs="Times New Roman" w:eastAsia="Times New Roman" w:hAnsi="Times New Roman"/>
          <w:sz w:val="16"/>
          <w:szCs w:val="16"/>
          <w:color w:val="auto"/>
        </w:rPr>
        <w:t>Accelerated filer</w:t>
      </w:r>
    </w:p>
    <w:p>
      <w:pPr>
        <w:spacing w:after="0" w:line="57" w:lineRule="exact"/>
        <w:rPr>
          <w:rFonts w:ascii="MS PGothic" w:cs="MS PGothic" w:eastAsia="MS PGothic" w:hAnsi="MS PGothic"/>
          <w:sz w:val="20"/>
          <w:szCs w:val="20"/>
          <w:b w:val="1"/>
          <w:bCs w:val="1"/>
          <w:color w:val="auto"/>
        </w:rPr>
      </w:pPr>
    </w:p>
    <w:p>
      <w:pPr>
        <w:ind w:left="872" w:hanging="872"/>
        <w:spacing w:after="0" w:line="231" w:lineRule="auto"/>
        <w:tabs>
          <w:tab w:leader="none" w:pos="872" w:val="left"/>
        </w:tabs>
        <w:numPr>
          <w:ilvl w:val="0"/>
          <w:numId w:val="2"/>
        </w:numPr>
        <w:rPr>
          <w:rFonts w:ascii="MS PGothic" w:cs="MS PGothic" w:eastAsia="MS PGothic" w:hAnsi="MS PGothic"/>
          <w:sz w:val="20"/>
          <w:szCs w:val="20"/>
          <w:b w:val="1"/>
          <w:bCs w:val="1"/>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0" w:type="dxa"/>
            <w:vAlign w:val="bottom"/>
          </w:tcPr>
          <w:p>
            <w:pPr>
              <w:spacing w:after="0" w:line="201" w:lineRule="exact"/>
              <w:rPr>
                <w:sz w:val="20"/>
                <w:szCs w:val="20"/>
                <w:color w:val="auto"/>
              </w:rPr>
            </w:pPr>
            <w:r>
              <w:rPr>
                <w:rFonts w:ascii="MS PGothic" w:cs="MS PGothic" w:eastAsia="MS PGothic" w:hAnsi="MS PGothic"/>
                <w:sz w:val="20"/>
                <w:szCs w:val="20"/>
                <w:b w:val="1"/>
                <w:bCs w:val="1"/>
                <w:color w:val="auto"/>
              </w:rPr>
              <w:t>☐</w:t>
            </w:r>
          </w:p>
        </w:tc>
        <w:tc>
          <w:tcPr>
            <w:tcW w:w="2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Non-accelerated filer</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291"/>
        </w:trPr>
        <w:tc>
          <w:tcPr>
            <w:tcW w:w="620" w:type="dxa"/>
            <w:vAlign w:val="bottom"/>
          </w:tcPr>
          <w:p>
            <w:pPr>
              <w:spacing w:after="0" w:line="201" w:lineRule="exact"/>
              <w:rPr>
                <w:sz w:val="20"/>
                <w:szCs w:val="20"/>
                <w:color w:val="auto"/>
              </w:rPr>
            </w:pPr>
            <w:r>
              <w:rPr>
                <w:rFonts w:ascii="MS PGothic" w:cs="MS PGothic" w:eastAsia="MS PGothic" w:hAnsi="MS PGothic"/>
                <w:sz w:val="20"/>
                <w:szCs w:val="20"/>
                <w:b w:val="1"/>
                <w:bCs w:val="1"/>
                <w:color w:val="auto"/>
              </w:rPr>
              <w:t>☐</w:t>
            </w:r>
          </w:p>
        </w:tc>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36" w:lineRule="exact"/>
        <w:rPr>
          <w:sz w:val="24"/>
          <w:szCs w:val="24"/>
          <w:color w:val="auto"/>
        </w:rPr>
      </w:pPr>
    </w:p>
    <w:p>
      <w:pPr>
        <w:sectPr>
          <w:pgSz w:w="12240" w:h="15840" w:orient="portrait"/>
          <w:cols w:equalWidth="0" w:num="3">
            <w:col w:w="2980" w:space="588"/>
            <w:col w:w="2632" w:space="580"/>
            <w:col w:w="4260"/>
          </w:cols>
          <w:pgMar w:left="640" w:top="534" w:right="560" w:bottom="120" w:gutter="0" w:footer="0" w:header="0"/>
          <w:type w:val="continuous"/>
        </w:sectPr>
      </w:pPr>
    </w:p>
    <w:p>
      <w:pPr>
        <w:jc w:val="center"/>
        <w:ind w:left="40" w:right="2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b w:val="1"/>
          <w:bCs w:val="1"/>
          <w:color w:val="auto"/>
        </w:rPr>
        <w:t>☐</w:t>
      </w:r>
    </w:p>
    <w:p>
      <w:pPr>
        <w:spacing w:after="0" w:line="90" w:lineRule="exact"/>
        <w:rPr>
          <w:sz w:val="24"/>
          <w:szCs w:val="24"/>
          <w:color w:val="auto"/>
        </w:rPr>
      </w:pPr>
    </w:p>
    <w:p>
      <w:pPr>
        <w:jc w:val="center"/>
        <w:ind w:left="40" w:right="20"/>
        <w:spacing w:after="0" w:line="22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b w:val="1"/>
          <w:bCs w:val="1"/>
          <w:color w:val="auto"/>
        </w:rPr>
        <w:t>☒</w:t>
      </w:r>
    </w:p>
    <w:p>
      <w:pPr>
        <w:spacing w:after="0" w:line="97" w:lineRule="exact"/>
        <w:rPr>
          <w:sz w:val="24"/>
          <w:szCs w:val="24"/>
          <w:color w:val="auto"/>
        </w:rPr>
      </w:pPr>
    </w:p>
    <w:p>
      <w:pPr>
        <w:jc w:val="center"/>
        <w:ind w:left="40" w:right="20"/>
        <w:spacing w:after="0" w:line="235" w:lineRule="exact"/>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24"/>
          <w:szCs w:val="24"/>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20"/>
          <w:szCs w:val="20"/>
          <w:b w:val="1"/>
          <w:bCs w:val="1"/>
          <w:color w:val="auto"/>
        </w:rPr>
        <w:t>☐</w:t>
      </w:r>
    </w:p>
    <w:p>
      <w:pPr>
        <w:spacing w:after="0" w:line="158" w:lineRule="exact"/>
        <w:rPr>
          <w:sz w:val="24"/>
          <w:szCs w:val="24"/>
          <w:color w:val="auto"/>
        </w:rPr>
      </w:pPr>
    </w:p>
    <w:p>
      <w:pPr>
        <w:jc w:val="center"/>
        <w:ind w:left="40" w:right="20"/>
        <w:spacing w:after="0" w:line="23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0"/>
          <w:szCs w:val="20"/>
          <w:b w:val="1"/>
          <w:bCs w:val="1"/>
          <w:color w:val="auto"/>
        </w:rPr>
        <w:t>☐</w:t>
      </w:r>
    </w:p>
    <w:p>
      <w:pPr>
        <w:spacing w:after="0" w:line="30" w:lineRule="exact"/>
        <w:rPr>
          <w:sz w:val="24"/>
          <w:szCs w:val="24"/>
          <w:color w:val="auto"/>
        </w:rPr>
      </w:pPr>
    </w:p>
    <w:p>
      <w:pPr>
        <w:jc w:val="center"/>
        <w:ind w:right="-19"/>
        <w:spacing w:after="0" w:line="230" w:lineRule="exact"/>
        <w:tabs>
          <w:tab w:leader="none" w:pos="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2 of the Exchange Act).  Yes </w:t>
      </w:r>
      <w:r>
        <w:rPr>
          <w:rFonts w:ascii="MS PGothic" w:cs="MS PGothic" w:eastAsia="MS PGothic" w:hAnsi="MS PGothic"/>
          <w:sz w:val="20"/>
          <w:szCs w:val="20"/>
          <w:b w:val="1"/>
          <w:bCs w:val="1"/>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57" w:lineRule="exact"/>
        <w:rPr>
          <w:sz w:val="24"/>
          <w:szCs w:val="24"/>
          <w:color w:val="auto"/>
        </w:rPr>
      </w:pPr>
    </w:p>
    <w:p>
      <w:pPr>
        <w:jc w:val="center"/>
        <w:ind w:left="40" w:right="20"/>
        <w:spacing w:after="0" w:line="261" w:lineRule="auto"/>
        <w:rPr>
          <w:sz w:val="20"/>
          <w:szCs w:val="20"/>
          <w:color w:val="auto"/>
        </w:rPr>
      </w:pPr>
      <w:r>
        <w:rPr>
          <w:rFonts w:ascii="Times New Roman" w:cs="Times New Roman" w:eastAsia="Times New Roman" w:hAnsi="Times New Roman"/>
          <w:sz w:val="16"/>
          <w:szCs w:val="16"/>
          <w:color w:val="auto"/>
        </w:rPr>
        <w:t>The aggregate market value of the shares of common stock held by non-affiliates of the registrant as of June 30, 2023, the last business day of the registrant’s most recently completed second fiscal quarter, was approximately $1.1 billion, calculated based on the closing price of the registrant’s common stock as reported by the Nasdaq Global Market. Shares of common stock held by each officer and director, and each entity affiliated with a director, have been excluded in that such persons may be deemed to be affiliates. This determination of affiliate status is not a conclusive determination for other purposes.</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February 20, 2024 was 41,064,511 shares.</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DOCUMENTS INCORPORATED BY REFERENCE</w:t>
      </w:r>
    </w:p>
    <w:p>
      <w:pPr>
        <w:sectPr>
          <w:pgSz w:w="12240" w:h="15840" w:orient="portrait"/>
          <w:cols w:equalWidth="0" w:num="1">
            <w:col w:w="11040"/>
          </w:cols>
          <w:pgMar w:left="640" w:top="534" w:right="560" w:bottom="120" w:gutter="0" w:footer="0" w:header="0"/>
          <w:type w:val="continuous"/>
        </w:sectPr>
      </w:pPr>
    </w:p>
    <w:bookmarkStart w:id="1" w:name="page2"/>
    <w:bookmarkEnd w:id="1"/>
    <w:p>
      <w:pPr>
        <w:jc w:val="center"/>
        <w:spacing w:after="0" w:line="274"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Annual Meeting of Shareholders, which will be filed with the Securities and Exchange Commission within 120 days after the end of the Registrant’s fiscal year ended December 31, 2023, are incorporated by reference into Part III of this Report</w:t>
      </w:r>
      <w:r>
        <w:rPr>
          <w:rFonts w:ascii="Times New Roman" w:cs="Times New Roman" w:eastAsia="Times New Roman" w:hAnsi="Times New Roman"/>
          <w:sz w:val="18"/>
          <w:szCs w:val="18"/>
          <w:color w:val="auto"/>
        </w:rPr>
        <w:t>.</w:t>
      </w:r>
    </w:p>
    <w:p>
      <w:pPr>
        <w:sectPr>
          <w:pgSz w:w="12240" w:h="15840" w:orient="portrait"/>
          <w:cols w:equalWidth="0" w:num="1">
            <w:col w:w="10900"/>
          </w:cols>
          <w:pgMar w:left="720" w:top="580" w:right="62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940" w:type="dxa"/>
            <w:vAlign w:val="bottom"/>
            <w:gridSpan w:val="11"/>
          </w:tcPr>
          <w:p>
            <w:pPr>
              <w:ind w:left="8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49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33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8"/>
          </w:tcPr>
          <w:p>
            <w:pPr>
              <w:jc w:val="center"/>
              <w:ind w:right="3180"/>
              <w:spacing w:after="0"/>
              <w:rPr>
                <w:sz w:val="20"/>
                <w:szCs w:val="20"/>
                <w:color w:val="auto"/>
              </w:rPr>
            </w:pPr>
            <w:r>
              <w:rPr>
                <w:rFonts w:ascii="Times New Roman" w:cs="Times New Roman" w:eastAsia="Times New Roman" w:hAnsi="Times New Roman"/>
                <w:sz w:val="20"/>
                <w:szCs w:val="20"/>
                <w:b w:val="1"/>
                <w:bCs w:val="1"/>
                <w:color w:val="auto"/>
                <w:w w:val="98"/>
              </w:rPr>
              <w:t>PART I</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0000FF"/>
                <w:w w:val="96"/>
              </w:rPr>
              <w:t>Item 1</w:t>
            </w:r>
          </w:p>
        </w:tc>
        <w:tc>
          <w:tcPr>
            <w:tcW w:w="720" w:type="dxa"/>
            <w:vAlign w:val="bottom"/>
            <w:gridSpan w:val="2"/>
          </w:tcPr>
          <w:p>
            <w:pPr>
              <w:spacing w:after="0"/>
              <w:rPr>
                <w:sz w:val="21"/>
                <w:szCs w:val="21"/>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Business</w:t>
            </w:r>
          </w:p>
        </w:tc>
        <w:tc>
          <w:tcPr>
            <w:tcW w:w="1000" w:type="dxa"/>
            <w:vAlign w:val="bottom"/>
            <w:gridSpan w:val="3"/>
          </w:tcPr>
          <w:p>
            <w:pPr>
              <w:jc w:val="center"/>
              <w:ind w:left="800"/>
              <w:spacing w:after="0"/>
              <w:rPr>
                <w:sz w:val="20"/>
                <w:szCs w:val="20"/>
                <w:color w:val="auto"/>
              </w:rPr>
            </w:pPr>
            <w:r>
              <w:rPr>
                <w:rFonts w:ascii="Times New Roman" w:cs="Times New Roman" w:eastAsia="Times New Roman" w:hAnsi="Times New Roman"/>
                <w:sz w:val="20"/>
                <w:szCs w:val="20"/>
                <w:color w:val="0000FF"/>
                <w:w w:val="99"/>
              </w:rPr>
              <w:t>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0"/>
              </w:rPr>
              <w:t>Item 1A</w:t>
            </w:r>
          </w:p>
        </w:tc>
        <w:tc>
          <w:tcPr>
            <w:tcW w:w="60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1"/>
              </w:rPr>
              <w:t>Risk Factors</w:t>
            </w:r>
          </w:p>
        </w:tc>
        <w:tc>
          <w:tcPr>
            <w:tcW w:w="7200" w:type="dxa"/>
            <w:vAlign w:val="bottom"/>
            <w:gridSpan w:val="17"/>
          </w:tcPr>
          <w:p>
            <w:pPr>
              <w:spacing w:after="0"/>
              <w:rPr>
                <w:sz w:val="24"/>
                <w:szCs w:val="24"/>
                <w:color w:val="auto"/>
              </w:rPr>
            </w:pPr>
          </w:p>
        </w:tc>
        <w:tc>
          <w:tcPr>
            <w:tcW w:w="1060" w:type="dxa"/>
            <w:vAlign w:val="bottom"/>
            <w:gridSpan w:val="4"/>
          </w:tcPr>
          <w:p>
            <w:pPr>
              <w:jc w:val="center"/>
              <w:ind w:left="760"/>
              <w:spacing w:after="0"/>
              <w:rPr>
                <w:sz w:val="20"/>
                <w:szCs w:val="20"/>
                <w:color w:val="auto"/>
              </w:rPr>
            </w:pPr>
            <w:r>
              <w:rPr>
                <w:rFonts w:ascii="Times New Roman" w:cs="Times New Roman" w:eastAsia="Times New Roman" w:hAnsi="Times New Roman"/>
                <w:sz w:val="20"/>
                <w:szCs w:val="20"/>
                <w:color w:val="0000FF"/>
                <w:w w:val="99"/>
              </w:rPr>
              <w:t>24</w:t>
            </w:r>
          </w:p>
        </w:tc>
        <w:tc>
          <w:tcPr>
            <w:tcW w:w="300" w:type="dxa"/>
            <w:vAlign w:val="bottom"/>
          </w:tcPr>
          <w:p>
            <w:pPr>
              <w:spacing w:after="0"/>
              <w:rPr>
                <w:sz w:val="24"/>
                <w:szCs w:val="24"/>
                <w:color w:val="auto"/>
              </w:rPr>
            </w:pPr>
          </w:p>
        </w:tc>
      </w:tr>
      <w:tr>
        <w:trPr>
          <w:trHeight w:val="20"/>
        </w:trPr>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2"/>
              </w:rPr>
              <w:t>Item 1B</w:t>
            </w:r>
          </w:p>
        </w:tc>
        <w:tc>
          <w:tcPr>
            <w:tcW w:w="60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Unresolved Staff Comments</w:t>
            </w:r>
          </w:p>
        </w:tc>
        <w:tc>
          <w:tcPr>
            <w:tcW w:w="1060" w:type="dxa"/>
            <w:vAlign w:val="bottom"/>
            <w:gridSpan w:val="4"/>
          </w:tcPr>
          <w:p>
            <w:pPr>
              <w:jc w:val="center"/>
              <w:ind w:left="760"/>
              <w:spacing w:after="0"/>
              <w:rPr>
                <w:sz w:val="20"/>
                <w:szCs w:val="20"/>
                <w:color w:val="auto"/>
              </w:rPr>
            </w:pPr>
            <w:r>
              <w:rPr>
                <w:rFonts w:ascii="Times New Roman" w:cs="Times New Roman" w:eastAsia="Times New Roman" w:hAnsi="Times New Roman"/>
                <w:sz w:val="20"/>
                <w:szCs w:val="20"/>
                <w:color w:val="0000FF"/>
                <w:w w:val="99"/>
              </w:rPr>
              <w:t>58</w:t>
            </w:r>
          </w:p>
        </w:tc>
        <w:tc>
          <w:tcPr>
            <w:tcW w:w="300" w:type="dxa"/>
            <w:vAlign w:val="bottom"/>
          </w:tcPr>
          <w:p>
            <w:pPr>
              <w:spacing w:after="0"/>
              <w:rPr>
                <w:sz w:val="24"/>
                <w:szCs w:val="24"/>
                <w:color w:val="auto"/>
              </w:rPr>
            </w:pPr>
          </w:p>
        </w:tc>
      </w:tr>
      <w:tr>
        <w:trPr>
          <w:trHeight w:val="20"/>
        </w:trPr>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2"/>
              </w:rPr>
              <w:t>Item 1C</w:t>
            </w:r>
          </w:p>
        </w:tc>
        <w:tc>
          <w:tcPr>
            <w:tcW w:w="600" w:type="dxa"/>
            <w:vAlign w:val="bottom"/>
          </w:tcPr>
          <w:p>
            <w:pPr>
              <w:spacing w:after="0"/>
              <w:rPr>
                <w:sz w:val="24"/>
                <w:szCs w:val="24"/>
                <w:color w:val="auto"/>
              </w:rPr>
            </w:pPr>
          </w:p>
        </w:tc>
        <w:tc>
          <w:tcPr>
            <w:tcW w:w="220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Cybersecurity</w:t>
            </w:r>
          </w:p>
        </w:tc>
        <w:tc>
          <w:tcPr>
            <w:tcW w:w="5940" w:type="dxa"/>
            <w:vAlign w:val="bottom"/>
            <w:gridSpan w:val="11"/>
          </w:tcPr>
          <w:p>
            <w:pPr>
              <w:spacing w:after="0"/>
              <w:rPr>
                <w:sz w:val="24"/>
                <w:szCs w:val="24"/>
                <w:color w:val="auto"/>
              </w:rPr>
            </w:pPr>
          </w:p>
        </w:tc>
        <w:tc>
          <w:tcPr>
            <w:tcW w:w="1060" w:type="dxa"/>
            <w:vAlign w:val="bottom"/>
            <w:gridSpan w:val="4"/>
          </w:tcPr>
          <w:p>
            <w:pPr>
              <w:jc w:val="center"/>
              <w:ind w:left="760"/>
              <w:spacing w:after="0"/>
              <w:rPr>
                <w:sz w:val="20"/>
                <w:szCs w:val="20"/>
                <w:color w:val="auto"/>
              </w:rPr>
            </w:pPr>
            <w:r>
              <w:rPr>
                <w:rFonts w:ascii="Times New Roman" w:cs="Times New Roman" w:eastAsia="Times New Roman" w:hAnsi="Times New Roman"/>
                <w:sz w:val="20"/>
                <w:szCs w:val="20"/>
                <w:color w:val="0000FF"/>
                <w:w w:val="99"/>
              </w:rPr>
              <w:t>57</w:t>
            </w:r>
          </w:p>
        </w:tc>
        <w:tc>
          <w:tcPr>
            <w:tcW w:w="300" w:type="dxa"/>
            <w:vAlign w:val="bottom"/>
          </w:tcPr>
          <w:p>
            <w:pPr>
              <w:spacing w:after="0"/>
              <w:rPr>
                <w:sz w:val="24"/>
                <w:szCs w:val="24"/>
                <w:color w:val="auto"/>
              </w:rPr>
            </w:pPr>
          </w:p>
        </w:tc>
      </w:tr>
      <w:tr>
        <w:trPr>
          <w:trHeight w:val="20"/>
        </w:trPr>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0000FF"/>
                <w:w w:val="96"/>
              </w:rPr>
              <w:t>Item 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Properties</w:t>
            </w:r>
          </w:p>
        </w:tc>
        <w:tc>
          <w:tcPr>
            <w:tcW w:w="7080" w:type="dxa"/>
            <w:vAlign w:val="bottom"/>
            <w:gridSpan w:val="16"/>
          </w:tcPr>
          <w:p>
            <w:pPr>
              <w:spacing w:after="0"/>
              <w:rPr>
                <w:sz w:val="24"/>
                <w:szCs w:val="24"/>
                <w:color w:val="auto"/>
              </w:rPr>
            </w:pPr>
          </w:p>
        </w:tc>
        <w:tc>
          <w:tcPr>
            <w:tcW w:w="1060" w:type="dxa"/>
            <w:vAlign w:val="bottom"/>
            <w:gridSpan w:val="4"/>
          </w:tcPr>
          <w:p>
            <w:pPr>
              <w:jc w:val="center"/>
              <w:ind w:left="760"/>
              <w:spacing w:after="0"/>
              <w:rPr>
                <w:sz w:val="20"/>
                <w:szCs w:val="20"/>
                <w:color w:val="auto"/>
              </w:rPr>
            </w:pPr>
            <w:r>
              <w:rPr>
                <w:rFonts w:ascii="Times New Roman" w:cs="Times New Roman" w:eastAsia="Times New Roman" w:hAnsi="Times New Roman"/>
                <w:sz w:val="20"/>
                <w:szCs w:val="20"/>
                <w:color w:val="0000FF"/>
                <w:w w:val="99"/>
              </w:rPr>
              <w:t>59</w:t>
            </w:r>
          </w:p>
        </w:tc>
        <w:tc>
          <w:tcPr>
            <w:tcW w:w="300" w:type="dxa"/>
            <w:vAlign w:val="bottom"/>
          </w:tcPr>
          <w:p>
            <w:pPr>
              <w:spacing w:after="0"/>
              <w:rPr>
                <w:sz w:val="24"/>
                <w:szCs w:val="24"/>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0000FF"/>
                <w:w w:val="96"/>
              </w:rPr>
              <w:t>Item 3</w:t>
            </w:r>
          </w:p>
        </w:tc>
        <w:tc>
          <w:tcPr>
            <w:tcW w:w="720" w:type="dxa"/>
            <w:vAlign w:val="bottom"/>
            <w:gridSpan w:val="2"/>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0"/>
              </w:rPr>
              <w:t>Legal Proceedings</w:t>
            </w:r>
          </w:p>
        </w:tc>
        <w:tc>
          <w:tcPr>
            <w:tcW w:w="6760" w:type="dxa"/>
            <w:vAlign w:val="bottom"/>
            <w:gridSpan w:val="15"/>
          </w:tcPr>
          <w:p>
            <w:pPr>
              <w:spacing w:after="0"/>
              <w:rPr>
                <w:sz w:val="24"/>
                <w:szCs w:val="24"/>
                <w:color w:val="auto"/>
              </w:rPr>
            </w:pPr>
          </w:p>
        </w:tc>
        <w:tc>
          <w:tcPr>
            <w:tcW w:w="1060" w:type="dxa"/>
            <w:vAlign w:val="bottom"/>
            <w:gridSpan w:val="4"/>
          </w:tcPr>
          <w:p>
            <w:pPr>
              <w:jc w:val="center"/>
              <w:ind w:left="760"/>
              <w:spacing w:after="0"/>
              <w:rPr>
                <w:sz w:val="20"/>
                <w:szCs w:val="20"/>
                <w:color w:val="auto"/>
              </w:rPr>
            </w:pPr>
            <w:r>
              <w:rPr>
                <w:rFonts w:ascii="Times New Roman" w:cs="Times New Roman" w:eastAsia="Times New Roman" w:hAnsi="Times New Roman"/>
                <w:sz w:val="20"/>
                <w:szCs w:val="20"/>
                <w:color w:val="0000FF"/>
                <w:w w:val="99"/>
              </w:rPr>
              <w:t>60</w:t>
            </w:r>
          </w:p>
        </w:tc>
        <w:tc>
          <w:tcPr>
            <w:tcW w:w="300" w:type="dxa"/>
            <w:vAlign w:val="bottom"/>
          </w:tcPr>
          <w:p>
            <w:pPr>
              <w:spacing w:after="0"/>
              <w:rPr>
                <w:sz w:val="24"/>
                <w:szCs w:val="24"/>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0000FF"/>
                <w:w w:val="96"/>
              </w:rPr>
              <w:t>Item 4</w:t>
            </w:r>
          </w:p>
        </w:tc>
        <w:tc>
          <w:tcPr>
            <w:tcW w:w="720" w:type="dxa"/>
            <w:vAlign w:val="bottom"/>
            <w:gridSpan w:val="2"/>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1060" w:type="dxa"/>
            <w:vAlign w:val="bottom"/>
            <w:gridSpan w:val="4"/>
          </w:tcPr>
          <w:p>
            <w:pPr>
              <w:jc w:val="center"/>
              <w:ind w:left="760"/>
              <w:spacing w:after="0"/>
              <w:rPr>
                <w:sz w:val="20"/>
                <w:szCs w:val="20"/>
                <w:color w:val="auto"/>
              </w:rPr>
            </w:pPr>
            <w:r>
              <w:rPr>
                <w:rFonts w:ascii="Times New Roman" w:cs="Times New Roman" w:eastAsia="Times New Roman" w:hAnsi="Times New Roman"/>
                <w:sz w:val="20"/>
                <w:szCs w:val="20"/>
                <w:color w:val="0000FF"/>
                <w:w w:val="99"/>
              </w:rPr>
              <w:t>60</w:t>
            </w:r>
          </w:p>
        </w:tc>
        <w:tc>
          <w:tcPr>
            <w:tcW w:w="300" w:type="dxa"/>
            <w:vAlign w:val="bottom"/>
          </w:tcPr>
          <w:p>
            <w:pPr>
              <w:spacing w:after="0"/>
              <w:rPr>
                <w:sz w:val="24"/>
                <w:szCs w:val="24"/>
                <w:color w:val="auto"/>
              </w:rPr>
            </w:pPr>
          </w:p>
        </w:tc>
      </w:tr>
      <w:tr>
        <w:trPr>
          <w:trHeight w:val="380"/>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8"/>
          </w:tcPr>
          <w:p>
            <w:pPr>
              <w:jc w:val="center"/>
              <w:ind w:right="3180"/>
              <w:spacing w:after="0"/>
              <w:rPr>
                <w:sz w:val="20"/>
                <w:szCs w:val="20"/>
                <w:color w:val="auto"/>
              </w:rPr>
            </w:pPr>
            <w:r>
              <w:rPr>
                <w:rFonts w:ascii="Times New Roman" w:cs="Times New Roman" w:eastAsia="Times New Roman" w:hAnsi="Times New Roman"/>
                <w:sz w:val="20"/>
                <w:szCs w:val="20"/>
                <w:b w:val="1"/>
                <w:bCs w:val="1"/>
                <w:color w:val="auto"/>
                <w:w w:val="98"/>
              </w:rPr>
              <w:t>PART II</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320"/>
        </w:trPr>
        <w:tc>
          <w:tcPr>
            <w:tcW w:w="12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Item 5</w:t>
            </w:r>
          </w:p>
        </w:tc>
        <w:tc>
          <w:tcPr>
            <w:tcW w:w="814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w w:val="99"/>
              </w:rPr>
              <w:t>Market for Registrant’s Common Equity, Related Stockholder Matters and Issuer Purchases of Equity</w:t>
            </w:r>
          </w:p>
        </w:tc>
        <w:tc>
          <w:tcPr>
            <w:tcW w:w="1060" w:type="dxa"/>
            <w:vAlign w:val="bottom"/>
            <w:gridSpan w:val="4"/>
          </w:tcPr>
          <w:p>
            <w:pPr>
              <w:jc w:val="center"/>
              <w:ind w:left="760"/>
              <w:spacing w:after="0"/>
              <w:rPr>
                <w:sz w:val="20"/>
                <w:szCs w:val="20"/>
                <w:color w:val="auto"/>
              </w:rPr>
            </w:pPr>
            <w:r>
              <w:rPr>
                <w:rFonts w:ascii="Times New Roman" w:cs="Times New Roman" w:eastAsia="Times New Roman" w:hAnsi="Times New Roman"/>
                <w:sz w:val="20"/>
                <w:szCs w:val="20"/>
                <w:color w:val="0000FF"/>
                <w:w w:val="99"/>
              </w:rPr>
              <w:t>61</w:t>
            </w:r>
          </w:p>
        </w:tc>
        <w:tc>
          <w:tcPr>
            <w:tcW w:w="300" w:type="dxa"/>
            <w:vAlign w:val="bottom"/>
          </w:tcPr>
          <w:p>
            <w:pPr>
              <w:spacing w:after="0"/>
              <w:rPr>
                <w:sz w:val="24"/>
                <w:szCs w:val="24"/>
                <w:color w:val="auto"/>
              </w:rPr>
            </w:pPr>
          </w:p>
        </w:tc>
      </w:tr>
      <w:tr>
        <w:trPr>
          <w:trHeight w:val="180"/>
        </w:trPr>
        <w:tc>
          <w:tcPr>
            <w:tcW w:w="52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88"/>
              </w:rPr>
              <w:t>Securities</w:t>
            </w:r>
          </w:p>
        </w:tc>
        <w:tc>
          <w:tcPr>
            <w:tcW w:w="7400" w:type="dxa"/>
            <w:vAlign w:val="bottom"/>
            <w:tcBorders>
              <w:top w:val="single" w:sz="8" w:color="0000FF"/>
            </w:tcBorders>
            <w:gridSpan w:val="18"/>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r>
      <w:tr>
        <w:trPr>
          <w:trHeight w:val="365"/>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0000FF"/>
                <w:w w:val="96"/>
              </w:rPr>
              <w:t>Item 6</w:t>
            </w:r>
          </w:p>
        </w:tc>
        <w:tc>
          <w:tcPr>
            <w:tcW w:w="720" w:type="dxa"/>
            <w:vAlign w:val="bottom"/>
            <w:gridSpan w:val="2"/>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[Reserved]</w:t>
            </w:r>
          </w:p>
        </w:tc>
        <w:tc>
          <w:tcPr>
            <w:tcW w:w="1060" w:type="dxa"/>
            <w:vAlign w:val="bottom"/>
            <w:gridSpan w:val="4"/>
          </w:tcPr>
          <w:p>
            <w:pPr>
              <w:jc w:val="center"/>
              <w:ind w:left="760"/>
              <w:spacing w:after="0"/>
              <w:rPr>
                <w:sz w:val="20"/>
                <w:szCs w:val="20"/>
                <w:color w:val="auto"/>
              </w:rPr>
            </w:pPr>
            <w:r>
              <w:rPr>
                <w:rFonts w:ascii="Times New Roman" w:cs="Times New Roman" w:eastAsia="Times New Roman" w:hAnsi="Times New Roman"/>
                <w:sz w:val="20"/>
                <w:szCs w:val="20"/>
                <w:color w:val="0000FF"/>
                <w:w w:val="99"/>
              </w:rPr>
              <w:t>61</w:t>
            </w:r>
          </w:p>
        </w:tc>
        <w:tc>
          <w:tcPr>
            <w:tcW w:w="300" w:type="dxa"/>
            <w:vAlign w:val="bottom"/>
          </w:tcPr>
          <w:p>
            <w:pPr>
              <w:spacing w:after="0"/>
              <w:rPr>
                <w:sz w:val="24"/>
                <w:szCs w:val="24"/>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0000FF"/>
                <w:w w:val="96"/>
              </w:rPr>
              <w:t>Item 7</w:t>
            </w:r>
          </w:p>
        </w:tc>
        <w:tc>
          <w:tcPr>
            <w:tcW w:w="720" w:type="dxa"/>
            <w:vAlign w:val="bottom"/>
            <w:gridSpan w:val="2"/>
          </w:tcPr>
          <w:p>
            <w:pPr>
              <w:spacing w:after="0"/>
              <w:rPr>
                <w:sz w:val="24"/>
                <w:szCs w:val="24"/>
                <w:color w:val="auto"/>
              </w:rPr>
            </w:pPr>
          </w:p>
        </w:tc>
        <w:tc>
          <w:tcPr>
            <w:tcW w:w="71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w w:val="98"/>
              </w:rPr>
              <w:t>Management’s Discussion and Analysis of Financial Condition and Results of Operations</w:t>
            </w:r>
          </w:p>
        </w:tc>
        <w:tc>
          <w:tcPr>
            <w:tcW w:w="1020" w:type="dxa"/>
            <w:vAlign w:val="bottom"/>
            <w:gridSpan w:val="3"/>
          </w:tcPr>
          <w:p>
            <w:pPr>
              <w:spacing w:after="0"/>
              <w:rPr>
                <w:sz w:val="24"/>
                <w:szCs w:val="24"/>
                <w:color w:val="auto"/>
              </w:rPr>
            </w:pPr>
          </w:p>
        </w:tc>
        <w:tc>
          <w:tcPr>
            <w:tcW w:w="1060" w:type="dxa"/>
            <w:vAlign w:val="bottom"/>
            <w:gridSpan w:val="4"/>
          </w:tcPr>
          <w:p>
            <w:pPr>
              <w:jc w:val="center"/>
              <w:ind w:left="760"/>
              <w:spacing w:after="0"/>
              <w:rPr>
                <w:sz w:val="20"/>
                <w:szCs w:val="20"/>
                <w:color w:val="auto"/>
              </w:rPr>
            </w:pPr>
            <w:r>
              <w:rPr>
                <w:rFonts w:ascii="Times New Roman" w:cs="Times New Roman" w:eastAsia="Times New Roman" w:hAnsi="Times New Roman"/>
                <w:sz w:val="20"/>
                <w:szCs w:val="20"/>
                <w:color w:val="0000FF"/>
                <w:w w:val="99"/>
              </w:rPr>
              <w:t>62</w:t>
            </w:r>
          </w:p>
        </w:tc>
        <w:tc>
          <w:tcPr>
            <w:tcW w:w="300" w:type="dxa"/>
            <w:vAlign w:val="bottom"/>
          </w:tcPr>
          <w:p>
            <w:pPr>
              <w:spacing w:after="0"/>
              <w:rPr>
                <w:sz w:val="24"/>
                <w:szCs w:val="24"/>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0"/>
              </w:rPr>
              <w:t>Item 7A</w:t>
            </w:r>
          </w:p>
        </w:tc>
        <w:tc>
          <w:tcPr>
            <w:tcW w:w="600" w:type="dxa"/>
            <w:vAlign w:val="bottom"/>
          </w:tcPr>
          <w:p>
            <w:pPr>
              <w:spacing w:after="0"/>
              <w:rPr>
                <w:sz w:val="24"/>
                <w:szCs w:val="24"/>
                <w:color w:val="auto"/>
              </w:rPr>
            </w:pPr>
          </w:p>
        </w:tc>
        <w:tc>
          <w:tcPr>
            <w:tcW w:w="472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w w:val="98"/>
              </w:rPr>
              <w:t>Quantitative and Qualitative Disclosures about Market Risk</w:t>
            </w:r>
          </w:p>
        </w:tc>
        <w:tc>
          <w:tcPr>
            <w:tcW w:w="3420" w:type="dxa"/>
            <w:vAlign w:val="bottom"/>
            <w:gridSpan w:val="6"/>
          </w:tcPr>
          <w:p>
            <w:pPr>
              <w:spacing w:after="0"/>
              <w:rPr>
                <w:sz w:val="24"/>
                <w:szCs w:val="24"/>
                <w:color w:val="auto"/>
              </w:rPr>
            </w:pPr>
          </w:p>
        </w:tc>
        <w:tc>
          <w:tcPr>
            <w:tcW w:w="1060" w:type="dxa"/>
            <w:vAlign w:val="bottom"/>
            <w:gridSpan w:val="4"/>
          </w:tcPr>
          <w:p>
            <w:pPr>
              <w:jc w:val="center"/>
              <w:ind w:left="760"/>
              <w:spacing w:after="0"/>
              <w:rPr>
                <w:sz w:val="20"/>
                <w:szCs w:val="20"/>
                <w:color w:val="auto"/>
              </w:rPr>
            </w:pPr>
            <w:r>
              <w:rPr>
                <w:rFonts w:ascii="Times New Roman" w:cs="Times New Roman" w:eastAsia="Times New Roman" w:hAnsi="Times New Roman"/>
                <w:sz w:val="20"/>
                <w:szCs w:val="20"/>
                <w:color w:val="0000FF"/>
                <w:w w:val="99"/>
              </w:rPr>
              <w:t>73</w:t>
            </w:r>
          </w:p>
        </w:tc>
        <w:tc>
          <w:tcPr>
            <w:tcW w:w="300" w:type="dxa"/>
            <w:vAlign w:val="bottom"/>
          </w:tcPr>
          <w:p>
            <w:pPr>
              <w:spacing w:after="0"/>
              <w:rPr>
                <w:sz w:val="24"/>
                <w:szCs w:val="24"/>
                <w:color w:val="auto"/>
              </w:rPr>
            </w:pPr>
          </w:p>
        </w:tc>
      </w:tr>
      <w:tr>
        <w:trPr>
          <w:trHeight w:val="20"/>
        </w:trPr>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0000FF"/>
                <w:w w:val="96"/>
              </w:rPr>
              <w:t>Item 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Financial Statements and Supplementary Data</w:t>
            </w:r>
          </w:p>
        </w:tc>
        <w:tc>
          <w:tcPr>
            <w:tcW w:w="3420" w:type="dxa"/>
            <w:vAlign w:val="bottom"/>
            <w:gridSpan w:val="6"/>
          </w:tcPr>
          <w:p>
            <w:pPr>
              <w:spacing w:after="0"/>
              <w:rPr>
                <w:sz w:val="24"/>
                <w:szCs w:val="24"/>
                <w:color w:val="auto"/>
              </w:rPr>
            </w:pPr>
          </w:p>
        </w:tc>
        <w:tc>
          <w:tcPr>
            <w:tcW w:w="1060" w:type="dxa"/>
            <w:vAlign w:val="bottom"/>
            <w:gridSpan w:val="4"/>
          </w:tcPr>
          <w:p>
            <w:pPr>
              <w:jc w:val="center"/>
              <w:ind w:left="760"/>
              <w:spacing w:after="0"/>
              <w:rPr>
                <w:sz w:val="20"/>
                <w:szCs w:val="20"/>
                <w:color w:val="auto"/>
              </w:rPr>
            </w:pPr>
            <w:r>
              <w:rPr>
                <w:rFonts w:ascii="Times New Roman" w:cs="Times New Roman" w:eastAsia="Times New Roman" w:hAnsi="Times New Roman"/>
                <w:sz w:val="20"/>
                <w:szCs w:val="20"/>
                <w:color w:val="0000FF"/>
                <w:w w:val="99"/>
              </w:rPr>
              <w:t>74</w:t>
            </w:r>
          </w:p>
        </w:tc>
        <w:tc>
          <w:tcPr>
            <w:tcW w:w="300" w:type="dxa"/>
            <w:vAlign w:val="bottom"/>
          </w:tcPr>
          <w:p>
            <w:pPr>
              <w:spacing w:after="0"/>
              <w:rPr>
                <w:sz w:val="24"/>
                <w:szCs w:val="24"/>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0000FF"/>
                <w:w w:val="96"/>
              </w:rPr>
              <w:t>Item 9</w:t>
            </w:r>
          </w:p>
        </w:tc>
        <w:tc>
          <w:tcPr>
            <w:tcW w:w="720" w:type="dxa"/>
            <w:vAlign w:val="bottom"/>
            <w:gridSpan w:val="2"/>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Changes in and Disagreements With Accountants on Accounting and Financial Disclosure</w:t>
            </w:r>
          </w:p>
        </w:tc>
        <w:tc>
          <w:tcPr>
            <w:tcW w:w="1060" w:type="dxa"/>
            <w:vAlign w:val="bottom"/>
            <w:gridSpan w:val="4"/>
          </w:tcPr>
          <w:p>
            <w:pPr>
              <w:jc w:val="center"/>
              <w:ind w:left="660"/>
              <w:spacing w:after="0"/>
              <w:rPr>
                <w:sz w:val="20"/>
                <w:szCs w:val="20"/>
                <w:color w:val="auto"/>
              </w:rPr>
            </w:pPr>
            <w:r>
              <w:rPr>
                <w:rFonts w:ascii="Times New Roman" w:cs="Times New Roman" w:eastAsia="Times New Roman" w:hAnsi="Times New Roman"/>
                <w:sz w:val="20"/>
                <w:szCs w:val="20"/>
                <w:color w:val="0000FF"/>
                <w:w w:val="99"/>
              </w:rPr>
              <w:t>102</w:t>
            </w:r>
          </w:p>
        </w:tc>
        <w:tc>
          <w:tcPr>
            <w:tcW w:w="300" w:type="dxa"/>
            <w:vAlign w:val="bottom"/>
          </w:tcPr>
          <w:p>
            <w:pPr>
              <w:spacing w:after="0"/>
              <w:rPr>
                <w:sz w:val="24"/>
                <w:szCs w:val="24"/>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340"/>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0"/>
              </w:rPr>
              <w:t>Item 9A</w:t>
            </w:r>
          </w:p>
        </w:tc>
        <w:tc>
          <w:tcPr>
            <w:tcW w:w="600" w:type="dxa"/>
            <w:vAlign w:val="bottom"/>
          </w:tcPr>
          <w:p>
            <w:pPr>
              <w:spacing w:after="0"/>
              <w:rPr>
                <w:sz w:val="24"/>
                <w:szCs w:val="24"/>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5"/>
              </w:rPr>
              <w:t>Controls and Procedures</w:t>
            </w:r>
          </w:p>
        </w:tc>
        <w:tc>
          <w:tcPr>
            <w:tcW w:w="6240" w:type="dxa"/>
            <w:vAlign w:val="bottom"/>
            <w:gridSpan w:val="13"/>
          </w:tcPr>
          <w:p>
            <w:pPr>
              <w:spacing w:after="0"/>
              <w:rPr>
                <w:sz w:val="24"/>
                <w:szCs w:val="24"/>
                <w:color w:val="auto"/>
              </w:rPr>
            </w:pPr>
          </w:p>
        </w:tc>
        <w:tc>
          <w:tcPr>
            <w:tcW w:w="90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0"/>
              </w:rPr>
              <w:t>102</w:t>
            </w:r>
          </w:p>
        </w:tc>
        <w:tc>
          <w:tcPr>
            <w:tcW w:w="300" w:type="dxa"/>
            <w:vAlign w:val="bottom"/>
          </w:tcPr>
          <w:p>
            <w:pPr>
              <w:spacing w:after="0"/>
              <w:rPr>
                <w:sz w:val="24"/>
                <w:szCs w:val="24"/>
                <w:color w:val="auto"/>
              </w:rPr>
            </w:pPr>
          </w:p>
        </w:tc>
      </w:tr>
      <w:tr>
        <w:trPr>
          <w:trHeight w:val="34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2"/>
              </w:rPr>
              <w:t>Item 9B</w:t>
            </w:r>
          </w:p>
        </w:tc>
        <w:tc>
          <w:tcPr>
            <w:tcW w:w="60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1060" w:type="dxa"/>
            <w:vAlign w:val="bottom"/>
            <w:gridSpan w:val="4"/>
          </w:tcPr>
          <w:p>
            <w:pPr>
              <w:jc w:val="center"/>
              <w:ind w:left="660"/>
              <w:spacing w:after="0"/>
              <w:rPr>
                <w:sz w:val="20"/>
                <w:szCs w:val="20"/>
                <w:color w:val="auto"/>
              </w:rPr>
            </w:pPr>
            <w:r>
              <w:rPr>
                <w:rFonts w:ascii="Times New Roman" w:cs="Times New Roman" w:eastAsia="Times New Roman" w:hAnsi="Times New Roman"/>
                <w:sz w:val="20"/>
                <w:szCs w:val="20"/>
                <w:color w:val="0000FF"/>
                <w:w w:val="99"/>
              </w:rPr>
              <w:t>103</w:t>
            </w:r>
          </w:p>
        </w:tc>
        <w:tc>
          <w:tcPr>
            <w:tcW w:w="300" w:type="dxa"/>
            <w:vAlign w:val="bottom"/>
          </w:tcPr>
          <w:p>
            <w:pPr>
              <w:spacing w:after="0"/>
              <w:rPr>
                <w:sz w:val="24"/>
                <w:szCs w:val="24"/>
                <w:color w:val="auto"/>
              </w:rPr>
            </w:pPr>
          </w:p>
        </w:tc>
      </w:tr>
      <w:tr>
        <w:trPr>
          <w:trHeight w:val="20"/>
        </w:trPr>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34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2"/>
              </w:rPr>
              <w:t>Item 9C</w:t>
            </w:r>
          </w:p>
        </w:tc>
        <w:tc>
          <w:tcPr>
            <w:tcW w:w="60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1060" w:type="dxa"/>
            <w:vAlign w:val="bottom"/>
            <w:gridSpan w:val="4"/>
          </w:tcPr>
          <w:p>
            <w:pPr>
              <w:jc w:val="center"/>
              <w:ind w:left="660"/>
              <w:spacing w:after="0"/>
              <w:rPr>
                <w:sz w:val="20"/>
                <w:szCs w:val="20"/>
                <w:color w:val="auto"/>
              </w:rPr>
            </w:pPr>
            <w:r>
              <w:rPr>
                <w:rFonts w:ascii="Times New Roman" w:cs="Times New Roman" w:eastAsia="Times New Roman" w:hAnsi="Times New Roman"/>
                <w:sz w:val="20"/>
                <w:szCs w:val="20"/>
                <w:color w:val="0000FF"/>
                <w:w w:val="99"/>
              </w:rPr>
              <w:t>103</w:t>
            </w:r>
          </w:p>
        </w:tc>
        <w:tc>
          <w:tcPr>
            <w:tcW w:w="300" w:type="dxa"/>
            <w:vAlign w:val="bottom"/>
          </w:tcPr>
          <w:p>
            <w:pPr>
              <w:spacing w:after="0"/>
              <w:rPr>
                <w:sz w:val="24"/>
                <w:szCs w:val="24"/>
                <w:color w:val="auto"/>
              </w:rPr>
            </w:pPr>
          </w:p>
        </w:tc>
      </w:tr>
      <w:tr>
        <w:trPr>
          <w:trHeight w:val="38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740" w:type="dxa"/>
            <w:vAlign w:val="bottom"/>
            <w:tcBorders>
              <w:top w:val="single" w:sz="8" w:color="0000FF"/>
            </w:tcBorders>
            <w:gridSpan w:val="3"/>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8"/>
              </w:rPr>
              <w:t>PART III</w:t>
            </w:r>
          </w:p>
        </w:tc>
        <w:tc>
          <w:tcPr>
            <w:tcW w:w="278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320"/>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Item 10</w:t>
            </w:r>
          </w:p>
        </w:tc>
        <w:tc>
          <w:tcPr>
            <w:tcW w:w="600" w:type="dxa"/>
            <w:vAlign w:val="bottom"/>
          </w:tcPr>
          <w:p>
            <w:pPr>
              <w:spacing w:after="0"/>
              <w:rPr>
                <w:sz w:val="24"/>
                <w:szCs w:val="24"/>
                <w:color w:val="auto"/>
              </w:rPr>
            </w:pPr>
          </w:p>
        </w:tc>
        <w:tc>
          <w:tcPr>
            <w:tcW w:w="44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7"/>
              </w:rPr>
              <w:t>Directors, Executive Officers and Corporate Governance</w:t>
            </w:r>
          </w:p>
        </w:tc>
        <w:tc>
          <w:tcPr>
            <w:tcW w:w="3660" w:type="dxa"/>
            <w:vAlign w:val="bottom"/>
            <w:gridSpan w:val="7"/>
          </w:tcPr>
          <w:p>
            <w:pPr>
              <w:spacing w:after="0"/>
              <w:rPr>
                <w:sz w:val="24"/>
                <w:szCs w:val="24"/>
                <w:color w:val="auto"/>
              </w:rPr>
            </w:pPr>
          </w:p>
        </w:tc>
        <w:tc>
          <w:tcPr>
            <w:tcW w:w="90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0"/>
              </w:rPr>
              <w:t>103</w:t>
            </w:r>
          </w:p>
        </w:tc>
        <w:tc>
          <w:tcPr>
            <w:tcW w:w="300" w:type="dxa"/>
            <w:vAlign w:val="bottom"/>
          </w:tcPr>
          <w:p>
            <w:pPr>
              <w:spacing w:after="0"/>
              <w:rPr>
                <w:sz w:val="24"/>
                <w:szCs w:val="24"/>
                <w:color w:val="auto"/>
              </w:rPr>
            </w:pPr>
          </w:p>
        </w:tc>
      </w:tr>
      <w:tr>
        <w:trPr>
          <w:trHeight w:val="340"/>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Item 11</w:t>
            </w:r>
          </w:p>
        </w:tc>
        <w:tc>
          <w:tcPr>
            <w:tcW w:w="600" w:type="dxa"/>
            <w:vAlign w:val="bottom"/>
          </w:tcPr>
          <w:p>
            <w:pPr>
              <w:spacing w:after="0"/>
              <w:rPr>
                <w:sz w:val="24"/>
                <w:szCs w:val="24"/>
                <w:color w:val="auto"/>
              </w:rPr>
            </w:pPr>
          </w:p>
        </w:tc>
        <w:tc>
          <w:tcPr>
            <w:tcW w:w="1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5"/>
              </w:rPr>
              <w:t>Executive Compensation</w:t>
            </w:r>
          </w:p>
        </w:tc>
        <w:tc>
          <w:tcPr>
            <w:tcW w:w="6200" w:type="dxa"/>
            <w:vAlign w:val="bottom"/>
            <w:gridSpan w:val="12"/>
          </w:tcPr>
          <w:p>
            <w:pPr>
              <w:spacing w:after="0"/>
              <w:rPr>
                <w:sz w:val="24"/>
                <w:szCs w:val="24"/>
                <w:color w:val="auto"/>
              </w:rPr>
            </w:pPr>
          </w:p>
        </w:tc>
        <w:tc>
          <w:tcPr>
            <w:tcW w:w="90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0"/>
              </w:rPr>
              <w:t>103</w:t>
            </w:r>
          </w:p>
        </w:tc>
        <w:tc>
          <w:tcPr>
            <w:tcW w:w="300" w:type="dxa"/>
            <w:vAlign w:val="bottom"/>
          </w:tcPr>
          <w:p>
            <w:pPr>
              <w:spacing w:after="0"/>
              <w:rPr>
                <w:sz w:val="24"/>
                <w:szCs w:val="24"/>
                <w:color w:val="auto"/>
              </w:rPr>
            </w:pPr>
          </w:p>
        </w:tc>
      </w:tr>
      <w:tr>
        <w:trPr>
          <w:trHeight w:val="34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7"/>
              </w:rPr>
              <w:t>Item 12</w:t>
            </w:r>
          </w:p>
        </w:tc>
        <w:tc>
          <w:tcPr>
            <w:tcW w:w="60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Security Ownership of Certain Beneficial Owners and Management and Related Stockholder Matters</w:t>
            </w:r>
          </w:p>
        </w:tc>
        <w:tc>
          <w:tcPr>
            <w:tcW w:w="1060" w:type="dxa"/>
            <w:vAlign w:val="bottom"/>
            <w:gridSpan w:val="4"/>
          </w:tcPr>
          <w:p>
            <w:pPr>
              <w:jc w:val="center"/>
              <w:ind w:left="660"/>
              <w:spacing w:after="0"/>
              <w:rPr>
                <w:sz w:val="20"/>
                <w:szCs w:val="20"/>
                <w:color w:val="auto"/>
              </w:rPr>
            </w:pPr>
            <w:r>
              <w:rPr>
                <w:rFonts w:ascii="Times New Roman" w:cs="Times New Roman" w:eastAsia="Times New Roman" w:hAnsi="Times New Roman"/>
                <w:sz w:val="20"/>
                <w:szCs w:val="20"/>
                <w:color w:val="0000FF"/>
                <w:w w:val="99"/>
              </w:rPr>
              <w:t>103</w:t>
            </w:r>
          </w:p>
        </w:tc>
        <w:tc>
          <w:tcPr>
            <w:tcW w:w="300" w:type="dxa"/>
            <w:vAlign w:val="bottom"/>
          </w:tcPr>
          <w:p>
            <w:pPr>
              <w:spacing w:after="0"/>
              <w:rPr>
                <w:sz w:val="24"/>
                <w:szCs w:val="24"/>
                <w:color w:val="auto"/>
              </w:rPr>
            </w:pPr>
          </w:p>
        </w:tc>
      </w:tr>
      <w:tr>
        <w:trPr>
          <w:trHeight w:val="340"/>
        </w:trPr>
        <w:tc>
          <w:tcPr>
            <w:tcW w:w="6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Item 13</w:t>
            </w:r>
          </w:p>
        </w:tc>
        <w:tc>
          <w:tcPr>
            <w:tcW w:w="600" w:type="dxa"/>
            <w:vAlign w:val="bottom"/>
          </w:tcPr>
          <w:p>
            <w:pPr>
              <w:spacing w:after="0"/>
              <w:rPr>
                <w:sz w:val="24"/>
                <w:szCs w:val="24"/>
                <w:color w:val="auto"/>
              </w:rPr>
            </w:pPr>
          </w:p>
        </w:tc>
        <w:tc>
          <w:tcPr>
            <w:tcW w:w="59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8"/>
              </w:rPr>
              <w:t>Certain Relationships and Related Transactions and Director Independence</w:t>
            </w:r>
          </w:p>
        </w:tc>
        <w:tc>
          <w:tcPr>
            <w:tcW w:w="2080" w:type="dxa"/>
            <w:vAlign w:val="bottom"/>
            <w:tcBorders>
              <w:top w:val="single" w:sz="8" w:color="0000FF"/>
            </w:tcBorders>
            <w:gridSpan w:val="3"/>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6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0"/>
              </w:rPr>
              <w:t>104</w:t>
            </w:r>
          </w:p>
        </w:tc>
        <w:tc>
          <w:tcPr>
            <w:tcW w:w="300" w:type="dxa"/>
            <w:vAlign w:val="bottom"/>
          </w:tcPr>
          <w:p>
            <w:pPr>
              <w:spacing w:after="0"/>
              <w:rPr>
                <w:sz w:val="24"/>
                <w:szCs w:val="24"/>
                <w:color w:val="auto"/>
              </w:rPr>
            </w:pPr>
          </w:p>
        </w:tc>
      </w:tr>
      <w:tr>
        <w:trPr>
          <w:trHeight w:val="340"/>
        </w:trPr>
        <w:tc>
          <w:tcPr>
            <w:tcW w:w="12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Item 14</w:t>
            </w:r>
          </w:p>
        </w:tc>
        <w:tc>
          <w:tcPr>
            <w:tcW w:w="814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Principal Accountant Fees and Services</w:t>
            </w:r>
          </w:p>
        </w:tc>
        <w:tc>
          <w:tcPr>
            <w:tcW w:w="1060" w:type="dxa"/>
            <w:vAlign w:val="bottom"/>
            <w:gridSpan w:val="4"/>
          </w:tcPr>
          <w:p>
            <w:pPr>
              <w:jc w:val="center"/>
              <w:ind w:left="660"/>
              <w:spacing w:after="0"/>
              <w:rPr>
                <w:sz w:val="20"/>
                <w:szCs w:val="20"/>
                <w:color w:val="auto"/>
              </w:rPr>
            </w:pPr>
            <w:r>
              <w:rPr>
                <w:rFonts w:ascii="Times New Roman" w:cs="Times New Roman" w:eastAsia="Times New Roman" w:hAnsi="Times New Roman"/>
                <w:sz w:val="20"/>
                <w:szCs w:val="20"/>
                <w:color w:val="0000FF"/>
                <w:w w:val="99"/>
              </w:rPr>
              <w:t>104</w:t>
            </w:r>
          </w:p>
        </w:tc>
        <w:tc>
          <w:tcPr>
            <w:tcW w:w="300" w:type="dxa"/>
            <w:vAlign w:val="bottom"/>
          </w:tcPr>
          <w:p>
            <w:pPr>
              <w:spacing w:after="0"/>
              <w:rPr>
                <w:sz w:val="24"/>
                <w:szCs w:val="24"/>
                <w:color w:val="auto"/>
              </w:rPr>
            </w:pPr>
          </w:p>
        </w:tc>
      </w:tr>
      <w:tr>
        <w:trPr>
          <w:trHeight w:val="38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8"/>
          </w:tcPr>
          <w:p>
            <w:pPr>
              <w:jc w:val="center"/>
              <w:ind w:right="318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320"/>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Item 15</w:t>
            </w:r>
          </w:p>
        </w:tc>
        <w:tc>
          <w:tcPr>
            <w:tcW w:w="600" w:type="dxa"/>
            <w:vAlign w:val="bottom"/>
          </w:tcPr>
          <w:p>
            <w:pPr>
              <w:spacing w:after="0"/>
              <w:rPr>
                <w:sz w:val="24"/>
                <w:szCs w:val="24"/>
                <w:color w:val="auto"/>
              </w:rPr>
            </w:pPr>
          </w:p>
        </w:tc>
        <w:tc>
          <w:tcPr>
            <w:tcW w:w="3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7"/>
              </w:rPr>
              <w:t>Exhibits and Financial Statement Schedules</w:t>
            </w:r>
          </w:p>
        </w:tc>
        <w:tc>
          <w:tcPr>
            <w:tcW w:w="4700" w:type="dxa"/>
            <w:vAlign w:val="bottom"/>
            <w:gridSpan w:val="9"/>
          </w:tcPr>
          <w:p>
            <w:pPr>
              <w:spacing w:after="0"/>
              <w:rPr>
                <w:sz w:val="24"/>
                <w:szCs w:val="24"/>
                <w:color w:val="auto"/>
              </w:rPr>
            </w:pPr>
          </w:p>
        </w:tc>
        <w:tc>
          <w:tcPr>
            <w:tcW w:w="90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0"/>
              </w:rPr>
              <w:t>105</w:t>
            </w:r>
          </w:p>
        </w:tc>
        <w:tc>
          <w:tcPr>
            <w:tcW w:w="300" w:type="dxa"/>
            <w:vAlign w:val="bottom"/>
          </w:tcPr>
          <w:p>
            <w:pPr>
              <w:spacing w:after="0"/>
              <w:rPr>
                <w:sz w:val="24"/>
                <w:szCs w:val="24"/>
                <w:color w:val="auto"/>
              </w:rPr>
            </w:pPr>
          </w:p>
        </w:tc>
      </w:tr>
      <w:tr>
        <w:trPr>
          <w:trHeight w:val="340"/>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Item 16</w:t>
            </w:r>
          </w:p>
        </w:tc>
        <w:tc>
          <w:tcPr>
            <w:tcW w:w="600" w:type="dxa"/>
            <w:vAlign w:val="bottom"/>
          </w:tcPr>
          <w:p>
            <w:pPr>
              <w:spacing w:after="0"/>
              <w:rPr>
                <w:sz w:val="24"/>
                <w:szCs w:val="24"/>
                <w:color w:val="auto"/>
              </w:rPr>
            </w:pPr>
          </w:p>
        </w:tc>
        <w:tc>
          <w:tcPr>
            <w:tcW w:w="1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5"/>
              </w:rPr>
              <w:t>Form 10-K Summary</w:t>
            </w:r>
          </w:p>
        </w:tc>
        <w:tc>
          <w:tcPr>
            <w:tcW w:w="6480" w:type="dxa"/>
            <w:vAlign w:val="bottom"/>
            <w:gridSpan w:val="14"/>
          </w:tcPr>
          <w:p>
            <w:pPr>
              <w:spacing w:after="0"/>
              <w:rPr>
                <w:sz w:val="24"/>
                <w:szCs w:val="24"/>
                <w:color w:val="auto"/>
              </w:rPr>
            </w:pPr>
          </w:p>
        </w:tc>
        <w:tc>
          <w:tcPr>
            <w:tcW w:w="90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0"/>
              </w:rPr>
              <w:t>107</w:t>
            </w:r>
          </w:p>
        </w:tc>
        <w:tc>
          <w:tcPr>
            <w:tcW w:w="300" w:type="dxa"/>
            <w:vAlign w:val="bottom"/>
          </w:tcPr>
          <w:p>
            <w:pPr>
              <w:spacing w:after="0"/>
              <w:rPr>
                <w:sz w:val="24"/>
                <w:szCs w:val="24"/>
                <w:color w:val="auto"/>
              </w:rPr>
            </w:pPr>
          </w:p>
        </w:tc>
      </w:tr>
      <w:tr>
        <w:trPr>
          <w:trHeight w:val="700"/>
        </w:trPr>
        <w:tc>
          <w:tcPr>
            <w:tcW w:w="938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1060" w:type="dxa"/>
            <w:vAlign w:val="bottom"/>
            <w:gridSpan w:val="4"/>
          </w:tcPr>
          <w:p>
            <w:pPr>
              <w:jc w:val="center"/>
              <w:ind w:left="660"/>
              <w:spacing w:after="0"/>
              <w:rPr>
                <w:sz w:val="20"/>
                <w:szCs w:val="20"/>
                <w:color w:val="auto"/>
              </w:rPr>
            </w:pPr>
            <w:r>
              <w:rPr>
                <w:rFonts w:ascii="Times New Roman" w:cs="Times New Roman" w:eastAsia="Times New Roman" w:hAnsi="Times New Roman"/>
                <w:sz w:val="20"/>
                <w:szCs w:val="20"/>
                <w:color w:val="0000FF"/>
                <w:w w:val="99"/>
              </w:rPr>
              <w:t>108</w:t>
            </w:r>
          </w:p>
        </w:tc>
        <w:tc>
          <w:tcPr>
            <w:tcW w:w="300" w:type="dxa"/>
            <w:vAlign w:val="bottom"/>
          </w:tcPr>
          <w:p>
            <w:pPr>
              <w:spacing w:after="0"/>
              <w:rPr>
                <w:sz w:val="24"/>
                <w:szCs w:val="24"/>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40"/>
          </w:cols>
          <w:pgMar w:left="780" w:top="6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740"/>
          </w:cols>
          <w:pgMar w:left="780" w:top="651" w:right="720" w:bottom="0" w:gutter="0" w:footer="0" w:header="0"/>
          <w:type w:val="continuous"/>
        </w:sectPr>
      </w:pPr>
    </w:p>
    <w:bookmarkStart w:id="3" w:name="page4"/>
    <w:bookmarkEnd w:id="3"/>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In this Annual Report on Form 10-K, “we,” “our,” “us,” “SI-BONE,” and “the Company” refer to SI-BONE, Inc. and its consolidated subsidiaries.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53"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“Item 1A. Risk Factors” below.</w:t>
      </w:r>
    </w:p>
    <w:p>
      <w:pPr>
        <w:spacing w:after="0" w:line="200" w:lineRule="exact"/>
        <w:rPr>
          <w:sz w:val="20"/>
          <w:szCs w:val="20"/>
          <w:color w:val="auto"/>
        </w:rPr>
      </w:pPr>
    </w:p>
    <w:p>
      <w:pPr>
        <w:ind w:left="720" w:hanging="360"/>
        <w:spacing w:after="0" w:line="271" w:lineRule="auto"/>
        <w:tabs>
          <w:tab w:leader="none" w:pos="72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have incurred significant operating losses since inception, we expect to continue to incur operating losses in the future, and we may not be able to achieve or sustain future profitability;</w:t>
      </w:r>
    </w:p>
    <w:p>
      <w:pPr>
        <w:spacing w:after="0" w:line="208" w:lineRule="exact"/>
        <w:rPr>
          <w:rFonts w:ascii="Times New Roman" w:cs="Times New Roman" w:eastAsia="Times New Roman" w:hAnsi="Times New Roman"/>
          <w:sz w:val="20"/>
          <w:szCs w:val="20"/>
          <w:b w:val="1"/>
          <w:bCs w:val="1"/>
          <w:i w:val="1"/>
          <w:iCs w:val="1"/>
          <w:color w:val="auto"/>
        </w:rPr>
      </w:pPr>
    </w:p>
    <w:p>
      <w:pPr>
        <w:ind w:left="720" w:hanging="360"/>
        <w:spacing w:after="0" w:line="271" w:lineRule="auto"/>
        <w:tabs>
          <w:tab w:leader="none" w:pos="720" w:val="left"/>
        </w:tabs>
        <w:numPr>
          <w:ilvl w:val="0"/>
          <w:numId w:val="3"/>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Prolonged inflation and supply chain disruptions could result in delayed product launches, lost revenue, higher costs and decreased profit margins;</w:t>
      </w:r>
    </w:p>
    <w:p>
      <w:pPr>
        <w:spacing w:after="0" w:line="192" w:lineRule="exact"/>
        <w:rPr>
          <w:rFonts w:ascii="Times New Roman" w:cs="Times New Roman" w:eastAsia="Times New Roman" w:hAnsi="Times New Roman"/>
          <w:sz w:val="24"/>
          <w:szCs w:val="24"/>
          <w:color w:val="auto"/>
        </w:rPr>
      </w:pPr>
    </w:p>
    <w:p>
      <w:pPr>
        <w:ind w:left="720" w:hanging="360"/>
        <w:spacing w:after="0" w:line="271" w:lineRule="auto"/>
        <w:tabs>
          <w:tab w:leader="none" w:pos="72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80" w:lineRule="exact"/>
        <w:rPr>
          <w:rFonts w:ascii="Times New Roman" w:cs="Times New Roman" w:eastAsia="Times New Roman" w:hAnsi="Times New Roman"/>
          <w:sz w:val="20"/>
          <w:szCs w:val="20"/>
          <w:b w:val="1"/>
          <w:bCs w:val="1"/>
          <w:i w:val="1"/>
          <w:iCs w:val="1"/>
          <w:color w:val="auto"/>
        </w:rPr>
      </w:pPr>
    </w:p>
    <w:p>
      <w:pPr>
        <w:jc w:val="both"/>
        <w:ind w:left="720" w:hanging="360"/>
        <w:spacing w:after="0" w:line="255" w:lineRule="auto"/>
        <w:tabs>
          <w:tab w:leader="none" w:pos="72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If hospitals, physicians,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196" w:lineRule="exact"/>
        <w:rPr>
          <w:rFonts w:ascii="Times New Roman" w:cs="Times New Roman" w:eastAsia="Times New Roman" w:hAnsi="Times New Roman"/>
          <w:sz w:val="20"/>
          <w:szCs w:val="20"/>
          <w:b w:val="1"/>
          <w:bCs w:val="1"/>
          <w:i w:val="1"/>
          <w:iCs w:val="1"/>
          <w:color w:val="auto"/>
        </w:rPr>
      </w:pPr>
    </w:p>
    <w:p>
      <w:pPr>
        <w:jc w:val="both"/>
        <w:ind w:left="720" w:hanging="360"/>
        <w:spacing w:after="0" w:line="255"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healthcare payors reverse decisions to cover minimally invasive sacroiliac joint fusion exclusively when performed with iFuse triangular implants and choose to reimburse for procedures performed with competitive products, our market share and average selling prices could decline, adversely affecting our revenues;</w:t>
      </w:r>
    </w:p>
    <w:p>
      <w:pPr>
        <w:spacing w:after="0" w:line="196" w:lineRule="exact"/>
        <w:rPr>
          <w:rFonts w:ascii="Times New Roman" w:cs="Times New Roman" w:eastAsia="Times New Roman" w:hAnsi="Times New Roman"/>
          <w:sz w:val="20"/>
          <w:szCs w:val="20"/>
          <w:color w:val="auto"/>
        </w:rPr>
      </w:pPr>
    </w:p>
    <w:p>
      <w:pPr>
        <w:ind w:left="720" w:hanging="360"/>
        <w:spacing w:after="0" w:line="27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convince physicians that our products are attractive alternatives to our competitors’ products and that our procedures are attractive alternatives to existing surgical and non-surgical treatments for their respective indications;</w:t>
      </w:r>
    </w:p>
    <w:p>
      <w:pPr>
        <w:spacing w:after="0" w:line="180" w:lineRule="exact"/>
        <w:rPr>
          <w:rFonts w:ascii="Times New Roman" w:cs="Times New Roman" w:eastAsia="Times New Roman" w:hAnsi="Times New Roman"/>
          <w:sz w:val="20"/>
          <w:szCs w:val="20"/>
          <w:color w:val="auto"/>
        </w:rPr>
      </w:pPr>
    </w:p>
    <w:p>
      <w:pPr>
        <w:jc w:val="both"/>
        <w:ind w:left="720" w:hanging="360"/>
        <w:spacing w:after="0" w:line="255"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Physicians and payors may not find the clinical evidence supporting our more recent products to be compelling, which could limit our sales and revenue, and on-going and future research may prove our products to be less safe and effective than currently thought;</w:t>
      </w:r>
    </w:p>
    <w:p>
      <w:pPr>
        <w:spacing w:after="0" w:line="196" w:lineRule="exact"/>
        <w:rPr>
          <w:rFonts w:ascii="Times New Roman" w:cs="Times New Roman" w:eastAsia="Times New Roman" w:hAnsi="Times New Roman"/>
          <w:sz w:val="20"/>
          <w:szCs w:val="20"/>
          <w:color w:val="auto"/>
        </w:rPr>
      </w:pPr>
    </w:p>
    <w:p>
      <w:pPr>
        <w:jc w:val="both"/>
        <w:ind w:left="720" w:hanging="360"/>
        <w:spacing w:after="0" w:line="255" w:lineRule="auto"/>
        <w:tabs>
          <w:tab w:leader="none" w:pos="72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Pricing pressure from our competitors, changes in third-party coverage and reimbursement, healthcare provider consolidation, the presence of physician-owned distributorships, and payor consolidation may impact our ability to sell our product at prices necessary to support our current business strategies;</w:t>
      </w:r>
    </w:p>
    <w:p>
      <w:pPr>
        <w:spacing w:after="0" w:line="196" w:lineRule="exact"/>
        <w:rPr>
          <w:rFonts w:ascii="Times New Roman" w:cs="Times New Roman" w:eastAsia="Times New Roman" w:hAnsi="Times New Roman"/>
          <w:sz w:val="20"/>
          <w:szCs w:val="20"/>
          <w:b w:val="1"/>
          <w:bCs w:val="1"/>
          <w:i w:val="1"/>
          <w:iCs w:val="1"/>
          <w:color w:val="auto"/>
        </w:rPr>
      </w:pPr>
    </w:p>
    <w:p>
      <w:pPr>
        <w:jc w:val="both"/>
        <w:ind w:left="720" w:hanging="360"/>
        <w:spacing w:after="0" w:line="255" w:lineRule="auto"/>
        <w:tabs>
          <w:tab w:leader="none" w:pos="72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Practice trends, market dynamics, or other factors, including the COVID-19 pandemic, have caused, and may continue to cause, procedures to shift from the hospital environment to ambulatory surgical centers, or ASCs, where pressure on the prices of our products is generally more acute;</w:t>
      </w:r>
    </w:p>
    <w:p>
      <w:pPr>
        <w:spacing w:after="0" w:line="196" w:lineRule="exact"/>
        <w:rPr>
          <w:rFonts w:ascii="Times New Roman" w:cs="Times New Roman" w:eastAsia="Times New Roman" w:hAnsi="Times New Roman"/>
          <w:sz w:val="20"/>
          <w:szCs w:val="20"/>
          <w:b w:val="1"/>
          <w:bCs w:val="1"/>
          <w:i w:val="1"/>
          <w:iCs w:val="1"/>
          <w:color w:val="auto"/>
        </w:rPr>
      </w:pPr>
    </w:p>
    <w:p>
      <w:pPr>
        <w:ind w:left="720" w:hanging="360"/>
        <w:spacing w:after="0" w:line="27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in a very competitive business environment and if we are unable to compete successfully against our existing or potential competitors, our sales and operating results may be adversely affected;</w:t>
      </w:r>
    </w:p>
    <w:p>
      <w:pPr>
        <w:spacing w:after="0" w:line="216" w:lineRule="exact"/>
        <w:rPr>
          <w:rFonts w:ascii="Times New Roman" w:cs="Times New Roman" w:eastAsia="Times New Roman" w:hAnsi="Times New Roman"/>
          <w:sz w:val="20"/>
          <w:szCs w:val="20"/>
          <w:color w:val="auto"/>
        </w:rPr>
      </w:pPr>
    </w:p>
    <w:p>
      <w:pPr>
        <w:jc w:val="both"/>
        <w:ind w:left="720" w:hanging="360"/>
        <w:spacing w:after="0" w:line="276" w:lineRule="auto"/>
        <w:tabs>
          <w:tab w:leader="none" w:pos="720" w:val="left"/>
        </w:tabs>
        <w:numPr>
          <w:ilvl w:val="0"/>
          <w:numId w:val="3"/>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221" w:lineRule="exact"/>
        <w:rPr>
          <w:rFonts w:ascii="Arial" w:cs="Arial" w:eastAsia="Arial" w:hAnsi="Arial"/>
          <w:sz w:val="24"/>
          <w:szCs w:val="24"/>
          <w:b w:val="1"/>
          <w:bCs w:val="1"/>
          <w:color w:val="auto"/>
        </w:rPr>
      </w:pPr>
    </w:p>
    <w:p>
      <w:pPr>
        <w:jc w:val="both"/>
        <w:ind w:left="720" w:hanging="360"/>
        <w:spacing w:after="0" w:line="279" w:lineRule="auto"/>
        <w:tabs>
          <w:tab w:leader="none" w:pos="720" w:val="left"/>
        </w:tabs>
        <w:numPr>
          <w:ilvl w:val="0"/>
          <w:numId w:val="3"/>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If clinical experience with our iFuse Bedrock technique, iFuse Bedrock Granite product, or iFuse-TORQ product does not result in positive outcomes for patients, or if clinical trials involving the use of iFuse Bedrock, iFuse Bedrock Granite and/or iFuse-TORQ fail to show meaningful patient benefit, sales of our iFuse, iFuse-3D, iFuse-TORQ and/or iFuse Bedrock Granite implants could be adversely impacted;</w:t>
      </w:r>
    </w:p>
    <w:p>
      <w:pPr>
        <w:spacing w:after="0" w:line="185" w:lineRule="exact"/>
        <w:rPr>
          <w:rFonts w:ascii="Arial" w:cs="Arial" w:eastAsia="Arial" w:hAnsi="Arial"/>
          <w:sz w:val="24"/>
          <w:szCs w:val="24"/>
          <w:b w:val="1"/>
          <w:bCs w:val="1"/>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If we are unable to maintain our network of direct sales representatives, third-party sales agents, and resellers, we may not be</w:t>
      </w:r>
    </w:p>
    <w:p>
      <w:pPr>
        <w:sectPr>
          <w:pgSz w:w="12240" w:h="15840" w:orient="portrait"/>
          <w:cols w:equalWidth="0" w:num="1">
            <w:col w:w="10800"/>
          </w:cols>
          <w:pgMar w:left="720" w:top="654" w:right="72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800"/>
          </w:cols>
          <w:pgMar w:left="720" w:top="654" w:right="720" w:bottom="0" w:gutter="0" w:footer="0" w:header="0"/>
          <w:type w:val="continuous"/>
        </w:sectPr>
      </w:pPr>
    </w:p>
    <w:bookmarkStart w:id="4" w:name="page5"/>
    <w:bookmarkEnd w:id="4"/>
    <w:p>
      <w:pPr>
        <w:ind w:left="720"/>
        <w:spacing w:after="0"/>
        <w:rPr>
          <w:sz w:val="20"/>
          <w:szCs w:val="20"/>
          <w:color w:val="auto"/>
        </w:rPr>
      </w:pPr>
      <w:r>
        <w:rPr>
          <w:rFonts w:ascii="Times New Roman" w:cs="Times New Roman" w:eastAsia="Times New Roman" w:hAnsi="Times New Roman"/>
          <w:sz w:val="20"/>
          <w:szCs w:val="20"/>
          <w:color w:val="auto"/>
        </w:rPr>
        <w:t>able to generate anticipated sales;</w:t>
      </w:r>
    </w:p>
    <w:p>
      <w:pPr>
        <w:spacing w:after="0" w:line="240" w:lineRule="exact"/>
        <w:rPr>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Our business could suffer if we lose the services of key members of our senior management, key advisors or personnel;</w:t>
      </w:r>
    </w:p>
    <w:p>
      <w:pPr>
        <w:spacing w:after="0" w:line="240" w:lineRule="exact"/>
        <w:rPr>
          <w:rFonts w:ascii="Times New Roman" w:cs="Times New Roman" w:eastAsia="Times New Roman" w:hAnsi="Times New Roman"/>
          <w:sz w:val="20"/>
          <w:szCs w:val="20"/>
          <w:b w:val="1"/>
          <w:bCs w:val="1"/>
          <w:i w:val="1"/>
          <w:iCs w:val="1"/>
          <w:color w:val="auto"/>
        </w:rPr>
      </w:pPr>
    </w:p>
    <w:p>
      <w:pPr>
        <w:ind w:left="720" w:hanging="360"/>
        <w:spacing w:after="0" w:line="271" w:lineRule="auto"/>
        <w:tabs>
          <w:tab w:leader="none" w:pos="720" w:val="left"/>
        </w:tabs>
        <w:numPr>
          <w:ilvl w:val="0"/>
          <w:numId w:val="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If use of our products results in adverse events, this may require them to be taken off the market, require them to include safety warnings or otherwise limit their sales;</w:t>
      </w:r>
    </w:p>
    <w:p>
      <w:pPr>
        <w:spacing w:after="0" w:line="180" w:lineRule="exact"/>
        <w:rPr>
          <w:rFonts w:ascii="Times New Roman" w:cs="Times New Roman" w:eastAsia="Times New Roman" w:hAnsi="Times New Roman"/>
          <w:sz w:val="20"/>
          <w:szCs w:val="20"/>
          <w:b w:val="1"/>
          <w:bCs w:val="1"/>
          <w:i w:val="1"/>
          <w:iCs w:val="1"/>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Various factors outside our direct control may adversely affect manufacturing, sterilization, and distribution of our products;</w:t>
      </w:r>
    </w:p>
    <w:p>
      <w:pPr>
        <w:spacing w:after="0" w:line="240" w:lineRule="exact"/>
        <w:rPr>
          <w:rFonts w:ascii="Times New Roman" w:cs="Times New Roman" w:eastAsia="Times New Roman" w:hAnsi="Times New Roman"/>
          <w:sz w:val="20"/>
          <w:szCs w:val="20"/>
          <w:b w:val="1"/>
          <w:bCs w:val="1"/>
          <w:i w:val="1"/>
          <w:iCs w:val="1"/>
          <w:color w:val="auto"/>
        </w:rPr>
      </w:pPr>
    </w:p>
    <w:p>
      <w:pPr>
        <w:jc w:val="both"/>
        <w:ind w:left="720" w:hanging="360"/>
        <w:spacing w:after="0" w:line="255" w:lineRule="auto"/>
        <w:tabs>
          <w:tab w:leader="none" w:pos="720" w:val="left"/>
        </w:tabs>
        <w:numPr>
          <w:ilvl w:val="0"/>
          <w:numId w:val="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96" w:lineRule="exact"/>
        <w:rPr>
          <w:rFonts w:ascii="Times New Roman" w:cs="Times New Roman" w:eastAsia="Times New Roman" w:hAnsi="Times New Roman"/>
          <w:sz w:val="20"/>
          <w:szCs w:val="20"/>
          <w:b w:val="1"/>
          <w:bCs w:val="1"/>
          <w:i w:val="1"/>
          <w:iCs w:val="1"/>
          <w:color w:val="auto"/>
        </w:rPr>
      </w:pPr>
    </w:p>
    <w:p>
      <w:pPr>
        <w:ind w:left="720" w:hanging="360"/>
        <w:spacing w:after="0" w:line="271" w:lineRule="auto"/>
        <w:tabs>
          <w:tab w:leader="none" w:pos="720" w:val="left"/>
        </w:tabs>
        <w:numPr>
          <w:ilvl w:val="0"/>
          <w:numId w:val="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180" w:lineRule="exact"/>
        <w:rPr>
          <w:rFonts w:ascii="Times New Roman" w:cs="Times New Roman" w:eastAsia="Times New Roman" w:hAnsi="Times New Roman"/>
          <w:sz w:val="20"/>
          <w:szCs w:val="20"/>
          <w:b w:val="1"/>
          <w:bCs w:val="1"/>
          <w:i w:val="1"/>
          <w:iCs w:val="1"/>
          <w:color w:val="auto"/>
        </w:rPr>
      </w:pPr>
    </w:p>
    <w:p>
      <w:pPr>
        <w:jc w:val="both"/>
        <w:ind w:left="720" w:hanging="360"/>
        <w:spacing w:after="0" w:line="255" w:lineRule="auto"/>
        <w:tabs>
          <w:tab w:leader="none" w:pos="720" w:val="left"/>
        </w:tabs>
        <w:numPr>
          <w:ilvl w:val="0"/>
          <w:numId w:val="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and</w:t>
      </w:r>
    </w:p>
    <w:p>
      <w:pPr>
        <w:spacing w:after="0" w:line="196" w:lineRule="exact"/>
        <w:rPr>
          <w:rFonts w:ascii="Times New Roman" w:cs="Times New Roman" w:eastAsia="Times New Roman" w:hAnsi="Times New Roman"/>
          <w:sz w:val="20"/>
          <w:szCs w:val="20"/>
          <w:b w:val="1"/>
          <w:bCs w:val="1"/>
          <w:i w:val="1"/>
          <w:iCs w:val="1"/>
          <w:color w:val="auto"/>
        </w:rPr>
      </w:pPr>
    </w:p>
    <w:p>
      <w:pPr>
        <w:jc w:val="both"/>
        <w:ind w:left="720" w:hanging="360"/>
        <w:spacing w:after="0" w:line="255" w:lineRule="auto"/>
        <w:tabs>
          <w:tab w:leader="none" w:pos="720" w:val="left"/>
        </w:tabs>
        <w:numPr>
          <w:ilvl w:val="0"/>
          <w:numId w:val="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96" w:lineRule="exact"/>
        <w:rPr>
          <w:rFonts w:ascii="Times New Roman" w:cs="Times New Roman" w:eastAsia="Times New Roman" w:hAnsi="Times New Roman"/>
          <w:sz w:val="20"/>
          <w:szCs w:val="20"/>
          <w:b w:val="1"/>
          <w:bCs w:val="1"/>
          <w:i w:val="1"/>
          <w:iCs w:val="1"/>
          <w:color w:val="auto"/>
        </w:rPr>
      </w:pPr>
    </w:p>
    <w:p>
      <w:pPr>
        <w:jc w:val="both"/>
        <w:ind w:left="720" w:right="60" w:hanging="360"/>
        <w:spacing w:after="0" w:line="26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products/services, limit their use or adoption, and otherwise negatively affect our operating results and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2" w:lineRule="exact"/>
        <w:rPr>
          <w:sz w:val="20"/>
          <w:szCs w:val="20"/>
          <w:color w:val="auto"/>
        </w:rPr>
      </w:pPr>
    </w:p>
    <w:p>
      <w:pPr>
        <w:jc w:val="both"/>
        <w:ind w:firstLine="450"/>
        <w:spacing w:after="0" w:line="277" w:lineRule="auto"/>
        <w:rPr>
          <w:sz w:val="20"/>
          <w:szCs w:val="20"/>
          <w:color w:val="auto"/>
        </w:rPr>
      </w:pPr>
      <w:r>
        <w:rPr>
          <w:rFonts w:ascii="Times New Roman" w:cs="Times New Roman" w:eastAsia="Times New Roman" w:hAnsi="Times New Roman"/>
          <w:sz w:val="20"/>
          <w:szCs w:val="20"/>
          <w:color w:val="auto"/>
        </w:rPr>
        <w:t>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contains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Annual Report on Form 10-K and are subject to a number of risks, uncertainties and assumptions, including those described under the sections in this Annual Report on Form 10-K entitled “Risk Factors” and “Management’s Discussion and Analysis of Financial Condition and Results of Operations.” These forward-looking statements include, but are not limited to, statements about the following:</w:t>
      </w:r>
    </w:p>
    <w:p>
      <w:pPr>
        <w:spacing w:after="0" w:line="231" w:lineRule="exact"/>
        <w:rPr>
          <w:sz w:val="20"/>
          <w:szCs w:val="20"/>
          <w:color w:val="auto"/>
        </w:rPr>
      </w:pPr>
    </w:p>
    <w:p>
      <w:pPr>
        <w:ind w:left="720" w:hanging="360"/>
        <w:spacing w:after="0"/>
        <w:tabs>
          <w:tab w:leader="none" w:pos="720" w:val="left"/>
        </w:tabs>
        <w:numPr>
          <w:ilvl w:val="0"/>
          <w:numId w:val="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our expectation that a significant portion of our revenues will be derived from sales of the iFuse Implant System, or iFuse;</w:t>
      </w:r>
    </w:p>
    <w:p>
      <w:pPr>
        <w:spacing w:after="0" w:line="279" w:lineRule="exact"/>
        <w:rPr>
          <w:rFonts w:ascii="Arial" w:cs="Arial" w:eastAsia="Arial" w:hAnsi="Arial"/>
          <w:sz w:val="24"/>
          <w:szCs w:val="24"/>
          <w:b w:val="1"/>
          <w:bCs w:val="1"/>
          <w:color w:val="auto"/>
        </w:rPr>
      </w:pPr>
    </w:p>
    <w:p>
      <w:pPr>
        <w:ind w:left="720" w:hanging="36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and commercialize additional revenue opportunities, including new indications for use and new products;</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and grow our sales team based on the demand for our products;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train, and retain physicians to perform procedures using our products;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favorable coverage and reimbursement determinations from third-party payors;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of our market opportunity;</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scope of protection from intellectual property rights covering our products;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our intellectual property or other proprietary rights;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timing of and results from clinical and other trials;</w:t>
      </w:r>
    </w:p>
    <w:p>
      <w:pPr>
        <w:spacing w:after="0" w:line="190" w:lineRule="exact"/>
        <w:rPr>
          <w:rFonts w:ascii="Times New Roman" w:cs="Times New Roman" w:eastAsia="Times New Roman" w:hAnsi="Times New Roman"/>
          <w:sz w:val="20"/>
          <w:szCs w:val="20"/>
          <w:color w:val="auto"/>
        </w:rPr>
      </w:pPr>
    </w:p>
    <w:p>
      <w:pPr>
        <w:ind w:left="720" w:right="60" w:hanging="36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marketing clearances and authorization from the FDA and regulators in other jurisdictions and CE Certificates of Conformity from Notified Bodies;</w:t>
      </w:r>
    </w:p>
    <w:p>
      <w:pPr>
        <w:sectPr>
          <w:pgSz w:w="12240" w:h="15840" w:orient="portrait"/>
          <w:cols w:equalWidth="0" w:num="1">
            <w:col w:w="10800"/>
          </w:cols>
          <w:pgMar w:left="720" w:top="658" w:right="720" w:bottom="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800"/>
          </w:cols>
          <w:pgMar w:left="720" w:top="658" w:right="720" w:bottom="0" w:gutter="0" w:footer="0" w:header="0"/>
          <w:type w:val="continuous"/>
        </w:sectPr>
      </w:pPr>
    </w:p>
    <w:bookmarkStart w:id="5" w:name="page6"/>
    <w:bookmarkEnd w:id="5"/>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timing of regulatory filings and feedback;</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in the markets we serve;</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of the reliability and performance of our products;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of the benefits to patients, providers, and payors of our products;</w:t>
      </w:r>
    </w:p>
    <w:p>
      <w:pPr>
        <w:spacing w:after="0" w:line="19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impacting the supply chains we rely on, including the availability of raw materials and skilled labor serving our suppliers, and the cost of these factors of production which may in turn impact the prices we pay for our devices;</w:t>
      </w:r>
    </w:p>
    <w:p>
      <w:pPr>
        <w:spacing w:after="0" w:line="121" w:lineRule="exact"/>
        <w:rPr>
          <w:rFonts w:ascii="Times New Roman" w:cs="Times New Roman" w:eastAsia="Times New Roman" w:hAnsi="Times New Roman"/>
          <w:sz w:val="20"/>
          <w:szCs w:val="20"/>
          <w:color w:val="auto"/>
        </w:rPr>
      </w:pPr>
    </w:p>
    <w:p>
      <w:pPr>
        <w:ind w:left="720" w:right="880" w:hanging="360"/>
        <w:spacing w:after="0" w:line="28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a limited number of suppliers, including sole source suppliers, which may impact the availability of instruments and materials;</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sustain or increase demand for our products;</w:t>
      </w:r>
    </w:p>
    <w:p>
      <w:pPr>
        <w:spacing w:after="0" w:line="226" w:lineRule="exact"/>
        <w:rPr>
          <w:rFonts w:ascii="Times New Roman" w:cs="Times New Roman" w:eastAsia="Times New Roman" w:hAnsi="Times New Roman"/>
          <w:sz w:val="20"/>
          <w:szCs w:val="20"/>
          <w:color w:val="auto"/>
        </w:rPr>
      </w:pPr>
    </w:p>
    <w:p>
      <w:pPr>
        <w:jc w:val="both"/>
        <w:ind w:left="720" w:right="480" w:hanging="360"/>
        <w:spacing w:after="0" w:line="287" w:lineRule="auto"/>
        <w:tabs>
          <w:tab w:leader="none" w:pos="720" w:val="left"/>
        </w:tabs>
        <w:numPr>
          <w:ilvl w:val="0"/>
          <w:numId w:val="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impact of epidemics on our operations, financial results, liquidity, and capital resources, including the impact on our global supply chain, demand for and ability to obtain our products and procedures, and our ability to maintain a healthy workforce;</w:t>
      </w:r>
    </w:p>
    <w:p>
      <w:pPr>
        <w:spacing w:after="0" w:line="127" w:lineRule="exact"/>
        <w:rPr>
          <w:rFonts w:ascii="Arial" w:cs="Arial" w:eastAsia="Arial" w:hAnsi="Arial"/>
          <w:sz w:val="24"/>
          <w:szCs w:val="24"/>
          <w:b w:val="1"/>
          <w:bCs w:val="1"/>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our costs and risks associated with our international operations and expansion;</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ability to retain and recruit key personnel;</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employees, including those with specialized skills and experience;</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acquisitions and strategic operations;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access capital markets;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fund our working capital requirements;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with, and the cost of, federal, state, and foreign regulatory requirements;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factors that may impact our financial results; and</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anticipated trends and challenges in our business and the markets in which we operate.</w:t>
      </w:r>
    </w:p>
    <w:p>
      <w:pPr>
        <w:spacing w:after="0" w:line="250"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1"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658" w:right="72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as well as implantable bone products. Since launching our first generation iFuse in 2009, we have launched new titanium implant product lines, iFuse-3D in 2017, iFuse-TORQ in 2021 and iFuse Bedrock Granite in 2022. Within the United States, iFuse, iFuse-3D and iFuse-TORQ have clearances for applications across sacroiliac joint dysfunction and fusion, adult spinal deformity and degeneration, and pelvic trauma.</w:t>
      </w:r>
    </w:p>
    <w:p>
      <w:pPr>
        <w:spacing w:after="0" w:line="207" w:lineRule="exact"/>
        <w:rPr>
          <w:sz w:val="20"/>
          <w:szCs w:val="20"/>
          <w:color w:val="auto"/>
        </w:rPr>
      </w:pPr>
    </w:p>
    <w:p>
      <w:pPr>
        <w:jc w:val="both"/>
        <w:ind w:firstLine="450"/>
        <w:spacing w:after="0" w:line="244" w:lineRule="auto"/>
        <w:rPr>
          <w:sz w:val="20"/>
          <w:szCs w:val="20"/>
          <w:color w:val="auto"/>
        </w:rPr>
      </w:pPr>
      <w:r>
        <w:rPr>
          <w:rFonts w:ascii="Times New Roman" w:cs="Times New Roman" w:eastAsia="Times New Roman" w:hAnsi="Times New Roman"/>
          <w:sz w:val="20"/>
          <w:szCs w:val="20"/>
          <w:color w:val="auto"/>
        </w:rPr>
        <w:t>We market our products primarily with a direct sales force as well as a number of third-party sales agents in the United States, and with a combination of a direct sales force, and sales agents and resellers in other countries. As of December 31, 2023, more than 95,000 procedures have been performed using our products by over 3,600 physicians in the United States and 38 other countries since we introduced iFuse in 2009.</w:t>
      </w:r>
    </w:p>
    <w:p>
      <w:pPr>
        <w:spacing w:after="0" w:line="185" w:lineRule="exact"/>
        <w:rPr>
          <w:sz w:val="20"/>
          <w:szCs w:val="20"/>
          <w:color w:val="auto"/>
        </w:rPr>
      </w:pPr>
    </w:p>
    <w:p>
      <w:pPr>
        <w:jc w:val="both"/>
        <w:ind w:firstLine="450"/>
        <w:spacing w:after="0" w:line="244" w:lineRule="auto"/>
        <w:rPr>
          <w:sz w:val="20"/>
          <w:szCs w:val="20"/>
          <w:color w:val="auto"/>
        </w:rPr>
      </w:pPr>
      <w:r>
        <w:rPr>
          <w:rFonts w:ascii="Times New Roman" w:cs="Times New Roman" w:eastAsia="Times New Roman" w:hAnsi="Times New Roman"/>
          <w:sz w:val="20"/>
          <w:szCs w:val="20"/>
          <w:color w:val="auto"/>
        </w:rPr>
        <w:t>In May 2023, we received a total of $83.7 million of net proceeds from the offering of 3,775,000 shares of our common stock, and the exercise of the underwriter's option to purchase an additional 566,250 shares of our common stock, at a public offering price of $22.00 per share. Of these shares, 272,753 shares were offered by a selling stockholder, and we did not receive any proceeds from the sale by the selling stockholder.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and Applications</w:t>
      </w:r>
    </w:p>
    <w:p>
      <w:pPr>
        <w:spacing w:after="0" w:line="25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first-generation iFuse, a machined triangular titanium implant launched in 2009, has a triangular cross section that resists twisting or rotation of the implant. The triangular shape of this implant helps stabilize the joint, and the implant’s porous surface facilitates biologic fixation of the bone onto the implant, or bony on-growth and in-growth that results in fusion. The implant has at least three times the strength of a typical eight-millimeter cannulated surgical screw, and the large porous surface area of our implants allows for bony ingrowth. Our second generation iFuse product, the iFuse-3D implant, launched in 2017, is a patented titanium implant that combines the triangular cross-section of the first generation iFuse implant with a proprietary 3D-printed porous surface and fenestrated design. This design, with its open and porous structure, also allows the implant to self-harvest bone as it is impacted through the ilium. We hold patents on implants with cross-sections of many non-round shapes, including the triangular shape, as well as the fenestration configuration we use with our iFuse-3D implants. We also hold patents for the method of placing the implant across the sacroiliac joint, as well as other parts of the spine and pelvis.</w:t>
      </w:r>
    </w:p>
    <w:p>
      <w:pPr>
        <w:spacing w:after="0" w:line="24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In April 2019, we received clearance from the United States Food and Drug Administration, or FDA, to promote the use of our iFuse-3D implants for fusion of the sacroiliac joint in conjunction with multi-level spinal fusion procedures to provide further stabilization and immobilization of the sacroiliac joint, which we call the Bedrock technique. We CE marked and began marketing iFuse for this indication and surgical technique in the European Union ("EU") in December 2019. In late-2019, we introduced iFuse Bone, an implantable bone product manufactured from sterilized recovered cadaveric bone tissue, to meet the demand of some of our surgeon customers to use implantable bone products to support and augment the patient's own bone tissue in orthopedic procedures. In March 2020, we received FDA 510(k) clearance for an expanded indication for our triangular titanium iFuse implants to support our trauma initiative.</w:t>
      </w:r>
    </w:p>
    <w:p>
      <w:pPr>
        <w:spacing w:after="0" w:line="20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In February 2021, we launched iFuse-TORQ, a line of 3D-printed threaded implants designed for use in pelvic trauma, as well as applications in sacroiliac joint dysfunction and degeneration. Relative to competitive trauma products, iFuse-TORQ is roughly four times as strong in bending and requires 10 times the rotational force, or torque, to insert due to its porosity and other design features. We believe that this rotational resistance gives physicians confidence in the strength of mechanical fixation that iFuse-TORQ provides, and that the technological advancements incorporated into iFuse-TORQ represent a significant improvement compared to conventional trauma screws. iFuse-TORQ has a larger surface area for bone in-growth and was specifically designed to allow for osteointegration, or incorporation of the bone in the implant's porous surface and structure. In 2022, the FDA provided clearance for an expanded indication for iFuse-TORQ to include acute, non-acute and non-traumatic fractures as well as for placement across the sacroiliac joint using our Bedrock technique.</w:t>
      </w:r>
    </w:p>
    <w:p>
      <w:pPr>
        <w:spacing w:after="0" w:line="245"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In May 2022, we launched our iFuse Bedrock Granite Implant System. The iFuse Bedrock Granite implant provides sacroiliac fusion and sacropelvic fixation as a foundational element for segmental spinal fusion. The iFuse Bedrock Granite implant has a machined titanium core surrounded by a fusion sleeve that is additively manufactured. The fusion sleeve offers greater surface area for both microporous and macroporous surface features as well as self-harvesting cutting flutes. The fusion sleeve provides numerous means for biological fixation (bony on-growth, in-growth and through-growth). The robust neck and the set screw design also provide more strength and reliability to the iFuse Bedrock Granite implant. Based on the implant's ability to drive fusion and fixation, iFuse</w:t>
      </w:r>
    </w:p>
    <w:p>
      <w:pPr>
        <w:sectPr>
          <w:pgSz w:w="12240" w:h="15840" w:orient="portrait"/>
          <w:cols w:equalWidth="0" w:num="1">
            <w:col w:w="10800"/>
          </w:cols>
          <w:pgMar w:left="720" w:top="651" w:right="720" w:bottom="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651" w:right="720" w:bottom="0" w:gutter="0" w:footer="0" w:header="0"/>
          <w:type w:val="continuous"/>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20"/>
          <w:szCs w:val="20"/>
          <w:color w:val="auto"/>
        </w:rPr>
        <w:t>Bedrock Granite is designated by the FDA as a breakthrough device. In August 2022, the Centers for Medicare and Medicaid Services, or CMS, issued a final decision for a New Technology Add-on Payment, or NTAP, of up to $9,828 for eligible cases using iFuse Bedrock Granite. The Breakthrough Device Designation and NTAP award were based on the FDA's recognition of iFuse Bedrock Granite as a new technology that can provide substantial clinical improvement over already available therapies. The NTAP became effective October 1, 2022 and will be effective for a period of up to three years and is exclusive to iFuse Bedrock Granite. In December 2022, we received FDA clearance for promotion of the compatibility of iFuse Bedrock Granite with a broad class of commercially available rods.</w:t>
      </w:r>
    </w:p>
    <w:p>
      <w:pPr>
        <w:spacing w:after="0" w:line="24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In addition to our implants and instruments, we also provide enabling technologies that are cleared and compatible with Medtronic’s surgical navigation systems and Medtronic Mazor surgical robots. We also market decortication and graft delivery systems that allow surgeons to remove intra-articular cartilage and deliver flowable bone graft materials to the sacroiliac joint.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Opportunity</w:t>
      </w:r>
    </w:p>
    <w:p>
      <w:pPr>
        <w:spacing w:after="0" w:line="257" w:lineRule="exact"/>
        <w:rPr>
          <w:sz w:val="20"/>
          <w:szCs w:val="20"/>
          <w:color w:val="auto"/>
        </w:rPr>
      </w:pPr>
    </w:p>
    <w:p>
      <w:pPr>
        <w:jc w:val="both"/>
        <w:ind w:firstLine="450"/>
        <w:spacing w:after="0" w:line="311" w:lineRule="auto"/>
        <w:rPr>
          <w:sz w:val="20"/>
          <w:szCs w:val="20"/>
          <w:color w:val="auto"/>
        </w:rPr>
      </w:pPr>
      <w:r>
        <w:rPr>
          <w:rFonts w:ascii="Times New Roman" w:cs="Times New Roman" w:eastAsia="Times New Roman" w:hAnsi="Times New Roman"/>
          <w:sz w:val="20"/>
          <w:szCs w:val="20"/>
          <w:color w:val="auto"/>
        </w:rPr>
        <w:t>As a sacropelvic solutions company, our products have applications across sacroiliac joint dysfunction and degeneration, spinopelvic fixation, and pelvic fractures. We estimate that our total addressable market in the United States exceeds $3.0 billion.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Sacroiliac Joint Dysfunction and Degeneration</w:t>
      </w:r>
    </w:p>
    <w:p>
      <w:pPr>
        <w:spacing w:after="0" w:line="25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Over 30 million American adults are estimated to have chronic lower back pain. Studies indicate that 15% to 30% of patients with chronic low back pain may have symptoms originating with the sacroiliac joint. Our experience in both clinical trials and commercial settings indicates that at least 30% of these patients may be candidates for surgical treatment with our implants. Based on our market experience and internal estimates, and the assumption that the average person suffering from sacroiliac joint dysfunction has been in pain for five years, we estimate that the potential annual market opportunity for sacroiliac joint fusion in the United States could be approximately 279,000 patients for a potential market in the United States of approximately $2.4 billion per year.</w:t>
      </w:r>
    </w:p>
    <w:p>
      <w:pPr>
        <w:spacing w:after="0" w:line="20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Sacroiliac joint patients may have experienced one or more events that have contributed to disruption and/or degeneration of the sacroiliac joint, such as pregnancy, falls, previous lumbar surgery, automobile accidents, and aging, which may cause degeneration of the cushioning in the joint much like other joints. Patients with sacroiliac joint dysfunction frequently experience significant pain simply from sitting, standing, or rolling over in bed. The pain can be exacerbated with activity - when a patient walks or runs. We believe that approximately 65% of people who suffer from sacroiliac pain are women. Although several non-surgical treatments exist for sacroiliac joint pain, including physical therapy, opiates and non-steroidal anti-inflammatory medications, intra-articular injection of steroid medications and radio frequency ablation, these treatments did not provide long-term pain or disability relief in our randomized controlled clinical trials.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Adult Deformity and Degeneration</w:t>
      </w:r>
    </w:p>
    <w:p>
      <w:pPr>
        <w:spacing w:after="0" w:line="259" w:lineRule="exact"/>
        <w:rPr>
          <w:sz w:val="20"/>
          <w:szCs w:val="20"/>
          <w:color w:val="auto"/>
        </w:rPr>
      </w:pPr>
    </w:p>
    <w:p>
      <w:pPr>
        <w:jc w:val="both"/>
        <w:ind w:firstLine="450"/>
        <w:spacing w:after="0" w:line="243" w:lineRule="auto"/>
        <w:rPr>
          <w:sz w:val="20"/>
          <w:szCs w:val="20"/>
          <w:color w:val="auto"/>
        </w:rPr>
      </w:pPr>
      <w:r>
        <w:rPr>
          <w:rFonts w:ascii="Times New Roman" w:cs="Times New Roman" w:eastAsia="Times New Roman" w:hAnsi="Times New Roman"/>
          <w:sz w:val="20"/>
          <w:szCs w:val="20"/>
          <w:color w:val="auto"/>
        </w:rPr>
        <w:t>To strengthen the base of spinal constructs, spine surgeons have been using longer and larger diameter pedicle screws in iliac and sacro-alar iliac trajectories. Third party data has shown that the use of pedicle screws to anchor to the pelvis has delivered sub-optimal patient outcomes resulting in revision surgeries. Acute set screw failure of sacro-alar iliac screws has been reported in approximately 5% of cases. Screw loosening within the sacrum/ilium is another common failure, occurring in 4-27% of cases and screw fracture has been reported in up to 20% of cases. Building on our experience with the Bedrock technique which we introduced in 2019, we introduced iFuse Bedrock Granite, a novel, patent-protected device designed for the specific demands of the sacro-pelvic anatomy at the end of spinal fusion constructs. We believe there are over 30,000 surgeries involving fixation of five or more spinal segments that involve fixation to the pelvis and an additional 100,000 surgeries involving two to four level spinal segment fixations to the sacrum, which we estimate to be an approximately $1.0 billion aggregate annual market opportunity.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Pelvic Trauma</w:t>
      </w:r>
    </w:p>
    <w:p>
      <w:pPr>
        <w:spacing w:after="0" w:line="25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Current treatment options for pelvic fragility fractures are sub-optimal. Sacroplasty has high rates of cement leakage and therefore lacks consistent coverage by payors. Traditional trauma screws do not integrate with bone and therefore loosen in more than</w:t>
      </w:r>
    </w:p>
    <w:p>
      <w:pPr>
        <w:spacing w:after="0" w:line="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20% of the cases in which they are used. As a result, most patients are prescribed bed-rest, involving significant capacity and financial burdens on the health care system, and a one-year mortality rate range of 14%-27%. With the introduction of iFuse-TORQ in 2021, we are specifically targeting the pelvic trauma market, which we estimate to be an approximately $350 million market opportunity.</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658" w:right="72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Clinical Evidence</w:t>
      </w:r>
    </w:p>
    <w:p>
      <w:pPr>
        <w:spacing w:after="0" w:line="257" w:lineRule="exact"/>
        <w:rPr>
          <w:sz w:val="20"/>
          <w:szCs w:val="20"/>
          <w:color w:val="auto"/>
        </w:rPr>
      </w:pPr>
    </w:p>
    <w:p>
      <w:pPr>
        <w:jc w:val="both"/>
        <w:ind w:right="380" w:firstLine="450"/>
        <w:spacing w:after="0"/>
        <w:rPr>
          <w:sz w:val="20"/>
          <w:szCs w:val="20"/>
          <w:color w:val="auto"/>
        </w:rPr>
      </w:pPr>
      <w:r>
        <w:rPr>
          <w:rFonts w:ascii="Times New Roman" w:cs="Times New Roman" w:eastAsia="Times New Roman" w:hAnsi="Times New Roman"/>
          <w:sz w:val="20"/>
          <w:szCs w:val="20"/>
          <w:color w:val="auto"/>
        </w:rPr>
        <w:t>Our triangular iFuse implants are the only minimally invasive products for sacroiliac joint fusion commercially available in the United States that, to our knowledge, are supported by substantial high-quality published evidence of safety, clinical effectiveness, durability, and economic utility. The safety, effectiveness and cost-effectiveness of our triangular iFuse implants are supported by more than 125 publications and several large prospective clinical studies, including two randomized trials, two large prospective multicenter trials and one long-term follow-up study. Additional long-term independent studies have reported follow-up data as far out as six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Table 1. Summary of SI-BONE sponsored trials.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34290</wp:posOffset>
                </wp:positionV>
                <wp:extent cx="0" cy="172720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0"/>
                        </a:xfrm>
                        <a:prstGeom prst="line">
                          <a:avLst/>
                        </a:prstGeom>
                        <a:solidFill>
                          <a:srgbClr val="FFFFFF"/>
                        </a:solidFill>
                        <a:ln w="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pt" to="0pt,13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885825</wp:posOffset>
                </wp:positionH>
                <wp:positionV relativeFrom="paragraph">
                  <wp:posOffset>34290</wp:posOffset>
                </wp:positionV>
                <wp:extent cx="0" cy="172720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0"/>
                        </a:xfrm>
                        <a:prstGeom prst="line">
                          <a:avLst/>
                        </a:prstGeom>
                        <a:solidFill>
                          <a:srgbClr val="FFFFFF"/>
                        </a:solidFill>
                        <a:ln w="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75pt,2.7pt" to="69.75pt,13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1771650</wp:posOffset>
                </wp:positionH>
                <wp:positionV relativeFrom="paragraph">
                  <wp:posOffset>34290</wp:posOffset>
                </wp:positionV>
                <wp:extent cx="0" cy="172720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0"/>
                        </a:xfrm>
                        <a:prstGeom prst="line">
                          <a:avLst/>
                        </a:prstGeom>
                        <a:solidFill>
                          <a:srgbClr val="FFFFFF"/>
                        </a:solidFill>
                        <a:ln w="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5pt,2.7pt" to="139.5pt,13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2657475</wp:posOffset>
                </wp:positionH>
                <wp:positionV relativeFrom="paragraph">
                  <wp:posOffset>34290</wp:posOffset>
                </wp:positionV>
                <wp:extent cx="0" cy="172720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0"/>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5pt,2.7pt" to="209.25pt,13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3543300</wp:posOffset>
                </wp:positionH>
                <wp:positionV relativeFrom="paragraph">
                  <wp:posOffset>34290</wp:posOffset>
                </wp:positionV>
                <wp:extent cx="0" cy="172720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0"/>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pt,2.7pt" to="279pt,13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34290</wp:posOffset>
                </wp:positionV>
                <wp:extent cx="0" cy="172720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0"/>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7pt" to="348.75pt,13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5314950</wp:posOffset>
                </wp:positionH>
                <wp:positionV relativeFrom="paragraph">
                  <wp:posOffset>34290</wp:posOffset>
                </wp:positionV>
                <wp:extent cx="0" cy="172720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0"/>
                        </a:xfrm>
                        <a:prstGeom prst="line">
                          <a:avLst/>
                        </a:prstGeom>
                        <a:solidFill>
                          <a:srgbClr val="FFFFFF"/>
                        </a:solidFill>
                        <a:ln w="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5pt,2.7pt" to="418.5pt,13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6200775</wp:posOffset>
                </wp:positionH>
                <wp:positionV relativeFrom="paragraph">
                  <wp:posOffset>34290</wp:posOffset>
                </wp:positionV>
                <wp:extent cx="0" cy="172720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0"/>
                        </a:xfrm>
                        <a:prstGeom prst="line">
                          <a:avLst/>
                        </a:prstGeom>
                        <a:solidFill>
                          <a:srgbClr val="FFFFFF"/>
                        </a:solidFill>
                        <a:ln w="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8.25pt,2.7pt" to="488.25pt,13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7086600</wp:posOffset>
                </wp:positionH>
                <wp:positionV relativeFrom="paragraph">
                  <wp:posOffset>34290</wp:posOffset>
                </wp:positionV>
                <wp:extent cx="0" cy="172720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0"/>
                        </a:xfrm>
                        <a:prstGeom prst="line">
                          <a:avLst/>
                        </a:prstGeom>
                        <a:solidFill>
                          <a:srgbClr val="FFFFFF"/>
                        </a:solidFill>
                        <a:ln w="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8pt,2.7pt" to="558pt,138.7pt" o:allowincell="f" strokecolor="#000000" strokeweight="0pt"/>
            </w:pict>
          </mc:Fallback>
        </mc:AlternateConten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99"/>
        </w:trPr>
        <w:tc>
          <w:tcPr>
            <w:tcW w:w="140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Calibri" w:cs="Calibri" w:eastAsia="Calibri" w:hAnsi="Calibri"/>
                <w:sz w:val="20"/>
                <w:szCs w:val="20"/>
                <w:b w:val="1"/>
                <w:bCs w:val="1"/>
                <w:color w:val="auto"/>
              </w:rPr>
              <w:t>Study Name</w:t>
            </w:r>
          </w:p>
        </w:tc>
        <w:tc>
          <w:tcPr>
            <w:tcW w:w="1400" w:type="dxa"/>
            <w:vAlign w:val="bottom"/>
            <w:tcBorders>
              <w:top w:val="single" w:sz="8" w:color="auto"/>
              <w:bottom w:val="single" w:sz="8" w:color="auto"/>
              <w:right w:val="single" w:sz="8" w:color="auto"/>
            </w:tcBorders>
          </w:tcPr>
          <w:p>
            <w:pPr>
              <w:ind w:left="360"/>
              <w:spacing w:after="0"/>
              <w:rPr>
                <w:sz w:val="20"/>
                <w:szCs w:val="20"/>
                <w:color w:val="auto"/>
              </w:rPr>
            </w:pPr>
            <w:r>
              <w:rPr>
                <w:rFonts w:ascii="Calibri" w:cs="Calibri" w:eastAsia="Calibri" w:hAnsi="Calibri"/>
                <w:sz w:val="20"/>
                <w:szCs w:val="20"/>
                <w:b w:val="1"/>
                <w:bCs w:val="1"/>
                <w:color w:val="auto"/>
              </w:rPr>
              <w:t>Implant</w:t>
            </w:r>
          </w:p>
        </w:tc>
        <w:tc>
          <w:tcPr>
            <w:tcW w:w="1400" w:type="dxa"/>
            <w:vAlign w:val="bottom"/>
            <w:tcBorders>
              <w:top w:val="single" w:sz="8" w:color="auto"/>
              <w:bottom w:val="single" w:sz="8" w:color="auto"/>
              <w:right w:val="single" w:sz="8" w:color="auto"/>
            </w:tcBorders>
          </w:tcPr>
          <w:p>
            <w:pPr>
              <w:ind w:left="240"/>
              <w:spacing w:after="0"/>
              <w:rPr>
                <w:sz w:val="20"/>
                <w:szCs w:val="20"/>
                <w:color w:val="auto"/>
              </w:rPr>
            </w:pPr>
            <w:r>
              <w:rPr>
                <w:rFonts w:ascii="Calibri" w:cs="Calibri" w:eastAsia="Calibri" w:hAnsi="Calibri"/>
                <w:sz w:val="20"/>
                <w:szCs w:val="20"/>
                <w:b w:val="1"/>
                <w:bCs w:val="1"/>
                <w:color w:val="auto"/>
              </w:rPr>
              <w:t>Geography</w:t>
            </w:r>
          </w:p>
        </w:tc>
        <w:tc>
          <w:tcPr>
            <w:tcW w:w="1400" w:type="dxa"/>
            <w:vAlign w:val="bottom"/>
            <w:tcBorders>
              <w:top w:val="single" w:sz="8" w:color="auto"/>
              <w:bottom w:val="single" w:sz="8" w:color="auto"/>
              <w:right w:val="single" w:sz="8" w:color="auto"/>
            </w:tcBorders>
          </w:tcPr>
          <w:p>
            <w:pPr>
              <w:ind w:left="220"/>
              <w:spacing w:after="0"/>
              <w:rPr>
                <w:sz w:val="20"/>
                <w:szCs w:val="20"/>
                <w:color w:val="auto"/>
              </w:rPr>
            </w:pPr>
            <w:r>
              <w:rPr>
                <w:rFonts w:ascii="Calibri" w:cs="Calibri" w:eastAsia="Calibri" w:hAnsi="Calibri"/>
                <w:sz w:val="20"/>
                <w:szCs w:val="20"/>
                <w:b w:val="1"/>
                <w:bCs w:val="1"/>
                <w:color w:val="auto"/>
              </w:rPr>
              <w:t>Condition*</w:t>
            </w:r>
          </w:p>
        </w:tc>
        <w:tc>
          <w:tcPr>
            <w:tcW w:w="1380" w:type="dxa"/>
            <w:vAlign w:val="bottom"/>
            <w:tcBorders>
              <w:top w:val="single" w:sz="8" w:color="auto"/>
              <w:bottom w:val="single" w:sz="8" w:color="auto"/>
              <w:right w:val="single" w:sz="8" w:color="auto"/>
            </w:tcBorders>
          </w:tcPr>
          <w:p>
            <w:pPr>
              <w:ind w:left="300"/>
              <w:spacing w:after="0"/>
              <w:rPr>
                <w:sz w:val="20"/>
                <w:szCs w:val="20"/>
                <w:color w:val="auto"/>
              </w:rPr>
            </w:pPr>
            <w:r>
              <w:rPr>
                <w:rFonts w:ascii="Calibri" w:cs="Calibri" w:eastAsia="Calibri" w:hAnsi="Calibri"/>
                <w:sz w:val="20"/>
                <w:szCs w:val="20"/>
                <w:b w:val="1"/>
                <w:bCs w:val="1"/>
                <w:color w:val="auto"/>
              </w:rPr>
              <w:t>Design**</w:t>
            </w:r>
          </w:p>
        </w:tc>
        <w:tc>
          <w:tcPr>
            <w:tcW w:w="1400" w:type="dxa"/>
            <w:vAlign w:val="bottom"/>
            <w:tcBorders>
              <w:top w:val="single" w:sz="8" w:color="auto"/>
              <w:bottom w:val="single" w:sz="8" w:color="auto"/>
              <w:right w:val="single" w:sz="8" w:color="auto"/>
            </w:tcBorders>
          </w:tcPr>
          <w:p>
            <w:pPr>
              <w:ind w:left="200"/>
              <w:spacing w:after="0"/>
              <w:rPr>
                <w:sz w:val="20"/>
                <w:szCs w:val="20"/>
                <w:color w:val="auto"/>
              </w:rPr>
            </w:pPr>
            <w:r>
              <w:rPr>
                <w:rFonts w:ascii="Calibri" w:cs="Calibri" w:eastAsia="Calibri" w:hAnsi="Calibri"/>
                <w:sz w:val="20"/>
                <w:szCs w:val="20"/>
                <w:b w:val="1"/>
                <w:bCs w:val="1"/>
                <w:color w:val="auto"/>
              </w:rPr>
              <w:t>Sample Size</w:t>
            </w:r>
          </w:p>
        </w:tc>
        <w:tc>
          <w:tcPr>
            <w:tcW w:w="1400" w:type="dxa"/>
            <w:vAlign w:val="bottom"/>
            <w:tcBorders>
              <w:top w:val="single" w:sz="8" w:color="auto"/>
              <w:bottom w:val="single" w:sz="8" w:color="auto"/>
              <w:right w:val="single" w:sz="8" w:color="auto"/>
            </w:tcBorders>
          </w:tcPr>
          <w:p>
            <w:pPr>
              <w:ind w:left="280"/>
              <w:spacing w:after="0"/>
              <w:rPr>
                <w:sz w:val="20"/>
                <w:szCs w:val="20"/>
                <w:color w:val="auto"/>
              </w:rPr>
            </w:pPr>
            <w:r>
              <w:rPr>
                <w:rFonts w:ascii="Calibri" w:cs="Calibri" w:eastAsia="Calibri" w:hAnsi="Calibri"/>
                <w:sz w:val="20"/>
                <w:szCs w:val="20"/>
                <w:b w:val="1"/>
                <w:bCs w:val="1"/>
                <w:color w:val="auto"/>
              </w:rPr>
              <w:t>Follow-up</w:t>
            </w:r>
          </w:p>
        </w:tc>
        <w:tc>
          <w:tcPr>
            <w:tcW w:w="1400" w:type="dxa"/>
            <w:vAlign w:val="bottom"/>
            <w:tcBorders>
              <w:top w:val="single" w:sz="8" w:color="auto"/>
              <w:bottom w:val="single" w:sz="8" w:color="auto"/>
              <w:right w:val="single" w:sz="8" w:color="auto"/>
            </w:tcBorders>
          </w:tcPr>
          <w:p>
            <w:pPr>
              <w:ind w:left="420"/>
              <w:spacing w:after="0"/>
              <w:rPr>
                <w:sz w:val="20"/>
                <w:szCs w:val="20"/>
                <w:color w:val="auto"/>
              </w:rPr>
            </w:pPr>
            <w:r>
              <w:rPr>
                <w:rFonts w:ascii="Calibri" w:cs="Calibri" w:eastAsia="Calibri" w:hAnsi="Calibri"/>
                <w:sz w:val="20"/>
                <w:szCs w:val="20"/>
                <w:b w:val="1"/>
                <w:bCs w:val="1"/>
                <w:color w:val="auto"/>
              </w:rPr>
              <w:t>Status</w:t>
            </w:r>
          </w:p>
        </w:tc>
      </w:tr>
      <w:tr>
        <w:trPr>
          <w:trHeight w:val="28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iMIA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iFuse</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EU</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SIJD</w:t>
            </w:r>
          </w:p>
        </w:tc>
        <w:tc>
          <w:tcPr>
            <w:tcW w:w="138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MRCT</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103</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2 years</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Complete</w:t>
            </w:r>
          </w:p>
        </w:tc>
      </w:tr>
      <w:tr>
        <w:trPr>
          <w:trHeight w:val="28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INSITE</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iFuse</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USA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SIJD</w:t>
            </w:r>
          </w:p>
        </w:tc>
        <w:tc>
          <w:tcPr>
            <w:tcW w:w="138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MRCT</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148</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2 years</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Complete</w:t>
            </w:r>
          </w:p>
        </w:tc>
      </w:tr>
      <w:tr>
        <w:trPr>
          <w:trHeight w:val="28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SIFI</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iFuse</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USA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SIJD</w:t>
            </w:r>
          </w:p>
        </w:tc>
        <w:tc>
          <w:tcPr>
            <w:tcW w:w="138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PMSA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172</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2 years</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Complete</w:t>
            </w:r>
          </w:p>
        </w:tc>
      </w:tr>
      <w:tr>
        <w:trPr>
          <w:trHeight w:val="28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LOIS</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iFuse</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USA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SIJD</w:t>
            </w:r>
          </w:p>
        </w:tc>
        <w:tc>
          <w:tcPr>
            <w:tcW w:w="138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PMSA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103</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5 years</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Complete</w:t>
            </w:r>
          </w:p>
        </w:tc>
      </w:tr>
      <w:tr>
        <w:trPr>
          <w:trHeight w:val="28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SALLY</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iFuse-3D</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USA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SIJD</w:t>
            </w:r>
          </w:p>
        </w:tc>
        <w:tc>
          <w:tcPr>
            <w:tcW w:w="138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PMSA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51</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5 years</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Ongoing</w:t>
            </w:r>
          </w:p>
        </w:tc>
      </w:tr>
      <w:tr>
        <w:trPr>
          <w:trHeight w:val="28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SILVIA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iFuse-3D</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USA, EU &amp; AUS</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ASD</w:t>
            </w:r>
          </w:p>
        </w:tc>
        <w:tc>
          <w:tcPr>
            <w:tcW w:w="138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MRCT</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220</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2 years</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Ongoing</w:t>
            </w:r>
          </w:p>
        </w:tc>
      </w:tr>
      <w:tr>
        <w:trPr>
          <w:trHeight w:val="28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SAFFRON</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iFuse-TORQ</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USA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FFP</w:t>
            </w:r>
          </w:p>
        </w:tc>
        <w:tc>
          <w:tcPr>
            <w:tcW w:w="138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MRCT</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120</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1 year</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Enrolling</w:t>
            </w:r>
          </w:p>
        </w:tc>
      </w:tr>
      <w:tr>
        <w:trPr>
          <w:trHeight w:val="28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STACI</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iFuse-TORQ</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USA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SIJD</w:t>
            </w:r>
          </w:p>
        </w:tc>
        <w:tc>
          <w:tcPr>
            <w:tcW w:w="138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PMSA</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110</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2 years</w:t>
            </w:r>
          </w:p>
        </w:tc>
        <w:tc>
          <w:tcPr>
            <w:tcW w:w="140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Enrolling</w:t>
            </w: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*MRCT = multicenter randomized controlled trial; PMSA = prospective, multicenter single-arm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**SIJD = sacroiliac joint dysfunction; ASD = adult spine deformity; FFP = fragility fracture of the pelvis</w:t>
      </w:r>
    </w:p>
    <w:p>
      <w:pPr>
        <w:spacing w:after="0" w:line="324" w:lineRule="exact"/>
        <w:rPr>
          <w:sz w:val="20"/>
          <w:szCs w:val="20"/>
          <w:color w:val="auto"/>
        </w:rPr>
      </w:pPr>
    </w:p>
    <w:p>
      <w:pPr>
        <w:jc w:val="both"/>
        <w:ind w:right="380" w:firstLine="450"/>
        <w:spacing w:after="0"/>
        <w:rPr>
          <w:sz w:val="20"/>
          <w:szCs w:val="20"/>
          <w:color w:val="auto"/>
        </w:rPr>
      </w:pPr>
      <w:r>
        <w:rPr>
          <w:rFonts w:ascii="Times New Roman" w:cs="Times New Roman" w:eastAsia="Times New Roman" w:hAnsi="Times New Roman"/>
          <w:sz w:val="20"/>
          <w:szCs w:val="20"/>
          <w:color w:val="auto"/>
        </w:rPr>
        <w:t>Table 1 summarizes clinical trials sponsored by SI-BONE. 4 studies of iFuse Implant System (INSITE, iMIA, SIFI and LOIS) have been completed. INSITE and iMIA were prospective multicenter, randomized controlled trials conducted in the US and Europe, respectively. In both trials, patients with chronic sacroiliac joint pain were assigned at random to either immediate sacroiliac joint fusion using iFuse implants or individually tailored non-surgical management. In both studies, subjects assigned to sacroiliac joint fusion reported large improvements in pain, disability related to pain and quality of life. In contrast, in subjects assigned to non-surgical management, only small, clinically unimportant improvements in these parameters were observed.</w:t>
      </w:r>
    </w:p>
    <w:p>
      <w:pPr>
        <w:spacing w:after="0" w:line="182" w:lineRule="exact"/>
        <w:rPr>
          <w:sz w:val="20"/>
          <w:szCs w:val="20"/>
          <w:color w:val="auto"/>
        </w:rPr>
      </w:pPr>
    </w:p>
    <w:p>
      <w:pPr>
        <w:jc w:val="both"/>
        <w:ind w:right="380" w:firstLine="450"/>
        <w:spacing w:after="0"/>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b w:val="1"/>
          <w:bCs w:val="1"/>
          <w:i w:val="1"/>
          <w:iCs w:val="1"/>
          <w:color w:val="auto"/>
        </w:rPr>
        <w:t>INSITE</w:t>
      </w:r>
      <w:r>
        <w:rPr>
          <w:rFonts w:ascii="Times New Roman" w:cs="Times New Roman" w:eastAsia="Times New Roman" w:hAnsi="Times New Roman"/>
          <w:sz w:val="20"/>
          <w:szCs w:val="20"/>
          <w:color w:val="auto"/>
        </w:rPr>
        <w:t xml:space="preserve"> (Investigation of Sacroiliac Fusion Treatment), more than 90% of subjects participating in the non-surgical group decided to cross over to sacroiliac joint fusion surgery, indicating that non-surgical treatment provided ineffective relief of pain and disability related to pain. After crossover sacroiliac joint fusion surgery, these subjects reported improvements in pain, disability and quality of life nearly identical to those subjects originally assigned to sacroiliac joint fusion. At two years, patients undergoing sacroiliac joint fusion had sustained improvements in pain, disability and quality of life. Two-year results from INSITE were published in August 2016. Further, an embedded cost-effectiveness analysis within INSITE, published in December 2015, showed the procedure to be highly cost-effective for the treatment of chronic sacroiliac joint pain.</w:t>
      </w:r>
    </w:p>
    <w:p>
      <w:pPr>
        <w:spacing w:after="0" w:line="188" w:lineRule="exact"/>
        <w:rPr>
          <w:sz w:val="20"/>
          <w:szCs w:val="20"/>
          <w:color w:val="auto"/>
        </w:rPr>
      </w:pPr>
    </w:p>
    <w:p>
      <w:pPr>
        <w:jc w:val="both"/>
        <w:ind w:right="380" w:firstLine="450"/>
        <w:spacing w:after="0" w:line="246"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b w:val="1"/>
          <w:bCs w:val="1"/>
          <w:i w:val="1"/>
          <w:iCs w:val="1"/>
          <w:color w:val="auto"/>
        </w:rPr>
        <w:t>iMIA</w:t>
      </w:r>
      <w:r>
        <w:rPr>
          <w:rFonts w:ascii="Times New Roman" w:cs="Times New Roman" w:eastAsia="Times New Roman" w:hAnsi="Times New Roman"/>
          <w:sz w:val="20"/>
          <w:szCs w:val="20"/>
          <w:color w:val="auto"/>
        </w:rPr>
        <w:t xml:space="preserve"> (iFuse Implant System Minimally Invasive Arthrodesis), similar large differences were observed between subjects undergoing sacroiliac joint fusion vs. those undergoing non-surgical management. Similarly, subjects crossing over from non-surgical to surgical treatment showed marked improvements in all parameters assessed. Improvements in pain, disability and quality of life after sacroiliac joint fusion were sustained at two years. Two-year results were published in March 2019.</w:t>
      </w:r>
    </w:p>
    <w:p>
      <w:pPr>
        <w:spacing w:after="0" w:line="183" w:lineRule="exact"/>
        <w:rPr>
          <w:sz w:val="20"/>
          <w:szCs w:val="20"/>
          <w:color w:val="auto"/>
        </w:rPr>
      </w:pPr>
    </w:p>
    <w:p>
      <w:pPr>
        <w:jc w:val="both"/>
        <w:ind w:right="380" w:firstLine="450"/>
        <w:spacing w:after="0" w:line="246"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b w:val="1"/>
          <w:bCs w:val="1"/>
          <w:i w:val="1"/>
          <w:iCs w:val="1"/>
          <w:color w:val="auto"/>
        </w:rPr>
        <w:t>SIFI</w:t>
      </w:r>
      <w:r>
        <w:rPr>
          <w:rFonts w:ascii="Times New Roman" w:cs="Times New Roman" w:eastAsia="Times New Roman" w:hAnsi="Times New Roman"/>
          <w:sz w:val="20"/>
          <w:szCs w:val="20"/>
          <w:color w:val="auto"/>
        </w:rPr>
        <w:t xml:space="preserve"> (Sacroiliac Joint Fusion with iFuse Implant System), patients with chronic sacroiliac joint pain seen at 26 US centers underwent sacroiliac joint fusion using iFuse Implant System. Eligibility criteria were identical to those of INSITE and very similar to those of iMIA. Similar improvement in pain, disability and quality of life were observed throughout study follow-up. Two-year results were published in April 2016.</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In INSITE, iMIA and SIFI, the rate of procedure-related adverse events was low.</w:t>
      </w:r>
    </w:p>
    <w:p>
      <w:pPr>
        <w:spacing w:after="0" w:line="218" w:lineRule="exact"/>
        <w:rPr>
          <w:sz w:val="20"/>
          <w:szCs w:val="20"/>
          <w:color w:val="auto"/>
        </w:rPr>
      </w:pPr>
    </w:p>
    <w:p>
      <w:pPr>
        <w:jc w:val="both"/>
        <w:ind w:right="380" w:firstLine="450"/>
        <w:spacing w:after="0" w:line="243"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b w:val="1"/>
          <w:bCs w:val="1"/>
          <w:i w:val="1"/>
          <w:iCs w:val="1"/>
          <w:color w:val="auto"/>
        </w:rPr>
        <w:t>LOIS</w:t>
      </w:r>
      <w:r>
        <w:rPr>
          <w:rFonts w:ascii="Times New Roman" w:cs="Times New Roman" w:eastAsia="Times New Roman" w:hAnsi="Times New Roman"/>
          <w:sz w:val="20"/>
          <w:szCs w:val="20"/>
          <w:color w:val="auto"/>
        </w:rPr>
        <w:t xml:space="preserve"> (Long term Outcomes of INSITE and SIFI), subjects participating in INSITE and SIFI were enrolled in a long-term follow-up study. Five-year results, published in April 2018, showed sustained improvements in pain, disability and quality of life as well as a high satisfaction rate at 5 years. Moreover, independent radiographic analysis showed a high rate of bony apposition to implants on both the sacral and iliac sides (98%) as well as a high rate of sacroiliac joint fusion (88% bridging bone) at five years. There were no reported adverse events related to the study device or procedure at five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Ongoing studies are as follows.</w:t>
      </w:r>
    </w:p>
    <w:p>
      <w:pPr>
        <w:spacing w:after="0" w:line="218" w:lineRule="exact"/>
        <w:rPr>
          <w:sz w:val="20"/>
          <w:szCs w:val="20"/>
          <w:color w:val="auto"/>
        </w:rPr>
      </w:pPr>
    </w:p>
    <w:p>
      <w:pPr>
        <w:jc w:val="both"/>
        <w:ind w:right="380" w:firstLine="45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SALLY </w:t>
      </w:r>
      <w:r>
        <w:rPr>
          <w:rFonts w:ascii="Times New Roman" w:cs="Times New Roman" w:eastAsia="Times New Roman" w:hAnsi="Times New Roman"/>
          <w:sz w:val="20"/>
          <w:szCs w:val="20"/>
          <w:color w:val="auto"/>
        </w:rPr>
        <w:t>(Study of Bone Growth in the Sacroiliac Joint After Minimally Invasive Surgery with Titanium Implants) is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prospective, multicenter single-arm clinical study of the same patient population (i.e., sacroiliac joint dysfunction) who underwent sacroiliac joint fusion using iFuse-3D. The purpose of the study was to show that the 3D printed version of the device produces results</w:t>
      </w:r>
    </w:p>
    <w:p>
      <w:pPr>
        <w:sectPr>
          <w:pgSz w:w="12240" w:h="15840" w:orient="portrait"/>
          <w:cols w:equalWidth="0" w:num="1">
            <w:col w:w="11180"/>
          </w:cols>
          <w:pgMar w:left="720" w:top="651" w:right="340" w:bottom="0" w:gutter="0" w:footer="0" w:header="0"/>
        </w:sectPr>
      </w:pPr>
    </w:p>
    <w:p>
      <w:pPr>
        <w:spacing w:after="0" w:line="2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1180"/>
          </w:cols>
          <w:pgMar w:left="720" w:top="651" w:right="340" w:bottom="0" w:gutter="0" w:footer="0" w:header="0"/>
          <w:type w:val="continuous"/>
        </w:sectPr>
      </w:pPr>
    </w:p>
    <w:bookmarkStart w:id="9" w:name="page10"/>
    <w:bookmarkEnd w:id="9"/>
    <w:p>
      <w:pPr>
        <w:jc w:val="both"/>
        <w:spacing w:after="0" w:line="244" w:lineRule="auto"/>
        <w:rPr>
          <w:sz w:val="20"/>
          <w:szCs w:val="20"/>
          <w:color w:val="auto"/>
        </w:rPr>
      </w:pPr>
      <w:r>
        <w:rPr>
          <w:rFonts w:ascii="Times New Roman" w:cs="Times New Roman" w:eastAsia="Times New Roman" w:hAnsi="Times New Roman"/>
          <w:sz w:val="20"/>
          <w:szCs w:val="20"/>
          <w:color w:val="auto"/>
        </w:rPr>
        <w:t>similar to prior studies of iFuse. Two-year results, published in June 2021, showed similar improvements in pain, disability and quality of life compared to prior studies of iFuse as well as CT evidence of earlier fusion of the sacroiliac joint. The study also showed marked reduction in opioid use and improvement in objective functional tests. Five year follow-up is starting and expected to be completed in late 2024.</w:t>
      </w:r>
    </w:p>
    <w:p>
      <w:pPr>
        <w:spacing w:after="0" w:line="185" w:lineRule="exact"/>
        <w:rPr>
          <w:sz w:val="20"/>
          <w:szCs w:val="20"/>
          <w:color w:val="auto"/>
        </w:rPr>
      </w:pPr>
    </w:p>
    <w:p>
      <w:pPr>
        <w:jc w:val="both"/>
        <w:ind w:firstLine="45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 xml:space="preserve">SILVIA </w:t>
      </w:r>
      <w:r>
        <w:rPr>
          <w:rFonts w:ascii="Times New Roman" w:cs="Times New Roman" w:eastAsia="Times New Roman" w:hAnsi="Times New Roman"/>
          <w:sz w:val="20"/>
          <w:szCs w:val="20"/>
          <w:color w:val="auto"/>
        </w:rPr>
        <w:t>(sacroiliac joint Stabilization in Long Fusion to the Pelvis: Randomized Controlled Trial) is an ongoing prospective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randomized trial of iFuse-3D placement during multilevel spine fusion with fixation to the pelvis. The target patient population of this trial is patients undergoing multilevel spine fusion surgery primarily for degenerative scoliosis of the spine. All participants undergo pelvic fixation. At random, approximately 50% of participants are assigned to additional placement of iFuse-3D in the sacro-alar-iliac trajectory using the Bedrock technique. The primary endpoint of the study is the incidence of sacroiliac joint pain and/or distal junctional failures. The study aims to show that placement of iFuse-3D in the Bedrock configuration reduces the rate of these outcomes. Early study results, which focused on device placement feasibility and 90-day safety events, have been accepted for publication. They demonstrate the feasibility and safety of pelvic fixation utilizing a sacral-alar-iliac screw combined with iFuse-3D in the bedrock configuration. Additionally, the study reveals that sacroiliac joint pain is common among patients undergoing surgery for adult spine deformity, with a baseline prevalence of 16%. Enrollment in this trial was completed in 2022 and follow-up is ongoing. Long-term results are expected to be completed in 2025.</w:t>
      </w:r>
    </w:p>
    <w:p>
      <w:pPr>
        <w:spacing w:after="0" w:line="19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SAFFRON </w:t>
      </w:r>
      <w:r>
        <w:rPr>
          <w:rFonts w:ascii="Times New Roman" w:cs="Times New Roman" w:eastAsia="Times New Roman" w:hAnsi="Times New Roman"/>
          <w:sz w:val="20"/>
          <w:szCs w:val="20"/>
          <w:color w:val="auto"/>
        </w:rPr>
        <w:t>(Sacral Fracture Fusion/Fixation for Rapid Rehabilitation) is a prospective randomized controlled trial comparing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pelvic fracture fixation and sacroiliac joint fusion using iFuse-TORQ with non-surgical management in patients with debilitating fragility fractures of the sacrum. We anticipate initial results to be available in late 2024.</w:t>
      </w:r>
    </w:p>
    <w:p>
      <w:pPr>
        <w:spacing w:after="0" w:line="178" w:lineRule="exact"/>
        <w:rPr>
          <w:sz w:val="20"/>
          <w:szCs w:val="20"/>
          <w:color w:val="auto"/>
        </w:rPr>
      </w:pPr>
    </w:p>
    <w:p>
      <w:pPr>
        <w:jc w:val="both"/>
        <w:ind w:firstLine="45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STACI </w:t>
      </w:r>
      <w:r>
        <w:rPr>
          <w:rFonts w:ascii="Times New Roman" w:cs="Times New Roman" w:eastAsia="Times New Roman" w:hAnsi="Times New Roman"/>
          <w:sz w:val="20"/>
          <w:szCs w:val="20"/>
          <w:color w:val="auto"/>
        </w:rPr>
        <w:t>(iFuse-TORQ for the treatment of Sacroiliac Joint Dysfunction) is an ongoing prospective, multi-center, single-arm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study. This study will enroll 110 subjects with diagnosed sacroiliac joint dysfunction at 15 U.S. sites. All patients undergo sacroiliac joint fusion using iFuse-TORQ and are followed for two years. The study’s eligibility criteria are similar to those of prior U.S. studies (INSITE, SIFI and SALLY). Like previous studies, STACI endpoints include improvement in pain, disability and quality of life. The study is currently enrolling and early study results are expected to be available in late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Published Clinical Studies</w:t>
      </w:r>
    </w:p>
    <w:p>
      <w:pPr>
        <w:spacing w:after="0" w:line="259" w:lineRule="exact"/>
        <w:rPr>
          <w:sz w:val="20"/>
          <w:szCs w:val="20"/>
          <w:color w:val="auto"/>
        </w:rPr>
      </w:pPr>
    </w:p>
    <w:p>
      <w:pPr>
        <w:jc w:val="both"/>
        <w:ind w:firstLine="450"/>
        <w:spacing w:after="0" w:line="232" w:lineRule="auto"/>
        <w:rPr>
          <w:sz w:val="20"/>
          <w:szCs w:val="20"/>
          <w:color w:val="auto"/>
        </w:rPr>
      </w:pPr>
      <w:r>
        <w:rPr>
          <w:rFonts w:ascii="Times New Roman" w:cs="Times New Roman" w:eastAsia="Times New Roman" w:hAnsi="Times New Roman"/>
          <w:sz w:val="20"/>
          <w:szCs w:val="20"/>
          <w:color w:val="auto"/>
        </w:rPr>
        <w:t>To date, several independent clinical studies have provided evidence to support the long-term safety and effectiveness of iFuse for sacroiliac joint fusion. These studies demonstrated pain reduction and/or ODI improvement that is statistically significant and clinically important and a safety file that was similar to that observed in prospective studies. One study showed marked reduction in opioid use after sacroiliac joint fusion compared to similar subjects who underwent non-surgical treatment, and in whom opioid use increased.</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800"/>
          </w:cols>
          <w:pgMar w:left="720" w:top="658" w:right="72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Coverage and Reimbursement</w:t>
      </w:r>
    </w:p>
    <w:p>
      <w:pPr>
        <w:spacing w:after="0" w:line="231" w:lineRule="exact"/>
        <w:rPr>
          <w:sz w:val="20"/>
          <w:szCs w:val="20"/>
          <w:color w:val="auto"/>
        </w:rPr>
      </w:pPr>
    </w:p>
    <w:p>
      <w:pPr>
        <w:jc w:val="both"/>
        <w:ind w:right="20" w:firstLine="450"/>
        <w:spacing w:after="0" w:line="281" w:lineRule="auto"/>
        <w:rPr>
          <w:sz w:val="20"/>
          <w:szCs w:val="20"/>
          <w:color w:val="auto"/>
        </w:rPr>
      </w:pPr>
      <w:r>
        <w:rPr>
          <w:rFonts w:ascii="Times New Roman" w:cs="Times New Roman" w:eastAsia="Times New Roman" w:hAnsi="Times New Roman"/>
          <w:sz w:val="20"/>
          <w:szCs w:val="20"/>
          <w:color w:val="auto"/>
        </w:rPr>
        <w:t>Coverage and reimbursement for procedures using our implants vary by setting of care, payor type and region. Outside the United States, reimbursement levels vary significantly by country and by region within some countries.</w:t>
      </w:r>
    </w:p>
    <w:p>
      <w:pPr>
        <w:spacing w:after="0" w:line="181"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In addition to coverage policies, third-party payors regularly update reimbursement amounts and sometimes revise the methodologies used to determine reimbursement amounts. This includes annual updates to payments to physicians, hospitals and ambulatory surgical centers for procedures requiring our products.</w:t>
      </w:r>
    </w:p>
    <w:p>
      <w:pPr>
        <w:spacing w:after="0" w:line="195"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Substantially all U.S. payors reimburse for minimally invasive sacroiliac joint fusion when performed using a lateral transfixing device, and a significant number of U.S. payors have issued positive coverage policies exclusive to our patented design of triangular titanium implants for sacroiliac joint fusion because of the clinical evidence. We believe that the coverage and reimbursement for our lateral transfixing procedure under CPT Code 27279 is generally adequate given the time and complexity of our procedures.</w:t>
      </w:r>
    </w:p>
    <w:p>
      <w:pPr>
        <w:spacing w:after="0" w:line="203"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In addition to CPT code 27279, which is typically used to code for the iFuse procedure, effective January 1, 2024, the AMA adopted a separate Category 1 CPT code 27278 to describe minimally invasive sacroiliac fusion when performed using an intra-articular implant, placed directly in the joint generally from a posterior approach. This technique, developed more recently, is more commonly used by interventional spine physicians.</w:t>
      </w:r>
    </w:p>
    <w:p>
      <w:pPr>
        <w:sectPr>
          <w:pgSz w:w="12240" w:h="15840" w:orient="portrait"/>
          <w:cols w:equalWidth="0" w:num="1">
            <w:col w:w="10720"/>
          </w:cols>
          <w:pgMar w:left="720" w:top="29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720"/>
          </w:cols>
          <w:pgMar w:left="720" w:top="291" w:right="80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Healthcare Professional Training and Education</w:t>
      </w:r>
    </w:p>
    <w:p>
      <w:pPr>
        <w:spacing w:after="0" w:line="305"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Since our inception, we have made considerable investments in teaching healthcare professionals to accurately diagnose sacroiliac joint disorders. Our surgeon training programs are for orthopedic spine surgeons, neurosurgeons, general orthopedic surgeons, and orthopedic trauma surgeons. Our medical affairs team works with leading spine surgeons to educate other orthopedic and neurosurgeons on the differential diagnosis of sacroiliac joint disorders and the use of our implants. Our non-surgeon physician training programs focus on interventionalists, who are generally trained as anesthesiologists, interventional radiologists, or physical medicine and rehabilitation specialists. We also work closely with medical specialty societies to raise the awareness of and teach the appropriate diagnosis of sacroiliac joint dysfunction and the associated treatment options.</w:t>
      </w:r>
    </w:p>
    <w:p>
      <w:pPr>
        <w:spacing w:after="0" w:line="210"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We conduct many educational programs for the broader medical community including primary care physicians, pain management physicians and other healthcare practitioners that may manage a sacroiliac joint patient non-surgically, such as physical therapists and chiropractors. Our educational programs focus on helping healthcare professionals learn about the sacroiliac joint as a component of lower back pain, proper diagnosis of sacroiliac joint dysfunction, non-surgical treatment options and surgical treatment with our implants. In addition to these general educational programs, we provide continuing education programs focused on sacroiliac joint diagnosis and treatment. We can provide these programs in all 50 states and the District of Columbia.</w:t>
      </w:r>
    </w:p>
    <w:p>
      <w:pPr>
        <w:spacing w:after="0" w:line="198" w:lineRule="exact"/>
        <w:rPr>
          <w:sz w:val="20"/>
          <w:szCs w:val="20"/>
          <w:color w:val="auto"/>
        </w:rPr>
      </w:pPr>
    </w:p>
    <w:p>
      <w:pPr>
        <w:jc w:val="both"/>
        <w:ind w:firstLine="450"/>
        <w:spacing w:after="0"/>
        <w:rPr>
          <w:sz w:val="20"/>
          <w:szCs w:val="20"/>
          <w:color w:val="auto"/>
        </w:rPr>
      </w:pPr>
      <w:r>
        <w:rPr>
          <w:rFonts w:ascii="Times New Roman" w:cs="Times New Roman" w:eastAsia="Times New Roman" w:hAnsi="Times New Roman"/>
          <w:sz w:val="20"/>
          <w:szCs w:val="20"/>
          <w:color w:val="auto"/>
        </w:rPr>
        <w:t>In early 2020, we implemented a virtual education series for physicians and mid-level practitioners. In July 2020, we began using the SI-BONE SImulator; an innovative, fully portable surgery training simulator. The computer-based surgery training simulator provides quality haptics, or the realistic feel during the physician’s use of the implants and instruments, and the training is performed without need for an operating room or a fluoroscope. The simulator is used to train physicians to perform sacroiliac joint injections, sacroiliac joint fusions, as well as iFuse Bedrock technique using iFuse-3D and iFuse-TORQ, and procedures using iFuse Bedrock Granite. We currently have 25 simulators used worldwide. We utilize the simulators and our existing programs to train new</w:t>
      </w:r>
    </w:p>
    <w:p>
      <w:pPr>
        <w:spacing w:after="0"/>
        <w:rPr>
          <w:sz w:val="20"/>
          <w:szCs w:val="20"/>
          <w:color w:val="auto"/>
        </w:rPr>
      </w:pPr>
      <w:r>
        <w:rPr>
          <w:rFonts w:ascii="Times New Roman" w:cs="Times New Roman" w:eastAsia="Times New Roman" w:hAnsi="Times New Roman"/>
          <w:sz w:val="20"/>
          <w:szCs w:val="20"/>
          <w:color w:val="auto"/>
        </w:rPr>
        <w:t>physicians, increase the knowledge and proficiency of existing iFuse physicians and re-engage inactive physicians.</w:t>
      </w:r>
    </w:p>
    <w:p>
      <w:pPr>
        <w:spacing w:after="0" w:line="243" w:lineRule="exact"/>
        <w:rPr>
          <w:sz w:val="20"/>
          <w:szCs w:val="20"/>
          <w:color w:val="auto"/>
        </w:rPr>
      </w:pPr>
    </w:p>
    <w:p>
      <w:pPr>
        <w:jc w:val="both"/>
        <w:ind w:firstLine="450"/>
        <w:spacing w:after="0" w:line="241" w:lineRule="auto"/>
        <w:rPr>
          <w:sz w:val="20"/>
          <w:szCs w:val="20"/>
          <w:color w:val="auto"/>
        </w:rPr>
      </w:pPr>
      <w:r>
        <w:rPr>
          <w:rFonts w:ascii="Times New Roman" w:cs="Times New Roman" w:eastAsia="Times New Roman" w:hAnsi="Times New Roman"/>
          <w:sz w:val="20"/>
          <w:szCs w:val="20"/>
          <w:color w:val="auto"/>
        </w:rPr>
        <w:t>We are targeting over 12,000 U.S. physicians including over 8,000 orthopedic and neurological surgeons and approximately 4,500 interventional spine physicians, to perform our procedures. As of December 31, 2023 and 2022, in the United States, more than 2,700 physicians and 2,200 physicians, respectively, have been trained on iFuse and have treated at least one patient using iFuse. Outside the United States, as of December 31, 2023 and 2022, more than 900 physicians and 800 physicians, respectively, have been trained on iFuse and have treated at least one patient using iFuse.</w:t>
      </w:r>
    </w:p>
    <w:p>
      <w:pPr>
        <w:sectPr>
          <w:pgSz w:w="12240" w:h="15840" w:orient="portrait"/>
          <w:cols w:equalWidth="0" w:num="1">
            <w:col w:w="10800"/>
          </w:cols>
          <w:pgMar w:left="720" w:top="6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651" w:right="72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57"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We market and sell our implants primarily through a direct sales force and third-party sales agents. Our target customer base includes over 12,000 physicians who perform advanced spinal procedures.</w:t>
      </w:r>
    </w:p>
    <w:p>
      <w:pPr>
        <w:spacing w:after="0" w:line="181"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Our direct sales organization in the United States covered eighteen sales regions as of December 31, 2023. In each region, a number of territory sales managers act as the primary customer contact. Our territory sales managers have extensive training and experience selling medical devices for spine problems and pain management, generally focusing on emerging technologies and markets. For large and/or high volume territories, we also employ territory representatives who cover cases. As of December 31, 2023, our U.S. sales force consisted of 82 territory sales managers and 69 clinical specialists directly employed by us, and 175 third-party sales agents. As of December 31, 2023, we had 28 employees working in our European operations across multiple countries. As of December 31, 2023, our international sales force consisted of 14 sales representatives directly employed by us and 31 third-party sales agents, which together had sales in 38 countries through December 31, 2023. We intend to continue to grow our specialized sales force to foster relationships with physicians and support revenue growth.</w:t>
      </w:r>
    </w:p>
    <w:p>
      <w:pPr>
        <w:spacing w:after="0" w:line="209"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We believe it is essential to raise awareness among lower back pain sufferers that their symptoms may be the result of sacroiliac joint disorders and that minimally invasive surgical treatments are available. To raise patient awareness, we have implemented targeted marketing, education and direct outreach programs. We continually update our social media initiatives and post content to educate and engage patients who may be candidates for our procedures.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81"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remain focused on the development of products and techniques to help physicians improve the treatment of their patients and anticipate continuing to build products and pursue additional indications. Our development team, in consultation with physicians, has a pipeline of products in various stages to provide solutions that respond to the needs of our physician customers and their patients. We plan to seek regulatory clearances for additional indications as required. We anticipate that research and development expenses will continue to increase in the future.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86" w:lineRule="exact"/>
        <w:rPr>
          <w:sz w:val="20"/>
          <w:szCs w:val="20"/>
          <w:color w:val="auto"/>
        </w:rPr>
      </w:pPr>
    </w:p>
    <w:p>
      <w:pPr>
        <w:jc w:val="both"/>
        <w:ind w:firstLine="450"/>
        <w:spacing w:after="0" w:line="237" w:lineRule="auto"/>
        <w:rPr>
          <w:sz w:val="20"/>
          <w:szCs w:val="20"/>
          <w:color w:val="auto"/>
        </w:rPr>
      </w:pPr>
      <w:r>
        <w:rPr>
          <w:rFonts w:ascii="Times New Roman" w:cs="Times New Roman" w:eastAsia="Times New Roman" w:hAnsi="Times New Roman"/>
          <w:sz w:val="20"/>
          <w:szCs w:val="20"/>
          <w:color w:val="auto"/>
        </w:rPr>
        <w:t>We believe we are an industry leader in solving musculoskeletal disorders of the sacropelvic anatomy with our proprietary minimally invasive surgical implant systems. Over the past several years, other companies have subsequently recognized the multi-billion dollar addressable market opportunity and have entered the minimally invasive sacroiliac joint fusion market. We expect more competitors to enter into the market and an increased number of new product introductions by existing competitors. Some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create a barrier to entry for us. For example, some of our competitors offer sacroiliac joint fusion products which integrate with their surgical navigation and robotics platforms, enabling navigation of their procedures or performance of aspects of these procedures by surgical robots. Some of these diversified companies also have much larger sales forces than ours, which allow them to reach more surgeons. Other competitors have entered the market with allograft bone</w:t>
      </w:r>
    </w:p>
    <w:p>
      <w:pPr>
        <w:spacing w:after="0" w:line="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implants marketed as human tissue products and intended for sacroiliac stabilization and/or fusion. Many of these competitors are smaller companies and target interventional pain and other physicians not trained as orthopedic and neurological surgeons for use of these products. We also expect there to be a continued push for non-surgical alternatives.</w:t>
      </w:r>
    </w:p>
    <w:p>
      <w:pPr>
        <w:spacing w:after="0" w:line="17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believe that our largest competitors currently are Globus Medical, Inc. and Medtronic plc. However, these competitors sell screw-based products, which we believe lack the features, evidence and advantages of our implants. We also compete against non-hardware products, such as allograft bone implants. These allograft products comprise human cells or tissues and are generally regulated by the FDA differently from implantable medical devices made of metallic or other non-tissue based materials, unless these competitors' allograft products fail to meet the FDA's criteria for regulation as a human cell or tissue product.</w:t>
      </w:r>
    </w:p>
    <w:p>
      <w:pPr>
        <w:sectPr>
          <w:pgSz w:w="12240" w:h="15840" w:orient="portrait"/>
          <w:cols w:equalWidth="0" w:num="1">
            <w:col w:w="10800"/>
          </w:cols>
          <w:pgMar w:left="720" w:top="6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651" w:right="720" w:bottom="0" w:gutter="0" w:footer="0" w:header="0"/>
          <w:type w:val="continuous"/>
        </w:sectPr>
      </w:pPr>
    </w:p>
    <w:bookmarkStart w:id="13" w:name="page14"/>
    <w:bookmarkEnd w:id="13"/>
    <w:p>
      <w:pPr>
        <w:jc w:val="both"/>
        <w:ind w:firstLine="450"/>
        <w:spacing w:after="0" w:line="237" w:lineRule="auto"/>
        <w:rPr>
          <w:sz w:val="20"/>
          <w:szCs w:val="20"/>
          <w:color w:val="auto"/>
        </w:rPr>
      </w:pPr>
      <w:r>
        <w:rPr>
          <w:rFonts w:ascii="Times New Roman" w:cs="Times New Roman" w:eastAsia="Times New Roman" w:hAnsi="Times New Roman"/>
          <w:sz w:val="20"/>
          <w:szCs w:val="20"/>
          <w:color w:val="auto"/>
        </w:rPr>
        <w:t>Based on our commercial experience and market research, we believe our implants are currently used in the majority of minimally invasive surgical fusions of the sacroiliac joint in the United States. Our triangular titanium implant is differentiated from other screw-based technologies on the market. Our triangular iFuse is the only minimally invasive product for sacroiliac joint fusion commercially available in the United States that, to our knowledge, is supported by published clinical evidence including randomized controlled studies that demonstrate the safety, clinical effectiveness, durability, and economic utility. These benefits are supported by more than 125 published papers. We have received exclusive reimbursement coverage in the United States by certain payors based upon our differentiated product and quality of our evidence. We believe that we have the largest dedicated direct salesforce focused on spinopelvic solutions competing in our segment. We believe these factors provide competitive advantages to us in the market. The following are the primary competitive factors on which companies compete in our industry:</w:t>
      </w:r>
    </w:p>
    <w:p>
      <w:pPr>
        <w:spacing w:after="0" w:line="212" w:lineRule="exact"/>
        <w:rPr>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and clinical procedure effectiveness;</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 of surgical technique and use of associated instruments;</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published clinical outcomes and evidence;</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force effectiveness;</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support and service, and customer service;</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comprehensive training, including disease, anatomy, diagnosis and treatment;</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innovation and the speed of innovation;</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accountability and responsiveness to customers’ demands;</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scientific (biomechanics) data; and</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and reimbursement.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5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protect our intellectual property through our pending patent applications and issued patents. As of December 31, 2023, we had been issued 59 issued U.S. patents and had 34 pending U.S. patent applications, and we owned 18 issued foreign patents and had 22 pending foreign patent applications. We have focused the majority of our foreign patent efforts in China, Europe, and Japan. Our current U.S. patents on the design of our first generation iFuse implant, including its triangular shape, expire in December 2025. Our current U.S. patents on iFuse-3D, including the fenestrated design, expire in September 2035. Our current U.S. patents on the triangular cutting tool used to place our implants expire in February 2034, and our current U.S. patents protecting the design of our iFuse Bedrock Granite implants expire in February 2039. Our foreign patents will expire between August 2025 and September 2035.</w:t>
      </w:r>
    </w:p>
    <w:p>
      <w:pPr>
        <w:spacing w:after="0" w:line="210"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As of December 31, 2023, we have 20 registered trademarks in the United States and have filed for three more. We have sought protection for at least two of these trademarks in 61 countries including the 27 European member countries of the Madrid Protocol.</w:t>
      </w:r>
    </w:p>
    <w:p>
      <w:pPr>
        <w:spacing w:after="0" w:line="181"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agreements.</w:t>
      </w:r>
    </w:p>
    <w:p>
      <w:pPr>
        <w:spacing w:after="0" w:line="204"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that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currently unknown to us, which may later result in issued patents that our existing or future products or proprietary technologies may be alleged and/or found to infringe.</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658" w:right="720" w:bottom="0" w:gutter="0" w:footer="0" w:header="0"/>
          <w:type w:val="continuous"/>
        </w:sectPr>
      </w:pPr>
    </w:p>
    <w:bookmarkStart w:id="14" w:name="page15"/>
    <w:bookmarkEnd w:id="14"/>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720" w:top="658" w:right="72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Domestic Regulation of Our Products and Business</w:t>
      </w:r>
    </w:p>
    <w:p>
      <w:pPr>
        <w:spacing w:after="0" w:line="259" w:lineRule="exact"/>
        <w:rPr>
          <w:sz w:val="20"/>
          <w:szCs w:val="20"/>
          <w:color w:val="auto"/>
        </w:rPr>
      </w:pPr>
    </w:p>
    <w:p>
      <w:pPr>
        <w:jc w:val="both"/>
        <w:ind w:firstLine="450"/>
        <w:spacing w:after="0" w:line="247" w:lineRule="auto"/>
        <w:rPr>
          <w:sz w:val="20"/>
          <w:szCs w:val="20"/>
          <w:color w:val="auto"/>
        </w:rPr>
      </w:pPr>
      <w:r>
        <w:rPr>
          <w:rFonts w:ascii="Times New Roman" w:cs="Times New Roman" w:eastAsia="Times New Roman" w:hAnsi="Times New Roman"/>
          <w:sz w:val="20"/>
          <w:szCs w:val="20"/>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(“FDCA”) as implemented and enforced by the FDA.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97"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There are numerous FDA regulatory requirements governing the clearance or approval and marketing of our products. These include:</w:t>
      </w:r>
    </w:p>
    <w:p>
      <w:pPr>
        <w:spacing w:after="0" w:line="181" w:lineRule="exact"/>
        <w:rPr>
          <w:sz w:val="20"/>
          <w:szCs w:val="20"/>
          <w:color w:val="auto"/>
        </w:rPr>
      </w:pPr>
    </w:p>
    <w:p>
      <w:pPr>
        <w:ind w:left="900" w:hanging="360"/>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listing and establishment registration, which helps facilitate FDA inspections and other regulatory action;</w:t>
      </w:r>
    </w:p>
    <w:p>
      <w:pPr>
        <w:spacing w:after="0" w:line="130" w:lineRule="exact"/>
        <w:rPr>
          <w:rFonts w:ascii="Times New Roman" w:cs="Times New Roman" w:eastAsia="Times New Roman" w:hAnsi="Times New Roman"/>
          <w:sz w:val="20"/>
          <w:szCs w:val="20"/>
          <w:color w:val="auto"/>
        </w:rPr>
      </w:pPr>
    </w:p>
    <w:p>
      <w:pPr>
        <w:jc w:val="both"/>
        <w:ind w:left="900" w:hanging="360"/>
        <w:spacing w:after="0" w:line="266"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investigational device exemptions to conduct premarket clinical trials, which include extensive monitoring, recordkeeping, and reporting requirements in compliance with good clinical practices (“GCP”) and with institutional review board (“IRB”) oversight;</w:t>
      </w:r>
    </w:p>
    <w:p>
      <w:pPr>
        <w:spacing w:after="0" w:line="75" w:lineRule="exact"/>
        <w:rPr>
          <w:rFonts w:ascii="Times New Roman" w:cs="Times New Roman" w:eastAsia="Times New Roman" w:hAnsi="Times New Roman"/>
          <w:sz w:val="20"/>
          <w:szCs w:val="20"/>
          <w:color w:val="auto"/>
        </w:rPr>
      </w:pPr>
    </w:p>
    <w:p>
      <w:pPr>
        <w:jc w:val="both"/>
        <w:ind w:left="900" w:hanging="360"/>
        <w:spacing w:after="0" w:line="266"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Quality System Regulation (“QSR”),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Times New Roman" w:cs="Times New Roman" w:eastAsia="Times New Roman" w:hAnsi="Times New Roman"/>
          <w:sz w:val="20"/>
          <w:szCs w:val="20"/>
          <w:color w:val="auto"/>
        </w:rPr>
      </w:pPr>
    </w:p>
    <w:p>
      <w:pPr>
        <w:ind w:left="900" w:hanging="360"/>
        <w:spacing w:after="0" w:line="281"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labeling regulations and FDA prohibitions against the promotion of products for uncleared, unapproved or off-label use or indication;</w:t>
      </w:r>
    </w:p>
    <w:p>
      <w:pPr>
        <w:spacing w:after="0" w:line="61" w:lineRule="exact"/>
        <w:rPr>
          <w:rFonts w:ascii="Times New Roman" w:cs="Times New Roman" w:eastAsia="Times New Roman" w:hAnsi="Times New Roman"/>
          <w:sz w:val="20"/>
          <w:szCs w:val="20"/>
          <w:color w:val="auto"/>
        </w:rPr>
      </w:pPr>
    </w:p>
    <w:p>
      <w:pPr>
        <w:ind w:left="900" w:hanging="360"/>
        <w:spacing w:after="0" w:line="281"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clearance of product modifications that could significantly affect safety or effectiveness or that would constitute a major change in intended use of one of our cleared devices;</w:t>
      </w:r>
    </w:p>
    <w:p>
      <w:pPr>
        <w:spacing w:after="0" w:line="61"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of product modifications that affect the safety or effectiveness of one of our approved devices;</w:t>
      </w:r>
    </w:p>
    <w:p>
      <w:pPr>
        <w:spacing w:after="0" w:line="130" w:lineRule="exact"/>
        <w:rPr>
          <w:rFonts w:ascii="Times New Roman" w:cs="Times New Roman" w:eastAsia="Times New Roman" w:hAnsi="Times New Roman"/>
          <w:sz w:val="20"/>
          <w:szCs w:val="20"/>
          <w:color w:val="auto"/>
        </w:rPr>
      </w:pPr>
    </w:p>
    <w:p>
      <w:pPr>
        <w:jc w:val="both"/>
        <w:ind w:left="900" w:hanging="360"/>
        <w:spacing w:after="0" w:line="266"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75"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post-approval restrictions or conditions, including post-approval study commitments;</w:t>
      </w:r>
    </w:p>
    <w:p>
      <w:pPr>
        <w:spacing w:after="0" w:line="130" w:lineRule="exact"/>
        <w:rPr>
          <w:rFonts w:ascii="Times New Roman" w:cs="Times New Roman" w:eastAsia="Times New Roman" w:hAnsi="Times New Roman"/>
          <w:sz w:val="20"/>
          <w:szCs w:val="20"/>
          <w:color w:val="auto"/>
        </w:rPr>
      </w:pPr>
    </w:p>
    <w:p>
      <w:pPr>
        <w:ind w:left="900" w:hanging="360"/>
        <w:spacing w:after="0" w:line="281"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post-market surveillance regulations, which apply when necessary to protect the public health or to provide additional safety and effectiveness data for the device;</w:t>
      </w:r>
    </w:p>
    <w:p>
      <w:pPr>
        <w:spacing w:after="0" w:line="61" w:lineRule="exact"/>
        <w:rPr>
          <w:rFonts w:ascii="Times New Roman" w:cs="Times New Roman" w:eastAsia="Times New Roman" w:hAnsi="Times New Roman"/>
          <w:sz w:val="20"/>
          <w:szCs w:val="20"/>
          <w:color w:val="auto"/>
        </w:rPr>
      </w:pPr>
    </w:p>
    <w:p>
      <w:pPr>
        <w:ind w:left="900" w:hanging="360"/>
        <w:spacing w:after="0" w:line="281"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FDA’s recall authority, whereby it can ask, or under certain conditions order, device manufacturers to recall from the market a product that is in violation of governing laws and regulations;</w:t>
      </w:r>
    </w:p>
    <w:p>
      <w:pPr>
        <w:spacing w:after="0" w:line="61"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regulations pertaining to voluntary recalls; and</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of corrections or removals.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Premarket Clearance and Approval Requirements</w:t>
      </w:r>
    </w:p>
    <w:p>
      <w:pPr>
        <w:spacing w:after="0" w:line="24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Unless an exemption applies, each medical device we wish to commercially distribute in the United States will require either premarket notification, or 510(k), clearance or approval of a pre-market approval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w:t>
      </w:r>
    </w:p>
    <w:p>
      <w:pPr>
        <w:spacing w:after="0" w:line="21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ectPr>
          <w:pgSz w:w="12240" w:h="15840" w:orient="portrait"/>
          <w:cols w:equalWidth="0" w:num="1">
            <w:col w:w="10800"/>
          </w:cols>
          <w:pgMar w:left="720" w:top="7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786" w:right="720" w:bottom="0" w:gutter="0" w:footer="0" w:header="0"/>
          <w:type w:val="continuous"/>
        </w:sectPr>
      </w:pPr>
    </w:p>
    <w:bookmarkStart w:id="16" w:name="page17"/>
    <w:bookmarkEnd w:id="16"/>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may place the device, or the particular use of the device, into Class III, and the device sponsor must then fulfill much more rigorous premarketing requirements.</w:t>
      </w:r>
    </w:p>
    <w:p>
      <w:pPr>
        <w:spacing w:after="0" w:line="216"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510(k) Clearance</w:t>
      </w:r>
    </w:p>
    <w:p>
      <w:pPr>
        <w:spacing w:after="0" w:line="25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20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After a device receives 510(k) marketing clearance, any modification that could significantly affect its safety or effectiveness, or that would constitute a major change or modification in its intended use, will require a new 510(k) marketing clearance or, if the modification changes the classification of the product to Class III,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manufacturer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is obtained. The manufacturer may also be subject to significant regulatory fines or penalties.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Human Cell and Tissue Based Products</w:t>
      </w:r>
    </w:p>
    <w:p>
      <w:pPr>
        <w:spacing w:after="0" w:line="249" w:lineRule="exact"/>
        <w:rPr>
          <w:sz w:val="20"/>
          <w:szCs w:val="20"/>
          <w:color w:val="auto"/>
        </w:rPr>
      </w:pPr>
    </w:p>
    <w:p>
      <w:pPr>
        <w:jc w:val="both"/>
        <w:ind w:firstLine="630"/>
        <w:spacing w:after="0" w:line="246" w:lineRule="auto"/>
        <w:rPr>
          <w:sz w:val="20"/>
          <w:szCs w:val="20"/>
          <w:color w:val="auto"/>
        </w:rPr>
      </w:pPr>
      <w:r>
        <w:rPr>
          <w:rFonts w:ascii="Times New Roman" w:cs="Times New Roman" w:eastAsia="Times New Roman" w:hAnsi="Times New Roman"/>
          <w:sz w:val="20"/>
          <w:szCs w:val="20"/>
          <w:color w:val="auto"/>
        </w:rPr>
        <w:t>Our iFuse Bone products are derived from human tissue (demineralized bone tissue). The FDA has specific regulations governing human cells, tissues, and cellular and tissue-based products ("HCT/Ps"). HCT/Ps regulated by the FDA under the authority of section 361 of the Public Health Service Act must be not more than minimally manipulated and be for homologous use. They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 Our bone tissue products are regulated as 361 HCT/Ps.</w:t>
      </w:r>
    </w:p>
    <w:p>
      <w:pPr>
        <w:spacing w:after="0" w:line="19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AATB has issued operating standards for tissue banking. Accreditation is voluntary, but compliance with these standards is a requirement to become an AATB-accredited tissue establishment. In addition, some states have their own tissue banking regulations. As of December 31, 2023, we are licensed or have permits for tissue banking in California and Maryland.</w:t>
      </w:r>
    </w:p>
    <w:p>
      <w:pPr>
        <w:spacing w:after="0" w:line="233"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Procurement of certain human organs and tissue for transplantation is subject to the restrictions of the National Organ Transplant Act (NOTA), which prohibits the transfer of certain human organs, including bone tissue for valuable consideration, but permits reasonable payments associated with removal, transportation, implantation, processing, preservation, quality control and storage.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Pervasive and Continuing Regulation</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After a device is placed on the market, numerous regulatory requirements continue to apply.</w:t>
      </w:r>
    </w:p>
    <w:p>
      <w:pPr>
        <w:sectPr>
          <w:pgSz w:w="12240" w:h="15840" w:orient="portrait"/>
          <w:cols w:equalWidth="0" w:num="1">
            <w:col w:w="10800"/>
          </w:cols>
          <w:pgMar w:left="720" w:top="79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793" w:right="720" w:bottom="0" w:gutter="0" w:footer="0" w:header="0"/>
          <w:type w:val="continuous"/>
        </w:sectPr>
      </w:pPr>
    </w:p>
    <w:bookmarkStart w:id="17" w:name="page18"/>
    <w:bookmarkEnd w:id="17"/>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We have registered our facility with the FDA as a medical device manufacturer. The FDA has broad post-market and regulatory enforcement powers. We are subject to announced and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324" w:lineRule="exact"/>
        <w:rPr>
          <w:sz w:val="20"/>
          <w:szCs w:val="20"/>
          <w:color w:val="auto"/>
        </w:rPr>
      </w:pPr>
    </w:p>
    <w:p>
      <w:pPr>
        <w:ind w:left="900" w:hanging="360"/>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untitled letters, warning letters, fines, injunctions, consent decrees, and civil penalties;</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expenditures to address or defend such actions;</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notifications for repair, replacement, refunds;</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recall, detention or seizure of our products;</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restrictions or partial suspension or total shutdown of production;</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refusing or delaying our requests for 510(k) clearance or PMA approval of new products or modified products;</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restrictions;</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withdrawing 510(k) clearances or PMA approvals that have already been granted;</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grant export approval for our products; or</w:t>
      </w:r>
    </w:p>
    <w:p>
      <w:pPr>
        <w:spacing w:after="0" w:line="130"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prosecution.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Promotional Materials - “Off-Label” Promotion</w:t>
      </w:r>
    </w:p>
    <w:p>
      <w:pPr>
        <w:spacing w:after="0" w:line="25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we could be subject to additional significant penalties, such as exclusion from participation in federal healthcare programs, and our reputation could be damaged and adoption of the products would be impaired.</w:t>
      </w:r>
    </w:p>
    <w:p>
      <w:pPr>
        <w:spacing w:after="0" w:line="209"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In addition, under the federal Lanham Act and similar state laws, competitors, and others can initiate litigation relating to advertising claims.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Regulation of Our Products</w:t>
      </w:r>
    </w:p>
    <w:p>
      <w:pPr>
        <w:spacing w:after="0" w:line="259"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Our research, development and clinical programs, as well as our manufacturing and marketing operations, are subject to extensive regulation in countries outside of the US.</w:t>
      </w:r>
    </w:p>
    <w:p>
      <w:pPr>
        <w:spacing w:after="0" w:line="181"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In the European Economic Area (“EEA”) (comprised of the 27 EU Member States, plus Iceland, Lichtenstein and Norway), Regulation (EU) 2017/745 on Medical Devices, or the Medical Device Regulation (“MDR”) and its associated guidance documents and harmonized standards govern many aspects of the regulation of medical devices. This includes device design and development, preclinical and clinical or performance testing, premarket conformity assessment, registration and listing, manufacturing, labeling, storage, claims, sales and distribution, export and import and post-market surveillance, vigilance, and market surveillance.</w:t>
      </w:r>
    </w:p>
    <w:p>
      <w:pPr>
        <w:spacing w:after="0" w:line="204"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Medical devices must comply with the General Safety and Performance Requirements (“GSPRs”), set out in Annex I to the Medical Device Regulation. Compliance with these requirements is a prerequisite to affixing the CE mark to devices, without which they cannot be marketed or sold in the EEA. To demonstrate compliance with the GSPRs provided in the Medical Device Regulation and obtain the right to affix the CE mark, medical devices manufacturers must conduct a conformity assessment procedure, which varies according to the type of medical device and its classification. Apart from low-risk medical devices (Class I with no measuring function and which are not sterile), in relation to which the manufacturer may issue an EU Declaration of Conformity based on a self-assessment of the conformity of its products with the GSPRs, a conformity assessment procedure requires review by a Notified Body. A Notified Body is an organization designated by a Competent Authority of an EEA country to conduct conformity assessments. Depending on the relevant conformity assessment procedure, the Notified Body audits and examines the technical documentation and the quality system for the manufacture, design and final inspection of the medical device. Following a successful assessment process, the Notified Body issues a CE Certificate of Conformity. This Certificate and completion of the related conformity assessment process</w:t>
      </w:r>
    </w:p>
    <w:p>
      <w:pPr>
        <w:sectPr>
          <w:pgSz w:w="12240" w:h="15840" w:orient="portrait"/>
          <w:cols w:equalWidth="0" w:num="1">
            <w:col w:w="10800"/>
          </w:cols>
          <w:pgMar w:left="720" w:top="793" w:right="720" w:bottom="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793" w:right="720" w:bottom="0" w:gutter="0" w:footer="0" w:header="0"/>
          <w:type w:val="continuous"/>
        </w:sectPr>
      </w:pPr>
    </w:p>
    <w:bookmarkStart w:id="18" w:name="page19"/>
    <w:bookmarkEnd w:id="18"/>
    <w:p>
      <w:pPr>
        <w:jc w:val="both"/>
        <w:spacing w:after="0" w:line="281" w:lineRule="auto"/>
        <w:rPr>
          <w:sz w:val="20"/>
          <w:szCs w:val="20"/>
          <w:color w:val="auto"/>
        </w:rPr>
      </w:pPr>
      <w:r>
        <w:rPr>
          <w:rFonts w:ascii="Times New Roman" w:cs="Times New Roman" w:eastAsia="Times New Roman" w:hAnsi="Times New Roman"/>
          <w:sz w:val="20"/>
          <w:szCs w:val="20"/>
          <w:color w:val="auto"/>
        </w:rPr>
        <w:t>entitles the manufacturer to affix the CE mark to its medical devices after having prepared and signed a related EU Declaration of Conformity.</w:t>
      </w:r>
    </w:p>
    <w:p>
      <w:pPr>
        <w:spacing w:after="0" w:line="181"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As a general rule, demonstration of conformity of medical devices and their manufacturers with the GSPRs must include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investigations conducted on the devices being assessed, (2) scientific literature from similar devices whose equivalence with the assessed device can be demonstrated or (3) both clinical investigations and scientific literature. Moreover, after a device is placed on the market, it remains subject to significant regulatory requirements that must commonly be fulfilled by the manufacturer or on their behalf.</w:t>
      </w:r>
    </w:p>
    <w:p>
      <w:pPr>
        <w:spacing w:after="0" w:line="216"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The Medical Device Regulation includes a number of transitional provisions. Manufacturers of medical devices may only benefit from the transitional provisions if certain conditions are fulfilled.</w:t>
      </w:r>
    </w:p>
    <w:p>
      <w:pPr>
        <w:spacing w:after="0" w:line="181"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The advertising and promotion of medical devices in the EEA is subject to the national laws of the individual EEA countries. Directive 2006/114/EC concerning misleading and comparative advertising, and Directive 2005/29/EC on unfair commercial practices, as well as other national legislation of individual EEA countries govern the advertisement and promotion of medical devices. The national legislation of individual EEA countries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spacing w:after="0" w:line="21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Moreover, outside the United States, interactions between medical device companies and healthcare professionals are also governed by strict laws, such as national anti-bribery laws of EEA countries, national sunshine rules, regulations, industry self-regulation codes of conduct and physicians’ codes of professional conduct.</w:t>
      </w:r>
    </w:p>
    <w:p>
      <w:pPr>
        <w:spacing w:after="0" w:line="195"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In the UK, medical devices are governed by the Medical Device Regulations (UK MDR) 2002, as amended. In light of the fact that the CE Marking process discussed above is set out in EU law, which no longer applies in the United Kingdom, the United Kingdom has devised a new route to market culminating in a UKCA Mark to replace the CE Mark. The UK Government has established transitional provision to recognize the acceptance of CE marked medical devices on the Great Britain market.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Status</w:t>
      </w:r>
    </w:p>
    <w:p>
      <w:pPr>
        <w:spacing w:after="0" w:line="25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In November 2008, we received 510(k) clearance to market our first generation iFuse implant from the FDA. Since 2008, we have received additional FDA 510(k) clearances for new instruments, additional implant sizes and labeling changes. In the United States, our first-generation iFuse implants and our iFuse-3D implants are intended for sacroiliac fusion for the following conditions: sacroiliac joint dysfunction that is a direct result of sacroiliac joint disruptions and degenerative sacroiliitis, which includes conditions where symptoms began during pregnancy or in the peripartum period and have persisted postpartum for more than six months; to augment immobilization and stabilization of the sacroiliac joint in skeletally mature patients undergoing sacropelvic fixation as part of a lumbar or thoracolumbar fusion; and acute, non-acute, and non-traumatic fractures involving the sacroiliac joint.</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In February 2021, we received 510(k) clearance to market our iFuse-TORQ from the FDA.</w:t>
      </w:r>
    </w:p>
    <w:p>
      <w:pPr>
        <w:spacing w:after="0" w:line="250"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In June 2022, we received an additional 510(k) clearance from the FDA to extend the use of iFuse-TORQ to include fragility fractures. This clearance opens a new population that can benefit from sacroiliac joint fusion and fracture fixation using iFuse-TORQ.</w:t>
      </w:r>
    </w:p>
    <w:p>
      <w:pPr>
        <w:spacing w:after="0" w:line="181"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In September 2022, we received 510(k) clearance from the FDA for use of iFuse-TORQ using the Bedrock technique. This clearance allows us to promote the use of a threaded implant (iFuse-TORQ) in a trajectory that is familiar to surgeons through a previous clearance for the same use for iFuse-3D. In the United States, the iFuse TORQ Implant System is indicated for sacroiliac joint fusion for:</w:t>
      </w:r>
    </w:p>
    <w:p>
      <w:pPr>
        <w:spacing w:after="0" w:line="203" w:lineRule="exact"/>
        <w:rPr>
          <w:sz w:val="20"/>
          <w:szCs w:val="20"/>
          <w:color w:val="auto"/>
        </w:rPr>
      </w:pPr>
    </w:p>
    <w:p>
      <w:pPr>
        <w:ind w:left="720" w:hanging="270"/>
        <w:spacing w:after="0"/>
        <w:tabs>
          <w:tab w:leader="none" w:pos="72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Sacroiliac joint dysfunction including sacroiliac joint disruption and degenerative sacroiliitis.</w:t>
      </w:r>
    </w:p>
    <w:p>
      <w:pPr>
        <w:spacing w:after="0" w:line="250" w:lineRule="exact"/>
        <w:rPr>
          <w:rFonts w:ascii="Times New Roman" w:cs="Times New Roman" w:eastAsia="Times New Roman" w:hAnsi="Times New Roman"/>
          <w:sz w:val="20"/>
          <w:szCs w:val="20"/>
          <w:color w:val="auto"/>
        </w:rPr>
      </w:pPr>
    </w:p>
    <w:p>
      <w:pPr>
        <w:ind w:left="720" w:hanging="360"/>
        <w:spacing w:after="0" w:line="254"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Augmenting immobilization and stabilization of the sacroiliac joint in skeletally mature patients undergoing sacropelvic fixation as part of a lumbar or thoracolumbar fusion.</w:t>
      </w:r>
    </w:p>
    <w:p>
      <w:pPr>
        <w:sectPr>
          <w:pgSz w:w="12240" w:h="15840" w:orient="portrait"/>
          <w:cols w:equalWidth="0" w:num="1">
            <w:col w:w="10800"/>
          </w:cols>
          <w:pgMar w:left="720" w:top="79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793" w:right="720" w:bottom="0" w:gutter="0" w:footer="0" w:header="0"/>
          <w:type w:val="continuous"/>
        </w:sectPr>
      </w:pPr>
    </w:p>
    <w:bookmarkStart w:id="19" w:name="page20"/>
    <w:bookmarkEnd w:id="19"/>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The iFuse TORQ Implant System is also indicated for fracture fixation of the pelvis, including acute, non-acute and non-traumatic fractures.</w:t>
      </w:r>
    </w:p>
    <w:p>
      <w:pPr>
        <w:spacing w:after="0" w:line="155" w:lineRule="exact"/>
        <w:rPr>
          <w:sz w:val="20"/>
          <w:szCs w:val="20"/>
          <w:color w:val="auto"/>
        </w:rPr>
      </w:pPr>
    </w:p>
    <w:p>
      <w:pPr>
        <w:jc w:val="both"/>
        <w:ind w:firstLine="450"/>
        <w:spacing w:after="0" w:line="232" w:lineRule="auto"/>
        <w:rPr>
          <w:sz w:val="20"/>
          <w:szCs w:val="20"/>
          <w:color w:val="auto"/>
        </w:rPr>
      </w:pPr>
      <w:r>
        <w:rPr>
          <w:rFonts w:ascii="Times New Roman" w:cs="Times New Roman" w:eastAsia="Times New Roman" w:hAnsi="Times New Roman"/>
          <w:sz w:val="20"/>
          <w:szCs w:val="20"/>
          <w:color w:val="auto"/>
        </w:rPr>
        <w:t>In May 2022, we received 510(k) clearance from the FDA for iFuse Bedrock Granite. This implant combines benefits of a pelvic fixation screw with attachment to posterior rods of pedicle screw systems and simultaneous fusion of the sacroiliac joint related to the device’s porous surface. This device previously received breakthrough device designation from the FDA in November 2021. The combination of breakthrough designation and FDA clearance allowed us to obtain a new technology add-on payment (NTAP) from CMS. NTAP provides an additional payment to hospitals for eligible cases that use iFuse Bedrock Granite.</w:t>
      </w:r>
    </w:p>
    <w:p>
      <w:pPr>
        <w:spacing w:after="0" w:line="172" w:lineRule="exact"/>
        <w:rPr>
          <w:sz w:val="20"/>
          <w:szCs w:val="20"/>
          <w:color w:val="auto"/>
        </w:rPr>
      </w:pPr>
    </w:p>
    <w:p>
      <w:pPr>
        <w:jc w:val="both"/>
        <w:ind w:firstLine="450"/>
        <w:spacing w:after="0" w:line="235" w:lineRule="auto"/>
        <w:rPr>
          <w:sz w:val="20"/>
          <w:szCs w:val="20"/>
          <w:color w:val="auto"/>
        </w:rPr>
      </w:pPr>
      <w:r>
        <w:rPr>
          <w:rFonts w:ascii="Times New Roman" w:cs="Times New Roman" w:eastAsia="Times New Roman" w:hAnsi="Times New Roman"/>
          <w:sz w:val="20"/>
          <w:szCs w:val="20"/>
          <w:color w:val="auto"/>
        </w:rPr>
        <w:t>In June 2023, we received 510(k) clearance from the FDA for iFuse-TORQ placement in the posterolateral or lateral oblique trajectory. The most recent FDA 510(k) premarket clearance was received in January 2024 for the iFuse Bedrock Granite® Implant System in a smaller (9.5 mm) diameter with both an expanded indication in pediatric patients, and an expanded application that includes use in the S1 trajectory.</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In the future, we plan to pursue additional 510(k) clearances for new products and changes to the current indication for iFuse.</w:t>
      </w:r>
    </w:p>
    <w:p>
      <w:pPr>
        <w:spacing w:after="0" w:line="224"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In November 2010, we obtained a CE Certificate of Conformity from our Notified Body (DEKRA) and affixed a CE mark to our iFuse Implant System in accordance with the MDD to allow commercialization of our triangular iFuse implants in the EEA. In the EEA and Switzerland, iFuse is intended for sacroiliac joint fusion, including use in high and low energy fractures of the pelvic ring. Since 2010, we have renewed our Certificates, added additional instruments, implant sizes and labeling updates and iFuse-3D, our second generation iFuse implant, to our product offerings in the EEA. We plan to continue to work with our Notified Body to update our Technical Files and incorporate updates to our products in the EEA in accordance with applicable legislative requirements.</w:t>
      </w:r>
    </w:p>
    <w:p>
      <w:pPr>
        <w:spacing w:after="0" w:line="20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In 2021, a UK Responsible Person was appointed and we registered the iFuse Implant System with the Medicines and Healthcare products regulatory agency. We rely on our CE marks to continue to place our devices on the market in Great Britain until the requirement to obtain a UK Conformity Assessed (UKCA) mark applies to our devices.</w:t>
      </w:r>
    </w:p>
    <w:p>
      <w:pPr>
        <w:spacing w:after="0" w:line="195"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As of May 26, 2021, the European Union no longer applies the Mutual Recognition Agreement between the EEA and Switzerland. However, Switzerland continues to recognize marked medical devices CE marked in accordance with the relevant EU legislation. As a result, we rely on our CE mark to continue to place our devices on the market in Switzerland.. Manufacturers based outside of Switzerland are required to appoint a Swiss authorized representative in compliance with the Swiss Medical Device Ordinance. As a consequence, we have appointed an authorized representative in Switzerland and continue to work to meet Swiss requirements for the import of medical devices.</w:t>
      </w:r>
    </w:p>
    <w:p>
      <w:pPr>
        <w:spacing w:after="0" w:line="2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20"/>
          <w:szCs w:val="20"/>
          <w:color w:val="auto"/>
        </w:rPr>
        <w:t>In 2022, we began the effort of obtaining approval for iFuse and iFuse-3D under EU MDR. As of December 2023, our quality system received MDR approval under ISO 13485:2016. We are awaiting issuance of our MDR Certificates of Conformity for the iFuse-3D implants.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We maintain approval for iFuse in regions beyond the United States and the EEA, including Australia, New Zealand, and Israel.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Regulations</w:t>
      </w:r>
    </w:p>
    <w:p>
      <w:pPr>
        <w:spacing w:after="0" w:line="259"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We outsource substantially all the manufacturing of our products, therefore we have not incurred significant expenses relating to our compliance with federal, state, or local environmental laws and do not expect to incur significant expenses in the foreseeable future. However, due to the nature of our operations and the frequently changing nature of environmental compliance standards and technology, we cannot predict with any certainty that future material capital or operating expenditures will not be required in order to comply with applicable environmental laws and regulations.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Healthcare Fraud and Abuse</w:t>
      </w:r>
    </w:p>
    <w:p>
      <w:pPr>
        <w:spacing w:after="0" w:line="257"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purchasers and prescribers of our products. Federal healthcare fraud and abuse laws apply to our business when a customer submits a claim for an item or service that is reimbursable under Medicare, Medicaid, or other federally funded healthcare programs. The laws that may affect our ability to operate include:</w:t>
      </w:r>
    </w:p>
    <w:p>
      <w:pPr>
        <w:spacing w:after="0" w:line="208" w:lineRule="exact"/>
        <w:rPr>
          <w:sz w:val="20"/>
          <w:szCs w:val="20"/>
          <w:color w:val="auto"/>
        </w:rPr>
      </w:pPr>
    </w:p>
    <w:p>
      <w:pPr>
        <w:jc w:val="both"/>
        <w:ind w:left="720" w:hanging="360"/>
        <w:spacing w:after="0" w:line="266"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lease, order, arrangement for, or recommendation of, items or services for which payment</w:t>
      </w:r>
    </w:p>
    <w:p>
      <w:pPr>
        <w:sectPr>
          <w:pgSz w:w="12240" w:h="15840" w:orient="portrait"/>
          <w:cols w:equalWidth="0" w:num="1">
            <w:col w:w="10800"/>
          </w:cols>
          <w:pgMar w:left="720" w:top="793" w:right="72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793" w:right="720" w:bottom="0" w:gutter="0" w:footer="0" w:header="0"/>
          <w:type w:val="continuous"/>
        </w:sectPr>
      </w:pPr>
    </w:p>
    <w:bookmarkStart w:id="20" w:name="page21"/>
    <w:bookmarkEnd w:id="20"/>
    <w:p>
      <w:pPr>
        <w:jc w:val="both"/>
        <w:ind w:left="720"/>
        <w:spacing w:after="0" w:line="266" w:lineRule="auto"/>
        <w:rPr>
          <w:sz w:val="20"/>
          <w:szCs w:val="20"/>
          <w:color w:val="auto"/>
        </w:rPr>
      </w:pPr>
      <w:r>
        <w:rPr>
          <w:rFonts w:ascii="Times New Roman" w:cs="Times New Roman" w:eastAsia="Times New Roman" w:hAnsi="Times New Roman"/>
          <w:sz w:val="20"/>
          <w:szCs w:val="20"/>
          <w:color w:val="auto"/>
        </w:rPr>
        <w:t>may be made, in whole or in part, under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or a specific intent to violate, the law;</w:t>
      </w:r>
    </w:p>
    <w:p>
      <w:pPr>
        <w:spacing w:after="0" w:line="195" w:lineRule="exact"/>
        <w:rPr>
          <w:sz w:val="20"/>
          <w:szCs w:val="20"/>
          <w:color w:val="auto"/>
        </w:rPr>
      </w:pPr>
    </w:p>
    <w:p>
      <w:pPr>
        <w:jc w:val="both"/>
        <w:ind w:left="720" w:hanging="360"/>
        <w:spacing w:after="0" w:line="254"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federal civil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Actions under the False Claims Act may be brought by the government or as a </w:t>
      </w:r>
      <w:r>
        <w:rPr>
          <w:rFonts w:ascii="Times New Roman" w:cs="Times New Roman" w:eastAsia="Times New Roman" w:hAnsi="Times New Roman"/>
          <w:sz w:val="20"/>
          <w:szCs w:val="20"/>
          <w:b w:val="1"/>
          <w:bCs w:val="1"/>
          <w:i w:val="1"/>
          <w:iCs w:val="1"/>
          <w:color w:val="auto"/>
        </w:rPr>
        <w:t>qui tam</w:t>
      </w:r>
      <w:r>
        <w:rPr>
          <w:rFonts w:ascii="Times New Roman" w:cs="Times New Roman" w:eastAsia="Times New Roman" w:hAnsi="Times New Roman"/>
          <w:sz w:val="20"/>
          <w:szCs w:val="20"/>
          <w:color w:val="auto"/>
        </w:rPr>
        <w:t xml:space="preserve"> action by a private individual in the name of the government and to share in any monetary recovery. There are also criminal penalties for making or presenting a false or fictitious or fraudulent claim to the federal government;</w:t>
      </w:r>
    </w:p>
    <w:p>
      <w:pPr>
        <w:spacing w:after="0" w:line="212" w:lineRule="exact"/>
        <w:rPr>
          <w:rFonts w:ascii="Times New Roman" w:cs="Times New Roman" w:eastAsia="Times New Roman" w:hAnsi="Times New Roman"/>
          <w:sz w:val="20"/>
          <w:szCs w:val="20"/>
          <w:color w:val="auto"/>
        </w:rPr>
      </w:pPr>
    </w:p>
    <w:p>
      <w:pPr>
        <w:jc w:val="both"/>
        <w:ind w:left="720" w:hanging="360"/>
        <w:spacing w:after="0" w:line="256"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208" w:lineRule="exact"/>
        <w:rPr>
          <w:rFonts w:ascii="Times New Roman" w:cs="Times New Roman" w:eastAsia="Times New Roman" w:hAnsi="Times New Roman"/>
          <w:sz w:val="20"/>
          <w:szCs w:val="20"/>
          <w:color w:val="auto"/>
        </w:rPr>
      </w:pPr>
    </w:p>
    <w:p>
      <w:pPr>
        <w:jc w:val="both"/>
        <w:ind w:left="720" w:hanging="360"/>
        <w:spacing w:after="0" w:line="238"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Payment Sunshine Act, implemented by the Centers for Medicare &amp; Medicaid Services (“CMS”) as the Open Payments program, which requires manufacturers of drugs, devices, biologics and medical supplies for which payment is available under Medicare, Medicaid, or the Children’s Health Insurance Program to report annually to the CMS, information related to payments and other “transfers of value” made to physicians (currently defined to include doctors, dentists, optometrists, podiatrists and chiropractors), other healthcare professionals (including physician assistants and nurse practitioners), and teaching hospitals, and requires applicable manufacturers to report annually to CMS ownership and investment interests held by physicians and their immediate family members and payments or other “transfers of value” to such physician owners;</w:t>
      </w:r>
    </w:p>
    <w:p>
      <w:pPr>
        <w:spacing w:after="0" w:line="207" w:lineRule="exact"/>
        <w:rPr>
          <w:rFonts w:ascii="Times New Roman" w:cs="Times New Roman" w:eastAsia="Times New Roman" w:hAnsi="Times New Roman"/>
          <w:sz w:val="20"/>
          <w:szCs w:val="20"/>
          <w:color w:val="auto"/>
        </w:rPr>
      </w:pPr>
    </w:p>
    <w:p>
      <w:pPr>
        <w:jc w:val="both"/>
        <w:ind w:left="720" w:hanging="360"/>
        <w:spacing w:after="0" w:line="254"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law equivalents of each of the above federal laws, such as anti-kickback and false claims laws, which may apply to items or services reimbursed by any third-party payor, including commercial insurers and patients; state and foreign laws that require device companies to comply with the industry’s voluntary compliance guidelines and the applicable compliance guidance promulgated by the government or otherwise restrict payments that may be made to healthcare providers and other potential referral sources; state and foreign beneficiary inducement laws, and state and foreign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213" w:lineRule="exact"/>
        <w:rPr>
          <w:sz w:val="20"/>
          <w:szCs w:val="20"/>
          <w:color w:val="auto"/>
        </w:rPr>
      </w:pPr>
    </w:p>
    <w:p>
      <w:pPr>
        <w:ind w:firstLine="450"/>
        <w:spacing w:after="0" w:line="238" w:lineRule="auto"/>
        <w:rPr>
          <w:sz w:val="20"/>
          <w:szCs w:val="20"/>
          <w:color w:val="auto"/>
        </w:rPr>
      </w:pPr>
      <w:r>
        <w:rPr>
          <w:rFonts w:ascii="Times New Roman" w:cs="Times New Roman" w:eastAsia="Times New Roman" w:hAnsi="Times New Roman"/>
          <w:sz w:val="20"/>
          <w:szCs w:val="20"/>
          <w:color w:val="auto"/>
        </w:rPr>
        <w:t>If we or our employees are found to have violated any of the above laws we may be subject to significant administrative, civil and criminal penalties, including imprisonment, exclusion from participation in federal health care programs, such as Medicare and Medicaid, and equivalents foreign penalties, significant fines, monetary penalties and damages, the restructuring or curtailment of our operations, imposition of compliance obligations and monitoring, and damage to our reputation. For a more detailed description of the federal and state health care fraud and abuse laws, see the risk factor “We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in the Risks Related to Our Legal and Regulatory Environment section of Item 1A of this Annual Report on Form 10-K.</w:t>
      </w:r>
    </w:p>
    <w:p>
      <w:pPr>
        <w:spacing w:after="0" w:line="208"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The U.S. Foreign Corrupt Practices Act (“FCPA”) and similar anti-bribery laws in other countries, such as the United Kingdom Bribery Act (“UKBA”), generally prohibit companies and their intermediaries from making improper payments to government officials and/or other persons for the purpose of obtaining or retaining business. Our policies mandate compliance with these anti-bribery laws.</w:t>
      </w:r>
    </w:p>
    <w:p>
      <w:pPr>
        <w:spacing w:after="0" w:line="203" w:lineRule="exact"/>
        <w:rPr>
          <w:sz w:val="20"/>
          <w:szCs w:val="20"/>
          <w:color w:val="auto"/>
        </w:rPr>
      </w:pPr>
    </w:p>
    <w:p>
      <w:pPr>
        <w:jc w:val="both"/>
        <w:ind w:firstLine="450"/>
        <w:spacing w:after="0" w:line="250" w:lineRule="auto"/>
        <w:rPr>
          <w:sz w:val="20"/>
          <w:szCs w:val="20"/>
          <w:color w:val="auto"/>
        </w:rPr>
      </w:pPr>
      <w:r>
        <w:rPr>
          <w:rFonts w:ascii="Times New Roman" w:cs="Times New Roman" w:eastAsia="Times New Roman" w:hAnsi="Times New Roman"/>
          <w:sz w:val="20"/>
          <w:szCs w:val="20"/>
          <w:color w:val="auto"/>
        </w:rPr>
        <w:t>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and Security Laws</w:t>
      </w:r>
    </w:p>
    <w:p>
      <w:pPr>
        <w:sectPr>
          <w:pgSz w:w="12240" w:h="15840" w:orient="portrait"/>
          <w:cols w:equalWidth="0" w:num="1">
            <w:col w:w="10800"/>
          </w:cols>
          <w:pgMar w:left="720" w:top="79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793" w:right="720" w:bottom="0" w:gutter="0" w:footer="0" w:header="0"/>
          <w:type w:val="continuous"/>
        </w:sectPr>
      </w:pPr>
    </w:p>
    <w:bookmarkStart w:id="21" w:name="page22"/>
    <w:bookmarkEnd w:id="21"/>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In the ordinary course of our business, we may process personal or sensitive data. Accordingly, we are, or may become, subject to numerous data privacy and security obligations, including federal, state, local, and foreign laws, regulations, guidance, and industry standards related to data privacy and security. Such obligations may include, without limitation, the European Union’s General Data Protection Regulation 2016/679 (“EU GDPR”), the EU GDPR as it forms part of United Kingdom (“UK”) law by virtue of section 3 of the European Union (Withdrawal) Act 2018 (“UK GDPR”), and the ePrivacy Directive. Several states within the United States have enacted or proposed data privacy laws. For example, California passed the California Consumer Privacy Act of 2018, as amended by the California Privacy Rights Act of 2020 (“CPRA”) (collectively, “CCPA”). Virginia passed the Consumer Data Protection Act, and Colorado passed the Colorado Privacy Act.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spacing w:after="0" w:line="21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The CCPA and EU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In addition, the CPRA expanded the CCPA by giving California residents the ability to limit use of certain sensitive personal data, establishing restrictions on personal data retention, expanding the types of data breaches that are subject to the CCPA’s private right of action, and establishing a new California Privacy Protection Agency to implement and enforce the new law. Foreign data privacy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spacing w:after="0" w:line="21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the Health Insurance Portability and Accountability Act, and its implementing regulations, as amended by Health Information Technology for Economic and Clinical Health Act enacted under the American Recovery and Reinvestment Act 2009 (collectively, “HIPAA”), in the United States.</w:t>
      </w:r>
    </w:p>
    <w:p>
      <w:pPr>
        <w:spacing w:after="0" w:line="204" w:lineRule="exact"/>
        <w:rPr>
          <w:sz w:val="20"/>
          <w:szCs w:val="20"/>
          <w:color w:val="auto"/>
        </w:rPr>
      </w:pPr>
    </w:p>
    <w:p>
      <w:pPr>
        <w:jc w:val="both"/>
        <w:ind w:firstLine="450"/>
        <w:spacing w:after="0" w:line="243" w:lineRule="auto"/>
        <w:rPr>
          <w:sz w:val="20"/>
          <w:szCs w:val="20"/>
          <w:color w:val="auto"/>
        </w:rPr>
      </w:pPr>
      <w:r>
        <w:rPr>
          <w:rFonts w:ascii="Times New Roman" w:cs="Times New Roman" w:eastAsia="Times New Roman" w:hAnsi="Times New Roman"/>
          <w:sz w:val="20"/>
          <w:szCs w:val="20"/>
          <w:color w:val="auto"/>
        </w:rPr>
        <w:t>HIPAA imposes obligations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HIPAA also requires the notification of patients, reporting to the U.S. Department of Health and Human Services (“HHS”), and other compliance actions, in the event of a breach of unsecured Protected Health Information (“PHI”). Required notification must be provided without unreasonable delay and in no event later than 60 calendar days after discovery of the breach, under HIPAA. In addition, if the PHI of 500 or more individuals is improperly used or disclosed, HHS would post the notification on its website, and we may be required to notify the media. Failure to comply with the HIPAA privacy and security standards can result in significant civil monetary penalties, and, in certain circumstances, criminal penalties, including imprisonment.</w:t>
      </w:r>
    </w:p>
    <w:p>
      <w:pPr>
        <w:spacing w:after="0" w:line="211" w:lineRule="exact"/>
        <w:rPr>
          <w:sz w:val="20"/>
          <w:szCs w:val="20"/>
          <w:color w:val="auto"/>
        </w:rPr>
      </w:pPr>
    </w:p>
    <w:p>
      <w:pPr>
        <w:jc w:val="both"/>
        <w:ind w:firstLine="503"/>
        <w:spacing w:after="0" w:line="256" w:lineRule="auto"/>
        <w:rPr>
          <w:sz w:val="20"/>
          <w:szCs w:val="20"/>
          <w:color w:val="auto"/>
        </w:rPr>
      </w:pPr>
      <w:r>
        <w:rPr>
          <w:rFonts w:ascii="Times New Roman" w:cs="Times New Roman" w:eastAsia="Times New Roman" w:hAnsi="Times New Roman"/>
          <w:sz w:val="20"/>
          <w:szCs w:val="20"/>
          <w:color w:val="auto"/>
        </w:rPr>
        <w:t>In addition, even when HIPAA does not apply other federal and state laws impose security obligations. For example, according to the Federal Trade Commission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ectPr>
          <w:pgSz w:w="12240" w:h="15840" w:orient="portrait"/>
          <w:cols w:equalWidth="0" w:num="1">
            <w:col w:w="10800"/>
          </w:cols>
          <w:pgMar w:left="720" w:top="79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20" w:top="793" w:right="72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Manufacturing and Supply</w:t>
      </w:r>
    </w:p>
    <w:p>
      <w:pPr>
        <w:spacing w:after="0" w:line="25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use third-party manufacturers to produce our implants and instruments. To mitigate supply risk, we use a rolling twelve month forecast and take into consideration production lead times to maintain adequate levels of inventory for our iFuse-3D, iFuse-TORQ and iFuse Bedrock Granite implants. Most of our instruments have secondary manufacturing suppliers and we continually work with additional manufacturers as our secondary suppliers. Substantially all of our products, including all of our implants, are manufactured in the United States.</w:t>
      </w:r>
    </w:p>
    <w:p>
      <w:pPr>
        <w:spacing w:after="0" w:line="204"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Our supplier for iFuse-3D and iFuse-TORQ is rms Company ("RMS"). We entered into an exclusive Manufacture and Supply Agreement with RMS in February 2024 (the "Manufacture and Supply Agreement") which supersedes and replaces our prior Manufacturing, Quality and Supply Agreement with RMS. Pursuant to the Manufacture and Supply Agreement, RMS manufactures certain of our implants in accordance with our specifications. The agreement provides us with the right to quality alternative sources from whom we may purchase products in the event of a supply failure by RMS. The prices we pay for products are fixed under the agreement through 2026. The agreement has a three-year initial term and automatically renews for successive one-year periods; provided, however, the agreement may be terminated early by either party, as specified in the agreement. RMS is currently our only supplier of iFuse-3D and iFuse-TORQ implants.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iFuse Bedrock Granite implant is manufactured and assembled by third-party suppliers, including RMS.</w:t>
      </w:r>
    </w:p>
    <w:p>
      <w:pPr>
        <w:spacing w:after="0" w:line="250"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We believe that our manufacturing operations, and those of our suppliers, comply with regulations mandated by the FDA and the EU. Manufacturing facilities that produce medical devices or component parts intended for distribution world-wide are subject to regulation and periodic planned and unannounced inspection by the FDA and other domestic and foreign regulatory authorities as well as Notified Bodies.</w:t>
      </w:r>
    </w:p>
    <w:p>
      <w:pPr>
        <w:spacing w:after="0" w:line="203" w:lineRule="exact"/>
        <w:rPr>
          <w:sz w:val="20"/>
          <w:szCs w:val="20"/>
          <w:color w:val="auto"/>
        </w:rPr>
      </w:pPr>
    </w:p>
    <w:p>
      <w:pPr>
        <w:jc w:val="both"/>
        <w:ind w:firstLine="450"/>
        <w:spacing w:after="0" w:line="238" w:lineRule="auto"/>
        <w:rPr>
          <w:sz w:val="20"/>
          <w:szCs w:val="20"/>
          <w:color w:val="auto"/>
        </w:rPr>
      </w:pPr>
      <w:r>
        <w:rPr>
          <w:rFonts w:ascii="Times New Roman" w:cs="Times New Roman" w:eastAsia="Times New Roman" w:hAnsi="Times New Roman"/>
          <w:sz w:val="20"/>
          <w:szCs w:val="20"/>
          <w:color w:val="auto"/>
        </w:rPr>
        <w:t>In the United States, products we sell are required to be manufactured in compliance with the FDA's Quality System Regulation, codified at 21 CFR Part 820, which covers the methods used in, and the facilities used for, the design, testing, control, manufacturing, labeling, quality assurance, packaging, storage, and shipping. In international markets, we are required to comply with similar requirements. Our status in FDA’s Establishment Registration and Device Listing is active and we also maintain the Medical Device Manufacturing License issued by the State of California’s Department of Public Health Food and Drug Branch. In the EEA, we are required to comply with Quality Management System (“QMS”) requirements established in EU medical device legislation. To demonstrate compliance with these requirements, we obtain and maintain ISO13485:2016 Quality Management System certification for our locations in Santa Clara, California, and Gallarate Italy, issued by DEKRA Certification, B.V.</w:t>
      </w:r>
    </w:p>
    <w:p>
      <w:pPr>
        <w:spacing w:after="0" w:line="208"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We obtain and maintain appropriate CE Certificates of Conformity delivered by our Notified Body, DEKRA, for any medical devices we placed on the EU market in accordance with applicable EU medical device legislation.</w:t>
      </w:r>
    </w:p>
    <w:p>
      <w:pPr>
        <w:spacing w:after="0" w:line="181"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are required to demonstrate continuing compliance with applicable requirements to maintain these certifications and CE Certificates of Conformity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EU regulatory requirements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or renewing regulatory approvals or CE Certificates of Conformity, recalls, enforcement actions, including injunctive relief or consent decrees, or other consequences, which could, in turn, have a material adverse effect on our financial condition or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Liability and Insurance</w:t>
      </w:r>
    </w:p>
    <w:p>
      <w:pPr>
        <w:spacing w:after="0" w:line="257"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203"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ectPr>
          <w:pgSz w:w="12240" w:h="15840" w:orient="portrait"/>
          <w:cols w:equalWidth="0" w:num="1">
            <w:col w:w="10800"/>
          </w:cols>
          <w:pgMar w:left="720" w:top="6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651" w:right="720" w:bottom="0" w:gutter="0" w:footer="0" w:header="0"/>
          <w:type w:val="continuous"/>
        </w:sectPr>
      </w:pPr>
    </w:p>
    <w:bookmarkStart w:id="23" w:name="page24"/>
    <w:bookmarkEnd w:id="23"/>
    <w:p>
      <w:pPr>
        <w:jc w:val="both"/>
        <w:ind w:firstLine="495"/>
        <w:spacing w:after="0" w:line="249" w:lineRule="auto"/>
        <w:rPr>
          <w:sz w:val="20"/>
          <w:szCs w:val="20"/>
          <w:color w:val="auto"/>
        </w:rPr>
      </w:pPr>
      <w:r>
        <w:rPr>
          <w:rFonts w:ascii="Times New Roman" w:cs="Times New Roman" w:eastAsia="Times New Roman" w:hAnsi="Times New Roman"/>
          <w:sz w:val="20"/>
          <w:szCs w:val="20"/>
          <w:color w:val="auto"/>
        </w:rPr>
        <w:t>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wellness programs.</w:t>
      </w:r>
    </w:p>
    <w:p>
      <w:pPr>
        <w:spacing w:after="0" w:line="196"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In addition to ensuring workforce diversity and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w:t>
      </w:r>
    </w:p>
    <w:p>
      <w:pPr>
        <w:spacing w:after="0" w:line="204"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In 2023,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w:t>
      </w:r>
    </w:p>
    <w:p>
      <w:pPr>
        <w:spacing w:after="0" w:line="195" w:lineRule="exact"/>
        <w:rPr>
          <w:sz w:val="20"/>
          <w:szCs w:val="20"/>
          <w:color w:val="auto"/>
        </w:rPr>
      </w:pPr>
    </w:p>
    <w:p>
      <w:pPr>
        <w:jc w:val="both"/>
        <w:ind w:firstLine="495"/>
        <w:spacing w:after="0" w:line="281" w:lineRule="auto"/>
        <w:rPr>
          <w:sz w:val="20"/>
          <w:szCs w:val="20"/>
          <w:color w:val="auto"/>
        </w:rPr>
      </w:pPr>
      <w:r>
        <w:rPr>
          <w:rFonts w:ascii="Times New Roman" w:cs="Times New Roman" w:eastAsia="Times New Roman" w:hAnsi="Times New Roman"/>
          <w:sz w:val="20"/>
          <w:szCs w:val="20"/>
          <w:color w:val="auto"/>
        </w:rPr>
        <w:t>We maintain a commitment to employee retention by leveraging insights from exit interviews and engagement surveys to continuously enhance the workplace experience.</w:t>
      </w:r>
    </w:p>
    <w:p>
      <w:pPr>
        <w:spacing w:after="0" w:line="171"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As of December 31, 2023, we had 344 employees, including sales and marketing, product development, general administrative and accounting, both domestically and internationally. As of December 31, 2023, we had a direct field sales organization of 151 in the United States and 14 in Europe. During 2023, our voluntary attrition rate was approximately 10%.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and Inclusion</w:t>
      </w:r>
    </w:p>
    <w:p>
      <w:pPr>
        <w:spacing w:after="0" w:line="285" w:lineRule="exact"/>
        <w:rPr>
          <w:sz w:val="20"/>
          <w:szCs w:val="20"/>
          <w:color w:val="auto"/>
        </w:rPr>
      </w:pPr>
    </w:p>
    <w:p>
      <w:pPr>
        <w:jc w:val="both"/>
        <w:ind w:firstLine="450"/>
        <w:spacing w:after="0" w:line="247" w:lineRule="auto"/>
        <w:rPr>
          <w:sz w:val="20"/>
          <w:szCs w:val="20"/>
          <w:color w:val="auto"/>
        </w:rPr>
      </w:pPr>
      <w:r>
        <w:rPr>
          <w:rFonts w:ascii="Times New Roman" w:cs="Times New Roman" w:eastAsia="Times New Roman" w:hAnsi="Times New Roman"/>
          <w:sz w:val="20"/>
          <w:szCs w:val="20"/>
          <w:color w:val="auto"/>
        </w:rPr>
        <w:t>To realize our mission and vision, we are committed to actively fostering workforce diversity and an environment of cultural inclusion throughout the company. We maintain a Diversity and Inclusion Plan which is overseen by our Nominating and Corporate Governance Committee. Our program goal is to promote diversity, inclusion, equal employment opportunities, and a work environment free of harassment and hostility. Accordingly, we track and report annually to the Board of Directors the gender, ethnicity, disability, and protected veteran status among our U.S. workforce.</w:t>
      </w:r>
    </w:p>
    <w:p>
      <w:pPr>
        <w:spacing w:after="0" w:line="19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aim to maintain a mix of backgrounds, skills, and experiences in our board composition to understand and reflect the needs of our diverse stakeholders. Currently, four of our nine board members are women and two of our board members self-identify as Asian American.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Workplace Health and Safety</w:t>
      </w:r>
    </w:p>
    <w:p>
      <w:pPr>
        <w:spacing w:after="0" w:line="25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The health and safety of our employees is a priority in which we have always invested and intend to continue to do. Following the pandemic, we have implemented health and safety measures that include maximizing personal workspaces, providing personal protective equipment and holding on-site vaccinations events.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59"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We provide competitive compensation and benefits programs to help meet the needs of our employees. In addition to base compensation, these programs, which vary by country, include annual bonuses, restricted stock unit awards, an Employee Stock Purchase Plan, 401(k), health and wellness benefits, health savings and flexible spending accounts, paid time off, family leave, paid parental leave, flexible work schedules, and others.</w:t>
      </w:r>
    </w:p>
    <w:p>
      <w:pPr>
        <w:spacing w:after="0" w:line="20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Our employees and their families have access to a variety of innovative, flexible, and convenient health and wellness programs. These benefits are intended to provide protection and security, so employees can have peace of mind concerning events that may require time away from work or that may impact their financial well-being. Additionally, we offer programs to help support employee physical and mental health and offer choices where possible, so they are customized to meet their needs and the needs of their families.</w:t>
      </w:r>
    </w:p>
    <w:p>
      <w:pPr>
        <w:spacing w:after="0" w:line="204"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Ensuring fair and equitable pay is integral to our commitment to our employees. Our executive team and Board of Directors strongly support this commitment. On an ongoing basis we monitor pay equity to identify any pay disparities and then to determine appropriate adjustments.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Learning and Talent Development</w:t>
      </w:r>
    </w:p>
    <w:p>
      <w:pPr>
        <w:sectPr>
          <w:pgSz w:w="12240" w:h="15840" w:orient="portrait"/>
          <w:cols w:equalWidth="0" w:num="1">
            <w:col w:w="10800"/>
          </w:cols>
          <w:pgMar w:left="720" w:top="11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1186" w:right="720" w:bottom="0" w:gutter="0" w:footer="0" w:header="0"/>
          <w:type w:val="continuous"/>
        </w:sectPr>
      </w:pPr>
    </w:p>
    <w:bookmarkStart w:id="24" w:name="page25"/>
    <w:bookmarkEnd w:id="24"/>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We value our employees and the passion, commitment, and professional expertise they provide. To enhance employee retention and job satisfaction, we offer ongoing learning and leadership training opportunities that support growth and development.</w:t>
      </w:r>
    </w:p>
    <w:p>
      <w:pPr>
        <w:spacing w:after="0" w:line="181" w:lineRule="exact"/>
        <w:rPr>
          <w:sz w:val="20"/>
          <w:szCs w:val="20"/>
          <w:color w:val="auto"/>
        </w:rPr>
      </w:pPr>
    </w:p>
    <w:p>
      <w:pPr>
        <w:jc w:val="both"/>
        <w:ind w:firstLine="450"/>
        <w:spacing w:after="0" w:line="278" w:lineRule="auto"/>
        <w:rPr>
          <w:sz w:val="20"/>
          <w:szCs w:val="20"/>
          <w:color w:val="auto"/>
        </w:rPr>
      </w:pPr>
      <w:r>
        <w:rPr>
          <w:rFonts w:ascii="Times New Roman" w:cs="Times New Roman" w:eastAsia="Times New Roman" w:hAnsi="Times New Roman"/>
          <w:sz w:val="19"/>
          <w:szCs w:val="19"/>
          <w:color w:val="auto"/>
        </w:rPr>
        <w:t>We also regularly evaluate our workforce and plan to address key skill and leadership gaps through a talent management process. In 2022, we implemented a new career development program which includes a formalized framework that reflects how an employee can advance their career within the company. This provides many benefits including clarity, structure, and direction for employees and managers for career advancement and their future at SI-BONE which increases employee motivation, engagement, and retention.</w:t>
      </w:r>
    </w:p>
    <w:p>
      <w:pPr>
        <w:spacing w:after="0" w:line="18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We have a robust annual performance review process for reviewing employees’ performance and compensation. To support our managers, we train them on conducting effective performance reviews and making compensation recommendations, which take into consideration external and internal benchmarks and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Engagement</w:t>
      </w:r>
    </w:p>
    <w:p>
      <w:pPr>
        <w:spacing w:after="0" w:line="25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believe that building connections between our employees, their families, and our communities creates a more meaningful and fulfilling workplace. Through our engagement programs, our employees can pursue their interests and connect to volunteering and giving opportunities. On an ongoing basis we sponsor philanthropic and volunteer events in which our employees can participate. During 2023, we organized employee cash donations to food banks to support the neediest individuals in San Francisco Bay Area communities.</w:t>
      </w:r>
    </w:p>
    <w:p>
      <w:pPr>
        <w:spacing w:after="0" w:line="204"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We encourage you to review our ESG Shareholder Letter in the Governance Documents of the Corporate Governance section of our Investor website for more detailed information regarding our human capital programs and initiatives. Nothing on our website, including our ESG Shareholder Letter, shall be deemed part of or incorporated by reference into this Annual Report.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History</w:t>
      </w:r>
    </w:p>
    <w:p>
      <w:pPr>
        <w:spacing w:after="0" w:line="257"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SI-BONE was founded in 2008 by the principal inventor of the iFuse triangle, orthopedist Mark A. Reiley, M.D., our current Chairman of the Board, Jeffrey W. Dunn, and orthopedic surgeon Leonard Rudolf, M.D.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57" w:lineRule="exact"/>
        <w:rPr>
          <w:sz w:val="20"/>
          <w:szCs w:val="20"/>
          <w:color w:val="auto"/>
        </w:rPr>
      </w:pPr>
    </w:p>
    <w:p>
      <w:pPr>
        <w:jc w:val="both"/>
        <w:ind w:firstLine="450"/>
        <w:spacing w:after="0" w:line="287" w:lineRule="auto"/>
        <w:rPr>
          <w:sz w:val="20"/>
          <w:szCs w:val="20"/>
          <w:color w:val="auto"/>
        </w:rPr>
      </w:pPr>
      <w:r>
        <w:rPr>
          <w:rFonts w:ascii="Times New Roman" w:cs="Times New Roman" w:eastAsia="Times New Roman" w:hAnsi="Times New Roman"/>
          <w:sz w:val="20"/>
          <w:szCs w:val="20"/>
          <w:color w:val="auto"/>
        </w:rPr>
        <w:t xml:space="preserve">We were incorporated in March 2008 in Delaware. Our principal executive offices are located at 471 El Camino Real, Suite 101, Santa Clara, California 95050 and our telephone number is (408) 207-0700. Our website address is </w:t>
      </w:r>
      <w:r>
        <w:rPr>
          <w:rFonts w:ascii="Times New Roman" w:cs="Times New Roman" w:eastAsia="Times New Roman" w:hAnsi="Times New Roman"/>
          <w:sz w:val="20"/>
          <w:szCs w:val="20"/>
          <w:u w:val="single" w:color="auto"/>
          <w:color w:val="auto"/>
        </w:rPr>
        <w:t>www.si-bone.com</w:t>
      </w:r>
      <w:r>
        <w:rPr>
          <w:rFonts w:ascii="Times New Roman" w:cs="Times New Roman" w:eastAsia="Times New Roman" w:hAnsi="Times New Roman"/>
          <w:sz w:val="20"/>
          <w:szCs w:val="20"/>
          <w:color w:val="auto"/>
          <w:highlight w:val="white"/>
        </w:rPr>
        <w:t>. We completed</w:t>
      </w:r>
      <w:r>
        <w:rPr>
          <w:rFonts w:ascii="Times New Roman" w:cs="Times New Roman" w:eastAsia="Times New Roman" w:hAnsi="Times New Roman"/>
          <w:sz w:val="20"/>
          <w:szCs w:val="20"/>
          <w:color w:val="auto"/>
        </w:rPr>
        <w:t xml:space="preserve"> our initial public offering in October 2018, and our common stock is listed on the Nasdaq Global Market under the symbol “SIBN.”</w:t>
      </w:r>
    </w:p>
    <w:p>
      <w:pPr>
        <w:spacing w:after="0" w:line="195"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658" w:right="72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3"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Investing in our common stock involves a high degree of risk. Investors should carefully consider the risks described below, as well as the other information in this Annual Report on Form 10-K,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Our Industry</w:t>
      </w:r>
    </w:p>
    <w:p>
      <w:pPr>
        <w:spacing w:after="0" w:line="2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7"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We have incurred net losses since our inception in 2008. For the years ended December 31, 2023 and 2022, we had net losses of $43.3 million and $61.3 million, respectively. As of December 31, 2023, we had an accumulated deficit of $400.4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217" w:lineRule="exact"/>
        <w:rPr>
          <w:sz w:val="20"/>
          <w:szCs w:val="20"/>
          <w:color w:val="auto"/>
        </w:rPr>
      </w:pPr>
    </w:p>
    <w:p>
      <w:pPr>
        <w:jc w:val="both"/>
        <w:ind w:firstLine="495"/>
        <w:spacing w:after="0" w:line="236" w:lineRule="auto"/>
        <w:rPr>
          <w:sz w:val="20"/>
          <w:szCs w:val="20"/>
          <w:color w:val="auto"/>
        </w:rPr>
      </w:pPr>
      <w:r>
        <w:rPr>
          <w:rFonts w:ascii="Times New Roman" w:cs="Times New Roman" w:eastAsia="Times New Roman" w:hAnsi="Times New Roman"/>
          <w:sz w:val="20"/>
          <w:szCs w:val="20"/>
          <w:color w:val="auto"/>
        </w:rPr>
        <w:t>Our expected future capital requirements depend on many factors including expanding our physician base, the expansion of our sales force, investment in implants and instruments,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The capital markets have deteriorated substantially since the beginning of 2022, especially with respect to securities issued by companies in the medical device and technology sectors. Equity and debt capital have become substantially more expensive and difficult to raise on attractive terms.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19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Prolonged inflation and supply chain disruptions could result in delayed product launches, lost revenue, higher costs and decreased profit margins.</w:t>
      </w:r>
    </w:p>
    <w:p>
      <w:pPr>
        <w:spacing w:after="0" w:line="178" w:lineRule="exact"/>
        <w:rPr>
          <w:sz w:val="20"/>
          <w:szCs w:val="20"/>
          <w:color w:val="auto"/>
        </w:rPr>
      </w:pPr>
    </w:p>
    <w:p>
      <w:pPr>
        <w:jc w:val="both"/>
        <w:ind w:firstLine="443"/>
        <w:spacing w:after="0" w:line="242" w:lineRule="auto"/>
        <w:rPr>
          <w:sz w:val="20"/>
          <w:szCs w:val="20"/>
          <w:color w:val="auto"/>
        </w:rPr>
      </w:pPr>
      <w:r>
        <w:rPr>
          <w:rFonts w:ascii="Times New Roman" w:cs="Times New Roman" w:eastAsia="Times New Roman" w:hAnsi="Times New Roman"/>
          <w:sz w:val="20"/>
          <w:szCs w:val="20"/>
          <w:color w:val="auto"/>
        </w:rPr>
        <w:t>A majority of our products are manufactured and sold inside of the United States, which increases our exposure to domestic inflation and fuel price increases. Recent inflationary pressures have resulted in increased fuel, raw materials and other costs which, if they continue for a prolonged period, may adversely affect our results of operations. We have experienced shortages in certain raw materials and component inputs of our products, primarily surgical instruments, as suppliers have been unable to meet delivery schedules due to excess demand and labor shortages, and lead times have lengthened throughout our supply chain. Our efforts to mitigate supply chain weaknesses may not be successful or may have unfavorable effects. For example, efforts to purchase raw materials in advance for product manufacturing may result in increased storage costs or excess supply. If our costs rise due to continuing significant inflationary pressures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w:t>
      </w:r>
    </w:p>
    <w:p>
      <w:pPr>
        <w:sectPr>
          <w:pgSz w:w="12240" w:h="15840" w:orient="portrait"/>
          <w:cols w:equalWidth="0" w:num="1">
            <w:col w:w="10800"/>
          </w:cols>
          <w:pgMar w:left="720" w:top="1151" w:right="72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1151" w:right="720" w:bottom="0" w:gutter="0" w:footer="0" w:header="0"/>
          <w:type w:val="continuous"/>
        </w:sectPr>
      </w:pPr>
    </w:p>
    <w:bookmarkStart w:id="26" w:name="page27"/>
    <w:bookmarkEnd w:id="26"/>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78"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 effective manner. A reduction or interruption in the supply of materials or components used in manufacturing our products, such as due to one or more suppliers experiencing reductions in operations and/or worker absences due to health epidemics, an inability to timely develop and validate alternative sources if required, or a significant increase in the price of such materials or components, such as that caused by inflation and rising interest rates,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These geopolitical events and related factors and results, including related sanctions, may negatively impact the ability of our suppliers’ third-party supply sources to timely supply titanium to our suppliers and may increase or result in additional costs to us.</w:t>
      </w:r>
    </w:p>
    <w:p>
      <w:pPr>
        <w:spacing w:after="0" w:line="215" w:lineRule="exact"/>
        <w:rPr>
          <w:sz w:val="20"/>
          <w:szCs w:val="20"/>
          <w:color w:val="auto"/>
        </w:rPr>
      </w:pPr>
    </w:p>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health epidemics, we may be unable to transition to other contract sterilizers, sterilizer locations or sterilization methods in a timely or cost effective manner or at all, which could have a material impact on our results of operations and financial condition.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hospitals, physicians,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198"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physicians, and other healthcare providers that purchase or use medical devices generally rely on third-party payors to pay for all or part of the costs and fees associated with the procedures performed with these devices. When a procedure using our implants is performed, both the physicians and the healthcare facility, either a hospital or ambulatory surgical center, submit claims for reimbursement to the healthcare payor. We may be unable to sell our products on a profitable basis if third-party payors deny coverage, or if reimbursement levels are insufficient to support use of our products by healthcare facilities or to compensate physicians for their time spent diagnosing patients and performing procedures using our products. Even if favorable coverage and reimbursement status is attained for procedures using our implants, less favorable coverage policies and reimbursement rates may be implemented in the future.</w:t>
      </w:r>
    </w:p>
    <w:p>
      <w:pPr>
        <w:spacing w:after="0" w:line="211"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While all Medicare Administrative Contractors are regularly reimbursing for minimally invasive sacroiliac joint fusion utilizing laterally placed transfixing devices, a small number of private payors still have policies that treat the procedure as experimental or investigational and do not regularly reimburse for the procedure.</w:t>
      </w:r>
    </w:p>
    <w:p>
      <w:pPr>
        <w:spacing w:after="0" w:line="197"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The American Medical Association (AMA) develops and maintains Current Procedural Terminology (“CPT”) codes that are used by third-party payors to determine the amount of reimbursement that a healthcare provider and facility will receive for a particular service. CPT codes are divided into three categories: Category I codes represent existing services or procedures that are widely used. Category II codes are supplemental tracking codes, and Category III codes are temporary codes that represent new technologies, services, and procedures. A Category III code does not have a payment rate established and reimbursement is at the payor’s discretion.</w:t>
      </w:r>
    </w:p>
    <w:p>
      <w:pPr>
        <w:spacing w:after="0" w:line="206"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CPT Code 27279, which describes minimally invasive surgical fusion of the sacroiliac joint performed with our laterally placed transfixing iFuse implants, is a Category I CPT code. This CPT code has been clarified to describe procedures in which implants pass through the ilium, go across the sacroiliac joint, and into the sacrum (transfixation). As the number of products and surgical procedures to address sacroiliac joint dysfunction has expanded and diversified, certain medical societies requested that the AMA create additional codes representing some of these newer, and different procedures utilizing non-transfixing technologies. Effective January 1, 2024, the AMA CPT Editorial panel adopted an additional Category I code, CPT Code 27278, to describe procedures using intra-articular, non-transfixing implants, including bone allograft products and/or metal plugs. Effective January 1, 2024, the Medicare physician fee reimbursement for minimally invasive fusion with our laterally placed transfixing iFuse implants, described as CPT Code 27279, is $791; and for our intra-articular non-transfixing iFuse implants, described as CPT 27278, the Medicare physician fee is $459 when performed in the facility setting, and $11,934 when performed in the physician office (e.g., office-based lab) setting. Minimally invasive sacroiliac fusion performed with a transfixing device is not eligible for the office-based lab site-of-service and there is therefore no corresponding value for office-based reimbursement for CPT Code 27279.</w:t>
      </w:r>
    </w:p>
    <w:p>
      <w:pPr>
        <w:sectPr>
          <w:pgSz w:w="12240" w:h="15840" w:orient="portrait"/>
          <w:cols w:equalWidth="0" w:num="1">
            <w:col w:w="10800"/>
          </w:cols>
          <w:pgMar w:left="720" w:top="649" w:right="72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649" w:right="720" w:bottom="0" w:gutter="0" w:footer="0" w:header="0"/>
          <w:type w:val="continuous"/>
        </w:sectPr>
      </w:pPr>
    </w:p>
    <w:bookmarkStart w:id="27" w:name="page28"/>
    <w:bookmarkEnd w:id="27"/>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Commercial payors generally set their physician fee reimbursement with reference to Medicare reimbursement rates. We believe that some physicians may continue to view the Medicare and commercial reimbursement amounts as insufficient for the lateral procedure described by CPT Code 27279, given the work effort involved with the procedure, including the time to diagnose the patient and obtain prior authorization from the patient’s health insurer if necessary. We believe that some private payors apply their own coverage policies and criteria inconsistently, and physicians may not be able to consistently have minimally invasive sacroiliac fusion procedures utilizing laterally placed transfixing devices approved and covered. The perception by physicians performing the lateral procedure described by CPT Code 27279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 If the levels of reimbursement for, and consistency of coverage associated with, procedures performed with our medical devices under CPT Code 27279 decreases as a result of or in connection with these coding changes, it could make the procedures in which our implants are used less attractive to healthcare professionals, decreasing the number of devices we are able to sell and adversely affecting our business, results of operations and financial condition.</w:t>
      </w:r>
    </w:p>
    <w:p>
      <w:pPr>
        <w:spacing w:after="0" w:line="215"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Medicare Administrative Contractors have not yet fully evaluated the evidence for CPT 27278 procedures and may engage in reviews of the evidence and coverage advisory activities which may lead to revising or adding Local Coverage Determinations and Coverage Articles, which may limit or qualify their coverage of them. Private payors evaluating these procedures may decide not to cover them until more evidence is developed. We do not yet have sufficient experience with the new reimbursement rates for CPT Code 27278 to determine if physicians will judge the reimbursement rates for that procedure to be sufficient and the impact this will have on demand for the products used in these procedures.</w:t>
      </w:r>
    </w:p>
    <w:p>
      <w:pPr>
        <w:spacing w:after="0" w:line="206"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Future action by the Centers for Medicare and Medicaid Services (“CMS”) or third-party payors may reduce the availability of payments to physicians, outpatient surgery centers, and/or hospitals for procedures using our products. Volatility in the payment rates that physicians and hospitals receive from CMS may have a material impact on their willingness to perform procedures including our products, as well as place additional pressure on pricing of our implants.</w:t>
      </w:r>
    </w:p>
    <w:p>
      <w:pPr>
        <w:spacing w:after="0" w:line="202"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206" w:lineRule="exact"/>
        <w:rPr>
          <w:sz w:val="20"/>
          <w:szCs w:val="20"/>
          <w:color w:val="auto"/>
        </w:rPr>
      </w:pPr>
    </w:p>
    <w:p>
      <w:pPr>
        <w:jc w:val="both"/>
        <w:ind w:firstLine="495"/>
        <w:spacing w:after="0" w:line="241" w:lineRule="auto"/>
        <w:rPr>
          <w:sz w:val="20"/>
          <w:szCs w:val="20"/>
          <w:color w:val="auto"/>
        </w:rPr>
      </w:pPr>
      <w:r>
        <w:rPr>
          <w:rFonts w:ascii="Times New Roman" w:cs="Times New Roman" w:eastAsia="Times New Roman" w:hAnsi="Times New Roman"/>
          <w:sz w:val="20"/>
          <w:szCs w:val="20"/>
          <w:color w:val="auto"/>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Further, CMS budget neutrality requirements may impose cuts to the Medicare physician fee schedule, which may be mitigated by acts of Congress or other changes to regulations. Other federal laws, known as budget sequestration, further reduce Medicare’s payments to providers by 2%, which, due to subsequent legislative amendments, will stay in effect through 2032.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spacing w:after="0" w:line="223" w:lineRule="exact"/>
        <w:rPr>
          <w:sz w:val="20"/>
          <w:szCs w:val="20"/>
          <w:color w:val="auto"/>
        </w:rPr>
      </w:pPr>
    </w:p>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00" w:lineRule="exact"/>
        <w:rPr>
          <w:sz w:val="20"/>
          <w:szCs w:val="20"/>
          <w:color w:val="auto"/>
        </w:rPr>
      </w:pPr>
    </w:p>
    <w:p>
      <w:pPr>
        <w:spacing w:after="0" w:line="233"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healthcare payors reverse decisions to cover minimally invasive sacroiliac joint fusion exclusively when performed with iFuse triangular implants and choose to reimburse for procedures performed with competitive products, our market share and average selling prices could decline, adversely affecting our revenues.</w:t>
      </w:r>
    </w:p>
    <w:p>
      <w:pPr>
        <w:sectPr>
          <w:pgSz w:w="12240" w:h="15840" w:orient="portrait"/>
          <w:cols w:equalWidth="0" w:num="1">
            <w:col w:w="10800"/>
          </w:cols>
          <w:pgMar w:left="720" w:top="658" w:right="720" w:bottom="0"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00"/>
          </w:cols>
          <w:pgMar w:left="720" w:top="658" w:right="720" w:bottom="0" w:gutter="0" w:footer="0" w:header="0"/>
          <w:type w:val="continuous"/>
        </w:sectPr>
      </w:pPr>
    </w:p>
    <w:bookmarkStart w:id="28" w:name="page29"/>
    <w:bookmarkEnd w:id="28"/>
    <w:p>
      <w:pPr>
        <w:jc w:val="both"/>
        <w:ind w:firstLine="495"/>
        <w:spacing w:after="0" w:line="238" w:lineRule="auto"/>
        <w:rPr>
          <w:sz w:val="20"/>
          <w:szCs w:val="20"/>
          <w:color w:val="auto"/>
        </w:rPr>
      </w:pPr>
      <w:r>
        <w:rPr>
          <w:rFonts w:ascii="Times New Roman" w:cs="Times New Roman" w:eastAsia="Times New Roman" w:hAnsi="Times New Roman"/>
          <w:sz w:val="20"/>
          <w:szCs w:val="20"/>
          <w:color w:val="auto"/>
        </w:rPr>
        <w:t>As of December 31, 2023, a significant number of the largest U.S. payors that we track and target have issued positive coverage policies covering the patented design of our triangular iFuse implants and excluding coverage of other products that are intended to fuse the sacroiliac joint because of the clinical evidence supporting the use of triangular titanium implants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our triangular iFuse implants. Payors could also abandon their decisions to cover triangular implants exclusively for other reasons.</w:t>
      </w:r>
    </w:p>
    <w:p>
      <w:pPr>
        <w:spacing w:after="0" w:line="192" w:lineRule="exact"/>
        <w:rPr>
          <w:sz w:val="20"/>
          <w:szCs w:val="20"/>
          <w:color w:val="auto"/>
        </w:rPr>
      </w:pPr>
    </w:p>
    <w:p>
      <w:pPr>
        <w:ind w:right="40" w:firstLine="495"/>
        <w:spacing w:after="0" w:line="237" w:lineRule="auto"/>
        <w:rPr>
          <w:sz w:val="20"/>
          <w:szCs w:val="20"/>
          <w:color w:val="auto"/>
        </w:rPr>
      </w:pPr>
      <w:r>
        <w:rPr>
          <w:rFonts w:ascii="Times New Roman" w:cs="Times New Roman" w:eastAsia="Times New Roman" w:hAnsi="Times New Roman"/>
          <w:sz w:val="20"/>
          <w:szCs w:val="20"/>
          <w:color w:val="auto"/>
        </w:rPr>
        <w:t>Healthcare payors which have adopted sacroiliac joint fusion coverage policies exclusive to titanium triangular implants could reverse the exclusive nature of their policies and allow physicians to use other types of products when performing sacroiliac fusion procedures. Some payor have removed such exclusivity in the past and others could do so in the future. For example, AIM, a clinical evidence evaluation organization which influences Anthem, among other payors, promulgated such a policy, effective September 11, 2022, that is no longer exclusive to titanium triangles. If healthcare payors covering a significant number of covered lives reverse their policies of covering minimally invasive sacroiliac joint fusion exclusively when performed with triangular titanium implants, the average selling price of our triangular iFuse implants could decline and their sales could decline or fail to grow. If physicians choose to substitute our triangular iFuse implants with competitors' products, this could adversely affect our business, results of operations and financial condition.</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Epidemic diseases, or the perception of their effects, may continue to adversely affect our business, financial condition, results of operations, or cash flows.</w:t>
      </w:r>
    </w:p>
    <w:p>
      <w:pPr>
        <w:spacing w:after="0" w:line="178"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The impact of COVID-19 on our business remains highly dependent on future developments, which are uncertain and unpredictable. Although the U.S. public health emergency ended on May 11, 2023, an outbreak of an infectious disease, or a re-escalation of COVID-19 infection rates could divert medical resources toward the treatment of that disease, and negatively affect hospital admission rates and the decision by patients to undergo elective surgery, which could decrease demand for procedures using our implants and cause other disruptions to our business. Business disruptions have included, and could continue to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regional or global economic downturns that could affect demand for our products, as well as increase risk of customer defaults or delays in payments. Any of these events could negatively impact the number of procedures using our implants that are performed and have a material adverse effect on our business, financial condition, results of operations, cash flows, or ability to raise capital.</w:t>
      </w:r>
    </w:p>
    <w:p>
      <w:pPr>
        <w:spacing w:after="0" w:line="212"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existence and further duration of COVID-19 may also further exacerbate certain of the risks described herein.</w:t>
      </w:r>
    </w:p>
    <w:p>
      <w:pPr>
        <w:sectPr>
          <w:pgSz w:w="12240" w:h="15840" w:orient="portrait"/>
          <w:cols w:equalWidth="0" w:num="1">
            <w:col w:w="10800"/>
          </w:cols>
          <w:pgMar w:left="720" w:top="88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888" w:right="720" w:bottom="0" w:gutter="0" w:footer="0" w:header="0"/>
          <w:type w:val="continuous"/>
        </w:sectPr>
      </w:pPr>
    </w:p>
    <w:bookmarkStart w:id="29" w:name="page30"/>
    <w:bookmarkEnd w:id="29"/>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Natural disasters and man-made business disruptions such as war and terrorism could seriously harm our future revenue and financial condition and increase our costs and expenses.</w:t>
      </w:r>
    </w:p>
    <w:p>
      <w:pPr>
        <w:spacing w:after="0" w:line="178"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We operate our business in regions subject to natural and man-made disasters or business interruptions. Our corporate headquarters are located in Santa Clara, California, a region which has experienced and will continue to experience earthquakes, fires, power shortages, telecommunications failures, water shortages, floods, shifting climate patterns, and extreme weather conditions. We also rely on third-party manufacturers to produce our products and on third-party logistics companies to transport our products. A major earthquake, fire, tornado, blizzard or other disaster (such as a flood, storm, drought or terrorist attack) could significantly disrupt our operations, ranging from production and shipping delays to lost revenue and increased costs. The occurrence of any of these natural or man-made disasters or other business disruptions could seriously harm our operations and financial condition and increase our costs and expenses. Additionally, if our facilities or any of our customers' facilities are negatively impacted by a disaster, procedures using our products could be delayed or canceled. Even if we are able to quickly respond to a disaster, the ongoing effects of the disaster could create some uncertainty in the operations of our business. In addition, our facilities may be subject to a shortage of available electrical power and other energy supplies. Any shortages may increase our costs for power and energy supplies or could result in blackouts or brownouts, which could disrupt the operations of our affected facilities and harm our business. Further, concerns about terrorism, the effects of a terrorist attack, or political turmoil could have a negative effect on our operations, those of our suppliers and customers, and the ability to travel, which could harm our business, financial condition, and results of operations.</w:t>
      </w:r>
    </w:p>
    <w:p>
      <w:pPr>
        <w:spacing w:after="0" w:line="20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convince physicians that our products are attractive alternatives to our competitors’ products and that our procedures are attractive alternatives to existing surgical and non-surgical treatments for their respective indications.</w:t>
      </w:r>
    </w:p>
    <w:p>
      <w:pPr>
        <w:spacing w:after="0" w:line="178" w:lineRule="exact"/>
        <w:rPr>
          <w:sz w:val="20"/>
          <w:szCs w:val="20"/>
          <w:color w:val="auto"/>
        </w:rPr>
      </w:pPr>
    </w:p>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Physicians, in consultation with their patients, play the primary role in determining the course of treatment and, ultimately, any product that will be used in treatment. For us to sell our products successfully, we must demonstrate to physicians through education and training that treatment with iFuse is beneficial, safe, and cost-effective for patients as compared to our competitors’ products. If we are not successful in demonstrating the merits of our products to physicians, their use of our products may decline, adversely affecting our revenues and profitability.</w:t>
      </w:r>
    </w:p>
    <w:p>
      <w:pPr>
        <w:spacing w:after="0" w:line="207"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Historically, many physicians did not include an evaluation of the sacroiliac joint in their diagnostic work-up because they did not have an adequate surgical procedure to perform for patients diagnosed with sacroiliac joint dysfunction. We believe that educating physicians and other healthcare professionals about the clinical merits and patient benefits of iFuse is an important element of building our business. If we fail to effectively educate physicians and other medical professionals, they may not include a sacroiliac joint evaluation as part of their diagnosis and, as a result, those patients may continue to receive unnecessary surgical procedures or only non-surgical treatment.</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Physicians may also hesitate to change their medical treatment practices for other reasons, including the following:</w:t>
      </w:r>
    </w:p>
    <w:p>
      <w:pPr>
        <w:spacing w:after="0" w:line="240" w:lineRule="exact"/>
        <w:rPr>
          <w:sz w:val="20"/>
          <w:szCs w:val="20"/>
          <w:color w:val="auto"/>
        </w:rPr>
      </w:pPr>
    </w:p>
    <w:p>
      <w:pPr>
        <w:ind w:left="1440" w:hanging="585"/>
        <w:spacing w:after="0"/>
        <w:tabs>
          <w:tab w:leader="none" w:pos="14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experience with minimally invasive procedures;</w:t>
      </w:r>
    </w:p>
    <w:p>
      <w:pPr>
        <w:spacing w:after="0" w:line="240" w:lineRule="exact"/>
        <w:rPr>
          <w:rFonts w:ascii="Times New Roman" w:cs="Times New Roman" w:eastAsia="Times New Roman" w:hAnsi="Times New Roman"/>
          <w:sz w:val="20"/>
          <w:szCs w:val="20"/>
          <w:color w:val="auto"/>
        </w:rPr>
      </w:pPr>
    </w:p>
    <w:p>
      <w:pPr>
        <w:ind w:left="1440" w:hanging="585"/>
        <w:spacing w:after="0"/>
        <w:tabs>
          <w:tab w:leader="none" w:pos="14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perceived liability risks generally associated with the use of our products and procedures;</w:t>
      </w:r>
    </w:p>
    <w:p>
      <w:pPr>
        <w:spacing w:after="0" w:line="240" w:lineRule="exact"/>
        <w:rPr>
          <w:rFonts w:ascii="Times New Roman" w:cs="Times New Roman" w:eastAsia="Times New Roman" w:hAnsi="Times New Roman"/>
          <w:sz w:val="20"/>
          <w:szCs w:val="20"/>
          <w:color w:val="auto"/>
        </w:rPr>
      </w:pPr>
    </w:p>
    <w:p>
      <w:pPr>
        <w:ind w:left="1440" w:hanging="585"/>
        <w:spacing w:after="0"/>
        <w:tabs>
          <w:tab w:leader="none" w:pos="14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the purchase of our products; and</w:t>
      </w:r>
    </w:p>
    <w:p>
      <w:pPr>
        <w:spacing w:after="0" w:line="240" w:lineRule="exact"/>
        <w:rPr>
          <w:rFonts w:ascii="Times New Roman" w:cs="Times New Roman" w:eastAsia="Times New Roman" w:hAnsi="Times New Roman"/>
          <w:sz w:val="20"/>
          <w:szCs w:val="20"/>
          <w:color w:val="auto"/>
        </w:rPr>
      </w:pPr>
    </w:p>
    <w:p>
      <w:pPr>
        <w:ind w:left="1500" w:hanging="645"/>
        <w:spacing w:after="0"/>
        <w:tabs>
          <w:tab w:leader="none" w:pos="15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commitment that may be required for training.</w:t>
      </w:r>
    </w:p>
    <w:p>
      <w:pPr>
        <w:spacing w:after="0" w:line="240" w:lineRule="exact"/>
        <w:rPr>
          <w:sz w:val="20"/>
          <w:szCs w:val="20"/>
          <w:color w:val="auto"/>
        </w:rPr>
      </w:pPr>
    </w:p>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Furthermore, we believe physicians will not widely use our products unless they determine, based on experience, clinical data, and published peer-reviewed publications, that our products offer an attractive alternative to non-surgical treatments of sacroiliac joint dysfunction. In addition, we believe support for our products relies heavily on long-term data showing their benefits. If we are unable to provide that data, physicians may not use our products. In such circumstances, we may not achieve expected sales and may be unable to achieve profitability.</w:t>
      </w:r>
    </w:p>
    <w:p>
      <w:pPr>
        <w:spacing w:after="0" w:line="207"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We believe that training is particularly important in instances of newly launched products or the introduction of a product into a new market. If physicians are not properly trained, they may misuse our products, which may result in unsatisfactory patient outcomes, patient injury, negative publicity, or lawsuits against us. In addition, a failure to educate the medical community regarding our products may impair our ability to achieve market acceptance of our products.</w:t>
      </w:r>
    </w:p>
    <w:p>
      <w:pPr>
        <w:spacing w:after="0" w:line="202"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19"/>
          <w:szCs w:val="19"/>
          <w:color w:val="auto"/>
        </w:rPr>
        <w:t>Patients with sacroiliac joint dysfunction are cared for by a variety of health care providers, including spine surgeons and pain physicians and other interventionalist spine physicians, who are generally trained as anesthesiologists, interventional radiologists, or physical medicine and rehabilitation specialists. These interventionalists often offer a variety of non-surgical and surgical interventions to sacroiliac joint dysfunction patients, including, but not limited to, steroid injections, radiofrequency ablation of the nerves serving the sacroiliac joint, and implantation of neurostimulation devices, allografts, fusion devices and other products intended to treat the sacroiliac joint or the pain it can cause. Our professional education program seeks to teach these physicians, and other health care providers, about the benefits of our iFuse products, with the intent of either having them adopt and perform our procedures or refer</w:t>
      </w:r>
    </w:p>
    <w:p>
      <w:pPr>
        <w:sectPr>
          <w:pgSz w:w="12240" w:h="15840" w:orient="portrait"/>
          <w:cols w:equalWidth="0" w:num="1">
            <w:col w:w="10800"/>
          </w:cols>
          <w:pgMar w:left="720" w:top="649" w:right="720" w:bottom="0"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649" w:right="720" w:bottom="0" w:gutter="0" w:footer="0" w:header="0"/>
          <w:type w:val="continuous"/>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20"/>
          <w:szCs w:val="20"/>
          <w:color w:val="auto"/>
        </w:rPr>
        <w:t>their patients with sacroiliac joint dysfunction to physicians who have been trained to perform our procedures. Providers who have not been educated on or adopted our procedures may prefer to continue to treat these patients with other interventions they offer because of physician preference or their view that these interventions are superior.</w:t>
      </w:r>
    </w:p>
    <w:p>
      <w:pPr>
        <w:spacing w:after="0" w:line="197"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Effective January 1, 2024, the AMA CPT Editorial Panel introduced a new permanent Category 1 CPT Code, 27278, to describe minimally invasive sacroiliac fusion achieved with placement of an intra-articular implant, typically from a posterior approach, and without the use of a transfixing device. While we offer products that can be used in procedures described by both CPT Codes 27278 and 27279, historically our primary focus has been on products used in procedures described by CPT Code 27279. If more physicians elect to offer, or more patients elect to undergo, procedures described by CPT Code 27278, or if we are unable to demonstrate to physicians the comparative benefits of our products, sales of our iFuse implants could decline or fail to grow, which could adversely affect our business, results of operations and financial condition.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Physicians and payors may not find the clinical evidence supporting our more recent products to be compelling, which could limit our sales and revenue, and on-going and future research may prove our products to be less safe and effective than currently thought.</w:t>
      </w:r>
    </w:p>
    <w:p>
      <w:pPr>
        <w:spacing w:after="0" w:line="198"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The products we currently market in the United States have either received premarket clearance under Section 510(k) of the United States Federal Food, Drug, and Cosmetic Act (“FDCA”), or are exempt from premarket review. Those marketed in the EEA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iFuse-TORQ and iFuse Bedrock Granite have been launched prior to gathering substantial prospective clinical trial evidence, and our post-market clinical studies may lack the size and scope of randomized controlled clinical trials required to support approval of a PMA. For these reasons, physicians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physicians, significantly reduce our ability to achieve expected sales, and could prevent us from achieving profitability.</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Pricing pressure from our competitors, changes in third-party coverage and reimbursement, healthcare provider consolidation, the presence of physician-owned distributorships, and payor consolidation may impact our ability to sell our product at prices necessary to support our current business strategies.</w:t>
      </w:r>
    </w:p>
    <w:p>
      <w:pPr>
        <w:spacing w:after="0" w:line="198"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202"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spacing w:after="0" w:line="197"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Consolidation in the healthcare industry, including both third-party payors and healthcare providers, could lead to demands for price concessions or to the exclusion of some suppliers from certain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Practice trends, market dynamics, or other factors, including the COVID-19 pandemic, have caused, and may continue to cause, procedures to shift from the hospital environment to ambulatory surgical centers, or ASCs, where pressure on the prices of our products is generally more acute.</w:t>
      </w:r>
    </w:p>
    <w:p>
      <w:pPr>
        <w:spacing w:after="0" w:line="198"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20"/>
          <w:szCs w:val="20"/>
          <w:color w:val="auto"/>
        </w:rPr>
        <w:t>We anticipate that more outpatient eligible procedures will be performed in ASCs to control costs and expand patient access to medical procedures. This shift accelerated during the COVID-19 pandemic, and we expect it to continue because ASCs are generally a</w:t>
      </w:r>
    </w:p>
    <w:p>
      <w:pPr>
        <w:sectPr>
          <w:pgSz w:w="12240" w:h="15840" w:orient="portrait"/>
          <w:cols w:equalWidth="0" w:num="1">
            <w:col w:w="10800"/>
          </w:cols>
          <w:pgMar w:left="720" w:top="658" w:right="720" w:bottom="0"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658" w:right="720" w:bottom="0" w:gutter="0" w:footer="0" w:header="0"/>
          <w:type w:val="continuous"/>
        </w:sectPr>
      </w:pPr>
    </w:p>
    <w:bookmarkStart w:id="31" w:name="page32"/>
    <w:bookmarkEnd w:id="31"/>
    <w:p>
      <w:pPr>
        <w:jc w:val="both"/>
        <w:spacing w:after="0" w:line="246" w:lineRule="auto"/>
        <w:rPr>
          <w:sz w:val="20"/>
          <w:szCs w:val="20"/>
          <w:color w:val="auto"/>
        </w:rPr>
      </w:pPr>
      <w:r>
        <w:rPr>
          <w:rFonts w:ascii="Times New Roman" w:cs="Times New Roman" w:eastAsia="Times New Roman" w:hAnsi="Times New Roman"/>
          <w:sz w:val="20"/>
          <w:szCs w:val="20"/>
          <w:color w:val="auto"/>
        </w:rPr>
        <w:t>more economically favorable site of service, and physicians performing the procedures sometimes have ownership interests in the ASC. Because ASC facility fee reimbursement is typically less than facility fee reimbursement for hospitals and due to physicians’ economic interest in ASCs, we typically experience more pressure on the pricing of our products by ASCs than by hospitals, and the average price for which we sell our products to ASCs is less than the average prices we charge to hospitals. In addition, some physicians may choose to use fewer implants due to their interest in the profitability of the ASC. An accelerated shift of procedures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using our products to ASCs could adversely impact the average selling prices of our products and our revenues could suffer as a result.</w:t>
      </w:r>
    </w:p>
    <w:p>
      <w:pPr>
        <w:spacing w:after="0" w:line="2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78"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Our currently marketed products are, and any future products we commercialize will likely be, subject to intense competition. Our field is subject to rapid change and is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viewed as safer, less invasive, and more effective than alternatives available for similar purposes as demonstrated in peer-reviewed clinical publications. Because of the size of the potential market, other companies have dedicated, and likely will continue to dedicate, significant resources to developing competing products.</w:t>
      </w:r>
    </w:p>
    <w:p>
      <w:pPr>
        <w:spacing w:after="0" w:line="207"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The number of competitors that we are aware of marketing sacroiliac joint fusion products in the United States has grown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w:t>
      </w:r>
    </w:p>
    <w:p>
      <w:pPr>
        <w:spacing w:after="0" w:line="211" w:lineRule="exact"/>
        <w:rPr>
          <w:sz w:val="20"/>
          <w:szCs w:val="20"/>
          <w:color w:val="auto"/>
        </w:rPr>
      </w:pPr>
    </w:p>
    <w:p>
      <w:pPr>
        <w:ind w:right="100" w:firstLine="495"/>
        <w:spacing w:after="0" w:line="238" w:lineRule="auto"/>
        <w:rPr>
          <w:sz w:val="20"/>
          <w:szCs w:val="20"/>
          <w:color w:val="auto"/>
        </w:rPr>
      </w:pPr>
      <w:r>
        <w:rPr>
          <w:rFonts w:ascii="Times New Roman" w:cs="Times New Roman" w:eastAsia="Times New Roman" w:hAnsi="Times New Roman"/>
          <w:sz w:val="20"/>
          <w:szCs w:val="20"/>
          <w:color w:val="auto"/>
        </w:rPr>
        <w:t>In the United States, we believe that our primary competitors marketing implantable devices currently are Globus Medical, Inc. and Medtronic plc.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208"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206"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In addition, a number of companies selling allograft implants for use by a variety of physicians have collectively become a much larger presence in our market. If customers view allograft implants and our titanium implants as interchangeable, we risk increased pricing pressure on our products. It is unclear how the Category I Code 27278 effective January 1, 2024, will impact the market for these products and procedures.</w:t>
      </w:r>
    </w:p>
    <w:p>
      <w:pPr>
        <w:spacing w:after="0" w:line="202"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658" w:right="720" w:bottom="0" w:gutter="0" w:footer="0" w:header="0"/>
          <w:type w:val="continuous"/>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198"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Substantially all of our revenue comes from the sale of iFuse, iFuse-3D, iFuse-TORQ, and iFuse Bedrock Granite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physicians,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clinical experience with our iFuse Bedrock technique, iFuse Bedrock Granite product, or iFuse-TORQ product does not result in positive outcomes for patients, or if clinical trials involving the use of iFuse Bedrock, iFuse Bedrock Granite and/or iFuse-TORQ fail to show meaningful patient benefit, sales of our iFuse, iFuse-3D, iFuse-TORQ and/or iFuse Bedrock Granite implants could be adversely impacted.</w:t>
      </w:r>
    </w:p>
    <w:p>
      <w:pPr>
        <w:spacing w:after="0" w:line="193"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In November 2018, we introduced our iFuse Bedrock technique, in which spine surgeons place iFuse triangular implants across the sacroiliac joint using a different surgical approach to treat sacroiliac joint dysfunction at the same time they are fusing multiple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In May 2022, we introduced iFuse Bedrock Granite, an implant which fuses the sacroiliac joint and attaches to the rods placed in a multi-segment spinal fusion construct, and which is used in substantially similar procedures as the iFuse Bedrock technique. To date, clinical experience with the iFuse Bedrock technique and with iFuse Bedrock Granite is limited and we have yet to complete a clinical trial to evaluate the iFuse Bedrock technique or the iFuse Bedrock Granite implant. Surgeons do not know if the addition of sacroiliac fusion devices to the implants used to fuse multiple levels of the lumbar spine will result in patient benefit. If surgeons'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98"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In February 2021, we launched iFuse-TORQ, a line of 3D-printed threaded implants designed for use in pelvic trauma, as well as applications in sacroiliac joint dysfunction and degeneration. In 2022, the FDA provided clearance for an expanded indication for iFuse-TORQ to include acute, non-acute and non-traumatic fractures as well as for placement across the sacroiliac joint using our Bedrock technique. Clinical experience with iFuse-TORQ is limited and we have yet to complete a clinical trial to evaluate the use of iFuse-TORQ in patients with sacral fragility or insufficiency fractures. Physicians do not yet know if pelvic fracture fixation and sacroiliac joint fusion using iFuse-TORQ is superior to nonsurgical management in this class of patients. If physicians'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our network of direct sales representatives, third-party sales agents, and resellers, we may not be able to generate anticipated sales.</w:t>
      </w:r>
    </w:p>
    <w:p>
      <w:pPr>
        <w:spacing w:after="0" w:line="17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As of December 31, 2023, our U.S. sales force consisted of 82 territory sales managers and 69 clinical support specialists directly employed by us and 175 third-party sales agents. As of December 31, 2023, our international sales force consisted of 14 sales representatives directly employed by us and a total of 31 third-party sales agents and resellers, which together have had sales in 38 countries through December 31, 2023. Our operating results are directly dependent upon the sales and marketing efforts of both our direct sales force and of our third-party sales agents and resellers.</w:t>
      </w:r>
    </w:p>
    <w:p>
      <w:pPr>
        <w:spacing w:after="0" w:line="204"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sales agents and resellers with significant technical knowledge in various areas, such as spine and pelvic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sales agent or reseller departs and is retained by one of our competitors, we may be unable to prevent them from helping competitors solicit business from our existing customers, which could further adversely affect our sales. The launch of new products or entrance into new markets could distract our sales representatives from existing customers and markets and redirect resources from existing to novel markets. Furthermore, any such change affects our ability to hire, contract with and retain members of our direct sales force and third-party sales agents and resellers. Because of the intense competition for their services, we may be unable to recruit or retain additional qualified third-party sales agents and resellers or to hire additional direct sales representatives to work with us. Furthermore, we may not be able to enter into agreements with them on favorable or commercially reasonable terms, if at all. Failure to hire or retain qualified direct sales representatives or third-party sales agents and resellers would prevent us from expanding our business and</w:t>
      </w:r>
    </w:p>
    <w:p>
      <w:pPr>
        <w:sectPr>
          <w:pgSz w:w="12240" w:h="15840" w:orient="portrait"/>
          <w:cols w:equalWidth="0" w:num="1">
            <w:col w:w="10800"/>
          </w:cols>
          <w:pgMar w:left="720" w:top="649" w:right="720" w:bottom="0"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800"/>
          </w:cols>
          <w:pgMar w:left="720" w:top="649" w:right="720" w:bottom="0" w:gutter="0" w:footer="0" w:header="0"/>
          <w:type w:val="continuous"/>
        </w:sectPr>
      </w:pPr>
    </w:p>
    <w:bookmarkStart w:id="33" w:name="page34"/>
    <w:bookmarkEnd w:id="33"/>
    <w:p>
      <w:pPr>
        <w:jc w:val="both"/>
        <w:spacing w:after="0" w:line="271" w:lineRule="auto"/>
        <w:rPr>
          <w:sz w:val="20"/>
          <w:szCs w:val="20"/>
          <w:color w:val="auto"/>
        </w:rPr>
      </w:pPr>
      <w:r>
        <w:rPr>
          <w:rFonts w:ascii="Times New Roman" w:cs="Times New Roman" w:eastAsia="Times New Roman" w:hAnsi="Times New Roman"/>
          <w:sz w:val="20"/>
          <w:szCs w:val="20"/>
          <w:color w:val="auto"/>
        </w:rPr>
        <w:t>generating sales. If our direct sales representatives or third-party sales agents fail to adequately promote, market and sell our products or decide to leave or cease to do business with us, our sales could significantly decrease.</w:t>
      </w:r>
    </w:p>
    <w:p>
      <w:pPr>
        <w:spacing w:after="0" w:line="181"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20"/>
          <w:szCs w:val="20"/>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suffer if we lose the services of key members of our senior management, key advisors or personnel.</w:t>
      </w:r>
    </w:p>
    <w:p>
      <w:pPr>
        <w:spacing w:after="0" w:line="249"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9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business is highly reliant on a base of skilled employees, including those serving in engineering, information technology, operational, strategic marketing and sales functions. Many of these employees have developed specialized skills which are valuable within the medical device and life sciences industry, and, in some cases, in a broader variety of industries. Competition for skilled employees remains significant. If we experience turnover among our employees at a higher rate than expected, managing our labor force could become difficult and more costly, adversely impacting our results of operation. Sustained pressure in these labor markets could also cause prevailing wages to rise, which could adversely impact our business, results of operation and financial condition.</w:t>
      </w:r>
    </w:p>
    <w:p>
      <w:pPr>
        <w:spacing w:after="0" w:line="2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use of our products results in adverse events, this may require them to be taken off the market, require them to include safety warnings or otherwise limit their sales.</w:t>
      </w:r>
    </w:p>
    <w:p>
      <w:pPr>
        <w:spacing w:after="0" w:line="178" w:lineRule="exact"/>
        <w:rPr>
          <w:sz w:val="20"/>
          <w:szCs w:val="20"/>
          <w:color w:val="auto"/>
        </w:rPr>
      </w:pPr>
    </w:p>
    <w:p>
      <w:pPr>
        <w:jc w:val="both"/>
        <w:ind w:firstLine="495"/>
        <w:spacing w:after="0"/>
        <w:rPr>
          <w:sz w:val="20"/>
          <w:szCs w:val="20"/>
          <w:color w:val="auto"/>
        </w:rPr>
      </w:pPr>
      <w:r>
        <w:rPr>
          <w:rFonts w:ascii="Times New Roman" w:cs="Times New Roman" w:eastAsia="Times New Roman" w:hAnsi="Times New Roman"/>
          <w:sz w:val="20"/>
          <w:szCs w:val="20"/>
          <w:color w:val="auto"/>
        </w:rPr>
        <w:t>Unforeseen adverse events related to our products could arise either during clinical development or, if cleared, approved, or subject to CE Certificate of Conformity and CE marked,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and CE marked, after the product has been marketed.</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If we or others later identify adverse events caused by our products:</w:t>
      </w:r>
    </w:p>
    <w:p>
      <w:pPr>
        <w:spacing w:after="0" w:line="240" w:lineRule="exact"/>
        <w:rPr>
          <w:sz w:val="20"/>
          <w:szCs w:val="20"/>
          <w:color w:val="auto"/>
        </w:rPr>
      </w:pPr>
    </w:p>
    <w:p>
      <w:pPr>
        <w:ind w:left="1000" w:hanging="460"/>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the product may decrease significantly, and we may not achieve the anticipated market share;</w:t>
      </w:r>
    </w:p>
    <w:p>
      <w:pPr>
        <w:spacing w:after="0" w:line="180" w:lineRule="exact"/>
        <w:rPr>
          <w:rFonts w:ascii="Times New Roman" w:cs="Times New Roman" w:eastAsia="Times New Roman" w:hAnsi="Times New Roman"/>
          <w:sz w:val="20"/>
          <w:szCs w:val="20"/>
          <w:color w:val="auto"/>
        </w:rPr>
      </w:pPr>
    </w:p>
    <w:p>
      <w:pPr>
        <w:jc w:val="both"/>
        <w:ind w:left="1000" w:hanging="460"/>
        <w:spacing w:after="0" w:line="298" w:lineRule="auto"/>
        <w:tabs>
          <w:tab w:leader="none" w:pos="10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97" w:lineRule="exact"/>
        <w:rPr>
          <w:rFonts w:ascii="Times New Roman" w:cs="Times New Roman" w:eastAsia="Times New Roman" w:hAnsi="Times New Roman"/>
          <w:sz w:val="19"/>
          <w:szCs w:val="19"/>
          <w:color w:val="auto"/>
        </w:rPr>
      </w:pPr>
    </w:p>
    <w:p>
      <w:pPr>
        <w:ind w:left="1000" w:hanging="460"/>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change instructions regarding the way the product is implanted or conduct additional clinical trials;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subject to limitations on how we may promote the product;</w:t>
      </w:r>
    </w:p>
    <w:p>
      <w:pPr>
        <w:spacing w:after="0" w:line="18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us to temporarily or permanently take our approved product off the market or to conduct other field safety corrective actions;</w:t>
      </w:r>
    </w:p>
    <w:p>
      <w:pPr>
        <w:spacing w:after="0" w:line="120" w:lineRule="exact"/>
        <w:rPr>
          <w:rFonts w:ascii="Times New Roman" w:cs="Times New Roman" w:eastAsia="Times New Roman" w:hAnsi="Times New Roman"/>
          <w:sz w:val="20"/>
          <w:szCs w:val="20"/>
          <w:color w:val="auto"/>
        </w:rPr>
      </w:pPr>
    </w:p>
    <w:p>
      <w:pPr>
        <w:ind w:left="1000" w:hanging="460"/>
        <w:spacing w:after="0" w:line="271" w:lineRule="auto"/>
        <w:tabs>
          <w:tab w:leader="none" w:pos="97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Notified Body may suspend, amend, or withdraw our CE Certificate of Conformity or refuse or delay any ongoing applications relating to the issuance or renewal of CE Certificates of Conformity;</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modify our product;</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subject to litigation fines or product liability claims; and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may suffer.</w:t>
      </w:r>
    </w:p>
    <w:p>
      <w:pPr>
        <w:spacing w:after="0" w:line="180"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Unfavorable media reports or other negative publicity concerning both alleged improper methods of tissue recovery from donors and disease transmission from donated tissue could limit widespread acceptance of some of our products.</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658" w:right="720" w:bottom="0" w:gutter="0" w:footer="0" w:header="0"/>
          <w:type w:val="continuous"/>
        </w:sectPr>
      </w:pPr>
    </w:p>
    <w:bookmarkStart w:id="34" w:name="page35"/>
    <w:bookmarkEnd w:id="34"/>
    <w:p>
      <w:pPr>
        <w:jc w:val="both"/>
        <w:ind w:firstLine="450"/>
        <w:spacing w:after="0" w:line="247" w:lineRule="auto"/>
        <w:rPr>
          <w:sz w:val="20"/>
          <w:szCs w:val="20"/>
          <w:color w:val="auto"/>
        </w:rPr>
      </w:pPr>
      <w:r>
        <w:rPr>
          <w:rFonts w:ascii="Times New Roman" w:cs="Times New Roman" w:eastAsia="Times New Roman" w:hAnsi="Times New Roman"/>
          <w:sz w:val="20"/>
          <w:szCs w:val="20"/>
          <w:color w:val="auto"/>
        </w:rPr>
        <w:t>iFuse Bone is an implantable bone product manufactured from sterilized recovered cadaveric bone tissue.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Various factors outside our direct control may adversely affect manufacturing, sterilization, and distribution of our products.</w:t>
      </w:r>
    </w:p>
    <w:p>
      <w:pPr>
        <w:spacing w:after="0" w:line="24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137" w:lineRule="exact"/>
        <w:rPr>
          <w:sz w:val="20"/>
          <w:szCs w:val="20"/>
          <w:color w:val="auto"/>
        </w:rPr>
      </w:pPr>
    </w:p>
    <w:p>
      <w:pPr>
        <w:ind w:left="1000" w:hanging="460"/>
        <w:spacing w:after="0"/>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complete sterilization on time or in compliance with the required regulatory standards;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transportation and import and export risk;</w:t>
      </w:r>
    </w:p>
    <w:p>
      <w:pPr>
        <w:spacing w:after="0" w:line="18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analytical results or failure of analytical techniques that we depend on for quality control and release of products;</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large-scale epidemics of communicable diseases such as COVID-19;</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chain disruptions, including those caused by material and labor supply shortages and prolonged inflation;</w:t>
      </w:r>
    </w:p>
    <w:p>
      <w:pPr>
        <w:spacing w:after="0" w:line="18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 labor disputes, financial distress, raw material availability, issues with facilities and equipment, or other forms of disruption to business operations affecting our manufacturers or suppliers; and</w:t>
      </w:r>
    </w:p>
    <w:p>
      <w:pPr>
        <w:spacing w:after="0" w:line="120" w:lineRule="exact"/>
        <w:rPr>
          <w:rFonts w:ascii="Times New Roman" w:cs="Times New Roman" w:eastAsia="Times New Roman" w:hAnsi="Times New Roman"/>
          <w:sz w:val="20"/>
          <w:szCs w:val="20"/>
          <w:color w:val="auto"/>
        </w:rPr>
      </w:pPr>
    </w:p>
    <w:p>
      <w:pPr>
        <w:ind w:left="1000" w:right="320" w:hanging="460"/>
        <w:spacing w:after="0" w:line="271" w:lineRule="auto"/>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latent defects that may become apparent after products have been released and that may result in a recall or field safety corrective action with respect to such products.</w:t>
      </w:r>
    </w:p>
    <w:p>
      <w:pPr>
        <w:spacing w:after="0" w:line="181"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20"/>
          <w:szCs w:val="20"/>
          <w:color w:val="auto"/>
        </w:rPr>
        <w:t>If any of these risks were to materialize, our ability to provide our products to customers on a timely basis could be adversely impacted.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98"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spacing w:after="0" w:line="206"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In addition, future growth could strain the ability of our suppliers to deliver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202"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We generally use a small number of suppliers for our instruments and currently rely on RMS for iFuse-3D and iFuse-TORQ implants and Orchid for iFuse implants. Our dependence on such a limited number of suppliers exposes us to risks, including, among other things:</w:t>
      </w:r>
    </w:p>
    <w:p>
      <w:pPr>
        <w:spacing w:after="0" w:line="197" w:lineRule="exact"/>
        <w:rPr>
          <w:sz w:val="20"/>
          <w:szCs w:val="20"/>
          <w:color w:val="auto"/>
        </w:rPr>
      </w:pPr>
    </w:p>
    <w:p>
      <w:pPr>
        <w:jc w:val="both"/>
        <w:ind w:left="1000" w:hanging="460"/>
        <w:spacing w:after="0" w:line="255" w:lineRule="auto"/>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36" w:lineRule="exact"/>
        <w:rPr>
          <w:rFonts w:ascii="Times New Roman" w:cs="Times New Roman" w:eastAsia="Times New Roman" w:hAnsi="Times New Roman"/>
          <w:sz w:val="20"/>
          <w:szCs w:val="20"/>
          <w:color w:val="auto"/>
        </w:rPr>
      </w:pPr>
    </w:p>
    <w:p>
      <w:pPr>
        <w:ind w:left="1000" w:right="60" w:hanging="460"/>
        <w:spacing w:after="0" w:line="249" w:lineRule="auto"/>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contract manufacturers or suppliers may fail to maintain good manufacturing practices, leading to quality control problems or regulatory findings that could cause disruptions in their manufacturing processes and affect the safety or effectiveness of our products or cause or lead to delays in shipments of our products;</w:t>
      </w:r>
    </w:p>
    <w:p>
      <w:pPr>
        <w:spacing w:after="0" w:line="136" w:lineRule="exact"/>
        <w:rPr>
          <w:rFonts w:ascii="Times New Roman" w:cs="Times New Roman" w:eastAsia="Times New Roman" w:hAnsi="Times New Roman"/>
          <w:sz w:val="20"/>
          <w:szCs w:val="20"/>
          <w:color w:val="auto"/>
        </w:rPr>
      </w:pPr>
    </w:p>
    <w:p>
      <w:pPr>
        <w:jc w:val="both"/>
        <w:ind w:left="1000" w:hanging="460"/>
        <w:spacing w:after="0" w:line="255" w:lineRule="auto"/>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658" w:right="720" w:bottom="0" w:gutter="0" w:footer="0" w:header="0"/>
          <w:type w:val="continuous"/>
        </w:sectPr>
      </w:pPr>
    </w:p>
    <w:bookmarkStart w:id="35" w:name="page36"/>
    <w:bookmarkEnd w:id="35"/>
    <w:p>
      <w:pPr>
        <w:ind w:left="1000" w:hanging="460"/>
        <w:spacing w:after="0" w:line="271" w:lineRule="auto"/>
        <w:tabs>
          <w:tab w:leader="none" w:pos="99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third-party manufacturers and suppliers may be subject to price fluctuations due to a lack of long-term supply arrangements for key components;</w:t>
      </w:r>
    </w:p>
    <w:p>
      <w:pPr>
        <w:spacing w:after="0" w:line="120" w:lineRule="exact"/>
        <w:rPr>
          <w:rFonts w:ascii="Times New Roman" w:cs="Times New Roman" w:eastAsia="Times New Roman" w:hAnsi="Times New Roman"/>
          <w:sz w:val="20"/>
          <w:szCs w:val="20"/>
          <w:color w:val="auto"/>
        </w:rPr>
      </w:pPr>
    </w:p>
    <w:p>
      <w:pPr>
        <w:jc w:val="both"/>
        <w:ind w:left="1000" w:hanging="460"/>
        <w:spacing w:after="0" w:line="255" w:lineRule="auto"/>
        <w:tabs>
          <w:tab w:leader="none" w:pos="99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third-party manufacturers and suppliers may lose access to critical services, raw materials and components, or experience significant delays in obtaining them, resulting in an interruption in the manufacture, assembly and shipment of our systems;</w:t>
      </w:r>
    </w:p>
    <w:p>
      <w:pPr>
        <w:spacing w:after="0" w:line="136" w:lineRule="exact"/>
        <w:rPr>
          <w:rFonts w:ascii="Times New Roman" w:cs="Times New Roman" w:eastAsia="Times New Roman" w:hAnsi="Times New Roman"/>
          <w:sz w:val="20"/>
          <w:szCs w:val="20"/>
          <w:color w:val="auto"/>
        </w:rPr>
      </w:pPr>
    </w:p>
    <w:p>
      <w:pPr>
        <w:jc w:val="both"/>
        <w:ind w:left="1000" w:hanging="460"/>
        <w:spacing w:after="0" w:line="255"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spacing w:after="0" w:line="136" w:lineRule="exact"/>
        <w:rPr>
          <w:rFonts w:ascii="Times New Roman" w:cs="Times New Roman" w:eastAsia="Times New Roman" w:hAnsi="Times New Roman"/>
          <w:sz w:val="20"/>
          <w:szCs w:val="20"/>
          <w:color w:val="auto"/>
        </w:rPr>
      </w:pPr>
    </w:p>
    <w:p>
      <w:pPr>
        <w:ind w:left="1000" w:hanging="460"/>
        <w:spacing w:after="0" w:line="271" w:lineRule="auto"/>
        <w:tabs>
          <w:tab w:leader="none" w:pos="98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delays in delivery by our third-party manufacturers and suppliers due to changes in demand from us or their other customers;</w:t>
      </w:r>
    </w:p>
    <w:p>
      <w:pPr>
        <w:spacing w:after="0" w:line="12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demand for products that our third-party manufacturers and suppliers manufacture for others may affect their ability or willingness to deliver components to us in a timely manner;</w:t>
      </w:r>
    </w:p>
    <w:p>
      <w:pPr>
        <w:spacing w:after="0" w:line="12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manufacturers and suppliers may wish to discontinue supplying components or services to us for risk management reasons;</w:t>
      </w:r>
    </w:p>
    <w:p>
      <w:pPr>
        <w:spacing w:after="0" w:line="12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find new or alternative components or reconfigure our system and manufacturing processes in a timely manner if the necessary components become unavailable; and</w:t>
      </w:r>
    </w:p>
    <w:p>
      <w:pPr>
        <w:spacing w:after="0" w:line="12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manufacturers and suppliers may encounter financial hardships unrelated to our demand, which could inhibit their ability to fulfill our orders and meet our requirements.</w:t>
      </w:r>
    </w:p>
    <w:p>
      <w:pPr>
        <w:spacing w:after="0" w:line="121"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202"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215"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207" w:lineRule="exact"/>
        <w:rPr>
          <w:sz w:val="20"/>
          <w:szCs w:val="20"/>
          <w:color w:val="auto"/>
        </w:rPr>
      </w:pPr>
    </w:p>
    <w:p>
      <w:pPr>
        <w:jc w:val="both"/>
        <w:ind w:firstLine="495"/>
        <w:spacing w:after="0" w:line="238" w:lineRule="auto"/>
        <w:rPr>
          <w:sz w:val="20"/>
          <w:szCs w:val="20"/>
          <w:color w:val="auto"/>
        </w:rPr>
      </w:pPr>
      <w:r>
        <w:rPr>
          <w:rFonts w:ascii="Times New Roman" w:cs="Times New Roman" w:eastAsia="Times New Roman" w:hAnsi="Times New Roman"/>
          <w:sz w:val="20"/>
          <w:szCs w:val="20"/>
          <w:color w:val="auto"/>
        </w:rPr>
        <w:t>We may also have difficulty obtaining similar components from other suppliers that are acceptable to the FDA, other foreign regulatory authorities, or applicable QMS requirements and the failure of our suppliers to comply with strictly enforced regulatory requirements could expose us to delays in obtaining clearances approvals or CE Certificates of Conformity, regulatory action including warning letters, product recalls, termination of distribution, operating restrictions, interruption of production, delays in the introduction of products into the market,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208"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20"/>
          <w:szCs w:val="20"/>
          <w:color w:val="auto"/>
        </w:rPr>
        <w:t>In addition, each of our third-party suppliers operates at a facility in a single location and substantially all of our inventory of component supplies and finished goods is held at these locations. A local outbreak of COVID-19 cases, vandalism, terrorism, or a</w:t>
      </w:r>
    </w:p>
    <w:p>
      <w:pPr>
        <w:sectPr>
          <w:pgSz w:w="12240" w:h="15840" w:orient="portrait"/>
          <w:cols w:equalWidth="0" w:num="1">
            <w:col w:w="10800"/>
          </w:cols>
          <w:pgMar w:left="720" w:top="658" w:right="720" w:bottom="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658" w:right="720" w:bottom="0" w:gutter="0" w:footer="0" w:header="0"/>
          <w:type w:val="continuous"/>
        </w:sectPr>
      </w:pPr>
    </w:p>
    <w:bookmarkStart w:id="36" w:name="page37"/>
    <w:bookmarkEnd w:id="36"/>
    <w:p>
      <w:pPr>
        <w:jc w:val="both"/>
        <w:spacing w:after="0" w:line="250" w:lineRule="auto"/>
        <w:rPr>
          <w:sz w:val="20"/>
          <w:szCs w:val="20"/>
          <w:color w:val="auto"/>
        </w:rPr>
      </w:pPr>
      <w:r>
        <w:rPr>
          <w:rFonts w:ascii="Times New Roman" w:cs="Times New Roman" w:eastAsia="Times New Roman" w:hAnsi="Times New Roman"/>
          <w:sz w:val="20"/>
          <w:szCs w:val="20"/>
          <w:color w:val="auto"/>
        </w:rPr>
        <w:t>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78"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137" w:lineRule="exact"/>
        <w:rPr>
          <w:sz w:val="20"/>
          <w:szCs w:val="20"/>
          <w:color w:val="auto"/>
        </w:rPr>
      </w:pPr>
    </w:p>
    <w:p>
      <w:pPr>
        <w:ind w:left="1000" w:hanging="460"/>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production yields;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quality control and assurance;</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component and service availability;</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adequate control policies and procedures;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hiring and retaining qualified personnel; and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complying with state, federal, and foreign regulations.</w:t>
      </w:r>
    </w:p>
    <w:p>
      <w:pPr>
        <w:spacing w:after="0" w:line="180"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If we are unable to satisfy commercial demand for our products due to our inability to assemble and test, our ability to generate revenue would be impaired, market acceptance of our products could be adversely affected and customers may instead purchase or use our competitors’ products.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do not enhance and broaden our product offerings through our research and development efforts, we may be unable to compete effectively.</w:t>
      </w:r>
    </w:p>
    <w:p>
      <w:pPr>
        <w:spacing w:after="0" w:line="178"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physicians or the third-party payors who reimburse for many of the procedures performed with our products. The success of any new product offering or enhancement to an existing product will depend on numerous factors, including our ability to:</w:t>
      </w:r>
    </w:p>
    <w:p>
      <w:pPr>
        <w:spacing w:after="0" w:line="146" w:lineRule="exact"/>
        <w:rPr>
          <w:sz w:val="20"/>
          <w:szCs w:val="20"/>
          <w:color w:val="auto"/>
        </w:rPr>
      </w:pPr>
    </w:p>
    <w:p>
      <w:pPr>
        <w:ind w:left="1000" w:hanging="460"/>
        <w:spacing w:after="0"/>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properly identify and anticipate physician and patient needs;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introduce new products or product enhancements in a timely manner;</w:t>
      </w:r>
    </w:p>
    <w:p>
      <w:pPr>
        <w:spacing w:after="0" w:line="180" w:lineRule="exact"/>
        <w:rPr>
          <w:rFonts w:ascii="Times New Roman" w:cs="Times New Roman" w:eastAsia="Times New Roman" w:hAnsi="Times New Roman"/>
          <w:sz w:val="20"/>
          <w:szCs w:val="20"/>
          <w:color w:val="auto"/>
        </w:rPr>
      </w:pPr>
    </w:p>
    <w:p>
      <w:pPr>
        <w:ind w:left="1000" w:right="180" w:hanging="460"/>
        <w:spacing w:after="0" w:line="271" w:lineRule="auto"/>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sufficient product differentiation to expand overall market share and minimize cannibalization of existing product markets;</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adequate coverage from third-party payors for new products or procedures;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mitigate downward pricing pressure on new and existing products;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adequately protect our intellectual property and avoid infringing upon the intellectual property rights of third parties;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demonstrate the safety and effectiveness of new products; and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sufficient infrastructure needed for product commercialization.</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658" w:right="720" w:bottom="0" w:gutter="0" w:footer="0" w:header="0"/>
          <w:type w:val="continuous"/>
        </w:sectPr>
      </w:pPr>
    </w:p>
    <w:bookmarkStart w:id="37" w:name="page38"/>
    <w:bookmarkEnd w:id="37"/>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maintain adequate levels of inventory, the failure of which could consume our resources and reduce our cash flows.</w:t>
      </w:r>
    </w:p>
    <w:p>
      <w:pPr>
        <w:spacing w:after="0" w:line="178"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physicians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addition, market demand for our new products may be less than expected, resulting in excess inventory from the supply purchased for launch. For example, in the quarter ending December 31, 2023 we took a $1.7 million in reserves for excess inventory related to the "lag" configuration of our iFuse-TORQ product, reflecting its below-expected market demand.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size and future growth in the market for minimally invasive sacroiliac fusion performed with a lateral approach, such as the iFuse procedure,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206" w:lineRule="exact"/>
        <w:rPr>
          <w:sz w:val="20"/>
          <w:szCs w:val="20"/>
          <w:color w:val="auto"/>
        </w:rPr>
      </w:pPr>
    </w:p>
    <w:p>
      <w:pPr>
        <w:ind w:firstLine="495"/>
        <w:spacing w:after="0" w:line="236" w:lineRule="auto"/>
        <w:rPr>
          <w:sz w:val="20"/>
          <w:szCs w:val="20"/>
          <w:color w:val="auto"/>
        </w:rPr>
      </w:pPr>
      <w:r>
        <w:rPr>
          <w:rFonts w:ascii="Times New Roman" w:cs="Times New Roman" w:eastAsia="Times New Roman" w:hAnsi="Times New Roman"/>
          <w:sz w:val="20"/>
          <w:szCs w:val="20"/>
          <w:color w:val="auto"/>
        </w:rPr>
        <w:t>We are not aware of an independent third-party study that reliably reports the potential market size for invasive sacroiliac fusion performed using a lateral approach or cost savings as a result of the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results of operations could suffer if we are unable to manage our international business effectively.</w:t>
      </w:r>
    </w:p>
    <w:p>
      <w:pPr>
        <w:spacing w:after="0" w:line="249"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ectPr>
          <w:pgSz w:w="12240" w:h="15840" w:orient="portrait"/>
          <w:cols w:equalWidth="0" w:num="1">
            <w:col w:w="10800"/>
          </w:cols>
          <w:pgMar w:left="720" w:top="658" w:right="720" w:bottom="0" w:gutter="0" w:footer="0" w:header="0"/>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658" w:right="720" w:bottom="0" w:gutter="0" w:footer="0" w:header="0"/>
          <w:type w:val="continuous"/>
        </w:sectPr>
      </w:pPr>
    </w:p>
    <w:bookmarkStart w:id="38" w:name="page39"/>
    <w:bookmarkEnd w:id="38"/>
    <w:p>
      <w:pPr>
        <w:ind w:firstLine="495"/>
        <w:spacing w:after="0" w:line="271" w:lineRule="auto"/>
        <w:rPr>
          <w:sz w:val="20"/>
          <w:szCs w:val="20"/>
          <w:color w:val="auto"/>
        </w:rPr>
      </w:pPr>
      <w:r>
        <w:rPr>
          <w:rFonts w:ascii="Times New Roman" w:cs="Times New Roman" w:eastAsia="Times New Roman" w:hAnsi="Times New Roman"/>
          <w:sz w:val="20"/>
          <w:szCs w:val="20"/>
          <w:color w:val="auto"/>
        </w:rPr>
        <w:t>In addition, some of the countries in which we sell or plan to sell our products are, to some degree, subject to various risks, including:</w:t>
      </w:r>
    </w:p>
    <w:p>
      <w:pPr>
        <w:spacing w:after="0" w:line="181" w:lineRule="exact"/>
        <w:rPr>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different legal and regulatory standards;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stringent protection of intellectual property;</w:t>
      </w:r>
    </w:p>
    <w:p>
      <w:pPr>
        <w:spacing w:after="0" w:line="18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of the local healthcare system to absorb prices for our product that would enable our business to become profitable in those markets;</w:t>
      </w:r>
    </w:p>
    <w:p>
      <w:pPr>
        <w:spacing w:after="0" w:line="12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obstacles to obtaining domestic and foreign export, import, and other governmental approvals, permits, and licenses and compliance with foreign laws;</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average selling prices of our implants in most foreign markets;</w:t>
      </w:r>
    </w:p>
    <w:p>
      <w:pPr>
        <w:spacing w:after="0" w:line="22" w:lineRule="exact"/>
        <w:rPr>
          <w:rFonts w:ascii="Times New Roman" w:cs="Times New Roman" w:eastAsia="Times New Roman" w:hAnsi="Times New Roman"/>
          <w:sz w:val="20"/>
          <w:szCs w:val="20"/>
          <w:color w:val="auto"/>
        </w:rPr>
      </w:pPr>
    </w:p>
    <w:p>
      <w:pPr>
        <w:ind w:left="1000" w:right="180" w:hanging="460"/>
        <w:spacing w:after="0" w:line="248" w:lineRule="auto"/>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a more concentrated surgeon base in international markets due to the surgeon acquisition costs relative to the selling price of our implants;</w:t>
      </w:r>
    </w:p>
    <w:p>
      <w:pPr>
        <w:spacing w:after="0" w:line="142"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potentially adverse tax consequences and the complexities of foreign value-added tax systems;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tariffs and trade restrictions;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the repatriation of earnings;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numbers of patients requiring procedures that use our products;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transportation delays and difficulties of managing international distribution channels;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collection periods and difficulties in collecting receivables from foreign entities;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financing costs;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risks; and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social, and economic instability and increased security concerns.</w:t>
      </w:r>
    </w:p>
    <w:p>
      <w:pPr>
        <w:spacing w:after="0" w:line="240"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20"/>
          <w:szCs w:val="20"/>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81"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 the future our products may become obsolete, which would negatively affect operations and financial condition.</w:t>
      </w:r>
    </w:p>
    <w:p>
      <w:pPr>
        <w:spacing w:after="0" w:line="249"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experience significant disruptions in our information technology systems, our business, results of operations, and financial condition could be adversely affected.</w:t>
      </w:r>
    </w:p>
    <w:p>
      <w:pPr>
        <w:spacing w:after="0" w:line="178"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20"/>
          <w:szCs w:val="20"/>
          <w:color w:val="auto"/>
        </w:rPr>
        <w:t>The efficient operation of our business depends on our information technology systems. We rely on our information technology systems to effectively manage:</w:t>
      </w:r>
    </w:p>
    <w:p>
      <w:pPr>
        <w:spacing w:after="0" w:line="181" w:lineRule="exact"/>
        <w:rPr>
          <w:sz w:val="20"/>
          <w:szCs w:val="20"/>
          <w:color w:val="auto"/>
        </w:rPr>
      </w:pPr>
    </w:p>
    <w:p>
      <w:pPr>
        <w:ind w:left="1000" w:hanging="460"/>
        <w:spacing w:after="0"/>
        <w:tabs>
          <w:tab w:leader="none" w:pos="10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marketing, accounting, and financial functions;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relationship management;</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00"/>
          </w:cols>
          <w:pgMar w:left="720" w:top="658" w:right="720" w:bottom="0" w:gutter="0" w:footer="0" w:header="0"/>
          <w:type w:val="continuous"/>
        </w:sectPr>
      </w:pPr>
    </w:p>
    <w:bookmarkStart w:id="39" w:name="page40"/>
    <w:bookmarkEnd w:id="39"/>
    <w:p>
      <w:pPr>
        <w:ind w:left="1000" w:hanging="460"/>
        <w:spacing w:after="0"/>
        <w:tabs>
          <w:tab w:leader="none" w:pos="10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management;</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and regulatory reporting requirements;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engineering and product development tasks; and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research and development data.</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information technology systems are vulnerable to damage or interruption from:</w:t>
      </w:r>
    </w:p>
    <w:p>
      <w:pPr>
        <w:spacing w:after="0" w:line="240" w:lineRule="exact"/>
        <w:rPr>
          <w:sz w:val="20"/>
          <w:szCs w:val="20"/>
          <w:color w:val="auto"/>
        </w:rPr>
      </w:pPr>
    </w:p>
    <w:p>
      <w:pPr>
        <w:ind w:left="1000" w:hanging="460"/>
        <w:spacing w:after="0"/>
        <w:tabs>
          <w:tab w:leader="none" w:pos="10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earthquakes, fires, floods, and other natural disasters;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terrorist attacks and attacks by computer viruses or hackers or internal or external breaches of our cybersecurity;</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power losses; and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computer systems, internet, telecommunications, or data network failures.</w:t>
      </w:r>
    </w:p>
    <w:p>
      <w:pPr>
        <w:spacing w:after="0" w:line="180"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92" w:lineRule="exact"/>
        <w:rPr>
          <w:sz w:val="20"/>
          <w:szCs w:val="20"/>
          <w:color w:val="auto"/>
        </w:rPr>
      </w:pPr>
    </w:p>
    <w:p>
      <w:pPr>
        <w:jc w:val="both"/>
        <w:ind w:firstLine="495"/>
        <w:spacing w:after="0" w:line="237" w:lineRule="auto"/>
        <w:rPr>
          <w:sz w:val="20"/>
          <w:szCs w:val="20"/>
          <w:color w:val="auto"/>
        </w:rPr>
      </w:pPr>
      <w:r>
        <w:rPr>
          <w:rFonts w:ascii="Times New Roman" w:cs="Times New Roman" w:eastAsia="Times New Roman" w:hAnsi="Times New Roman"/>
          <w:sz w:val="20"/>
          <w:szCs w:val="20"/>
          <w:color w:val="auto"/>
        </w:rPr>
        <w:t>Like other public companies, we have in the past, and in the future could be subject to instances of phishing attacks on our email systems, other cyber-attacks, industrial espionage, insider threats, computer denial-of-service attacks, computer viruses, ransomware and other malware, wire fraud or other cyber incidents. The techniques used to obtain unauthorized access, or to sabotage systems, are becoming more sophisticated, frequent and adaptive, and therefore we may be unable to anticipate these techniques or to implement adequate preventative measures. Any security breach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In addition, the cost and operational consequences of implementing further data protection or data restoration measures could be significant.</w:t>
      </w:r>
    </w:p>
    <w:p>
      <w:pPr>
        <w:spacing w:after="0" w:line="202"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98"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97" w:lineRule="exact"/>
        <w:rPr>
          <w:sz w:val="20"/>
          <w:szCs w:val="20"/>
          <w:color w:val="auto"/>
        </w:rPr>
      </w:pPr>
    </w:p>
    <w:p>
      <w:pPr>
        <w:ind w:left="1000" w:hanging="460"/>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problems assimilating the purchased technologies, products, or business operations;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issues maintaining uniform standards, procedures, controls, and policies;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costs and liabilities associated with acquisitions;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from our core business;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effects on existing business relationships with suppliers and customers;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entering new markets in which we have limited or no experience;</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658" w:right="720" w:bottom="0" w:gutter="0" w:footer="0" w:header="0"/>
          <w:type w:val="continuous"/>
        </w:sectPr>
      </w:pPr>
    </w:p>
    <w:bookmarkStart w:id="40" w:name="page41"/>
    <w:bookmarkEnd w:id="40"/>
    <w:p>
      <w:pPr>
        <w:ind w:left="1000" w:hanging="460"/>
        <w:spacing w:after="0"/>
        <w:tabs>
          <w:tab w:leader="none" w:pos="10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loss of key employees of acquired businesses; and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legal and accounting compliance costs.</w:t>
      </w:r>
    </w:p>
    <w:p>
      <w:pPr>
        <w:spacing w:after="0" w:line="180" w:lineRule="exact"/>
        <w:rPr>
          <w:sz w:val="20"/>
          <w:szCs w:val="20"/>
          <w:color w:val="auto"/>
        </w:rPr>
      </w:pPr>
    </w:p>
    <w:p>
      <w:pPr>
        <w:jc w:val="both"/>
        <w:ind w:firstLine="495"/>
        <w:spacing w:after="0" w:line="244" w:lineRule="auto"/>
        <w:rPr>
          <w:sz w:val="20"/>
          <w:szCs w:val="20"/>
          <w:color w:val="auto"/>
        </w:rPr>
      </w:pPr>
      <w:r>
        <w:rPr>
          <w:rFonts w:ascii="Times New Roman" w:cs="Times New Roman" w:eastAsia="Times New Roman" w:hAnsi="Times New Roman"/>
          <w:sz w:val="20"/>
          <w:szCs w:val="20"/>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third-party sales agents and resellers.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78"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214" w:lineRule="exact"/>
        <w:rPr>
          <w:sz w:val="20"/>
          <w:szCs w:val="20"/>
          <w:color w:val="auto"/>
        </w:rPr>
      </w:pPr>
    </w:p>
    <w:p>
      <w:pPr>
        <w:jc w:val="both"/>
        <w:ind w:firstLine="495"/>
        <w:spacing w:after="0" w:line="244" w:lineRule="auto"/>
        <w:rPr>
          <w:sz w:val="20"/>
          <w:szCs w:val="20"/>
          <w:color w:val="auto"/>
        </w:rPr>
      </w:pPr>
      <w:r>
        <w:rPr>
          <w:rFonts w:ascii="Times New Roman" w:cs="Times New Roman" w:eastAsia="Times New Roman" w:hAnsi="Times New Roman"/>
          <w:sz w:val="20"/>
          <w:szCs w:val="20"/>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210"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a large accelerated filer and may no longer provide scaled disclosures as a smaller reporting company beginning with our Quarterly Report on Form 10-Q for the quarter ending March 31, 2024, which will increase our costs and demands on management.</w:t>
      </w:r>
    </w:p>
    <w:p>
      <w:pPr>
        <w:spacing w:after="0" w:line="198"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We are a large accelerated filer and beginning with our Quarterly Report on Form 10-Q for the quarter ending March 31, 2024, we may no longer provide scaled disclosure as a “smaller reporting company” as defined under the Securities Exchange Act of 1934, as amended (the “Exchange Act”).</w:t>
      </w:r>
    </w:p>
    <w:p>
      <w:pPr>
        <w:spacing w:after="0" w:line="197"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As a smaller reporting company, we had the option to take advantage of certain exemptions from various reporting requirements that are applicable to other public companies, including, but not limited to, reduced disclosure obligations regarding executive compensation in our periodic reports and proxy statements.</w:t>
      </w:r>
    </w:p>
    <w:p>
      <w:pPr>
        <w:spacing w:after="0" w:line="197"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20"/>
          <w:szCs w:val="20"/>
          <w:color w:val="auto"/>
        </w:rPr>
        <w:t>In addition, as a non-accelerated filer and smaller reporting company, we have availed ourselves of the exemption from the requirement that our independent registered public accounting firm attest to the effectiveness of our internal control over financial</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658" w:right="720" w:bottom="0" w:gutter="0" w:footer="0" w:header="0"/>
          <w:type w:val="continuous"/>
        </w:sectPr>
      </w:pPr>
    </w:p>
    <w:bookmarkStart w:id="41" w:name="page42"/>
    <w:bookmarkEnd w:id="41"/>
    <w:p>
      <w:pPr>
        <w:jc w:val="both"/>
        <w:spacing w:after="0" w:line="271" w:lineRule="auto"/>
        <w:rPr>
          <w:sz w:val="20"/>
          <w:szCs w:val="20"/>
          <w:color w:val="auto"/>
        </w:rPr>
      </w:pPr>
      <w:r>
        <w:rPr>
          <w:rFonts w:ascii="Times New Roman" w:cs="Times New Roman" w:eastAsia="Times New Roman" w:hAnsi="Times New Roman"/>
          <w:sz w:val="20"/>
          <w:szCs w:val="20"/>
          <w:color w:val="auto"/>
        </w:rPr>
        <w:t>reporting under Section 404(b) of the Sarbanes Oxley Act (“Section 404”). However, we may no longer avail ourselves of this exemption as a large accelerated filer, which will increase our expenses and require a significant amount of management time.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market price of our common shares.</w:t>
      </w:r>
    </w:p>
    <w:p>
      <w:pPr>
        <w:spacing w:after="0" w:line="198"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w:t>
      </w:r>
    </w:p>
    <w:p>
      <w:pPr>
        <w:spacing w:after="0" w:line="197"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We are required to disclose changes made in our internal controls and procedures on a quarterly basis and our management is required to assess the effectiveness of these controls annually. We are also required to obtain an independent assessment of the effectiveness of our internal controls which could detect problems that our management’s assessment might not. Going forward, even if our management concludes that our internal control over financial reporting is effective, our independent registered public accounting firm may conclude that there are material weaknesses or significant deficiencies with respect to our internal controls or the level at which our internal controls are documented, designed, implemented or reviewed. If we or our independent registered public accounting firm identifies deficiencies in our internal control over financial reporting that are deemed to be material weaknesses or that may require prospective or retroactive changes to our financial statements, investors may lose confidence in our reported financial information, which could cause the market price of our common shares to decline and we could be subject to sanctions or investigations by the SEC or other regulatory authorities, which would require additional financial and management resources. Irrespective of compliance with Section 404, any failure of our internal control over financial reporting could have a material adverse effect on our stated operating results and harm our reputation.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Legal and Regulatory Environment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our suppliers, and our third-party manufacturers are subject to extensive governmental regulation both in the United States.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and abroad, and failure to comply with applicable requirements could cause our business to suffer.</w:t>
      </w:r>
    </w:p>
    <w:p>
      <w:pPr>
        <w:spacing w:after="0" w:line="221"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The medical device industry is regulated extensively by governmental authorities, principally the FDA and corresponding state and foreign regulatory authorities. The FDA and other U.S. and foreign regulatory authorities regulate, among other things, with respect to medical devices:</w:t>
      </w:r>
    </w:p>
    <w:p>
      <w:pPr>
        <w:spacing w:after="0" w:line="197" w:lineRule="exact"/>
        <w:rPr>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development, and manufacturing;</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labeling, content, and language of instructions for use and storage;</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safety;</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marketing, sales, and distribution;</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premarket clearance and approval;</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conformity assessment procedures and the issue of related CE Certificates of Conformity;</w:t>
      </w:r>
    </w:p>
    <w:p>
      <w:pPr>
        <w:spacing w:after="0" w:line="174"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 keeping procedures;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advertising and promotion;</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good manufacturing practices requirements;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recalls and field safety corrective actions;</w:t>
      </w:r>
    </w:p>
    <w:p>
      <w:pPr>
        <w:spacing w:after="0" w:line="18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post-market surveillance, including reporting of deaths or serious injuries and malfunctions that, if they were to recur, could lead to death or serious injury;</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post-market approval studies; and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import and export.</w:t>
      </w:r>
    </w:p>
    <w:p>
      <w:pPr>
        <w:spacing w:after="0" w:line="240"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ectPr>
          <w:pgSz w:w="12240" w:h="15840" w:orient="portrait"/>
          <w:cols w:equalWidth="0" w:num="1">
            <w:col w:w="10800"/>
          </w:cols>
          <w:pgMar w:left="720" w:top="658" w:right="720" w:bottom="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658" w:right="720" w:bottom="0" w:gutter="0" w:footer="0" w:header="0"/>
          <w:type w:val="continuous"/>
        </w:sectPr>
      </w:pPr>
    </w:p>
    <w:bookmarkStart w:id="42" w:name="page43"/>
    <w:bookmarkEnd w:id="42"/>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Before we can market or sell a new regulated medical device or make a significant modification to an existing product in the United States, with limited exceptions, we must obtain either clearance under Section 510(k) of the FDCA for Class II devices or approval of a PMA application from the FDA for a Class III device.</w:t>
      </w:r>
    </w:p>
    <w:p>
      <w:pPr>
        <w:spacing w:after="0" w:line="197" w:lineRule="exact"/>
        <w:rPr>
          <w:sz w:val="20"/>
          <w:szCs w:val="20"/>
          <w:color w:val="auto"/>
        </w:rPr>
      </w:pPr>
    </w:p>
    <w:p>
      <w:pPr>
        <w:jc w:val="both"/>
        <w:ind w:firstLine="495"/>
        <w:spacing w:after="0" w:line="237" w:lineRule="auto"/>
        <w:rPr>
          <w:sz w:val="20"/>
          <w:szCs w:val="20"/>
          <w:color w:val="auto"/>
        </w:rPr>
      </w:pPr>
      <w:r>
        <w:rPr>
          <w:rFonts w:ascii="Times New Roman" w:cs="Times New Roman" w:eastAsia="Times New Roman" w:hAnsi="Times New Roman"/>
          <w:sz w:val="20"/>
          <w:szCs w:val="20"/>
          <w:color w:val="auto"/>
        </w:rPr>
        <w:t>If the FDA requires us to go through a lengthier, more rigorous examination for future products or modifications to existing products than we expect,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 If current or future products that we seek to commercialize are determined to require a PMA or De Novo 510(k) clearance, FDA may require evidence from clinical trials conducted under an investigational</w:t>
      </w:r>
    </w:p>
    <w:p>
      <w:pPr>
        <w:spacing w:after="0" w:line="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device exemption (“IDE”). Trials conducted under an IDE and a PMA or De Novo 510(k) submission to the FDA can be lengthy and costly processes, which could delay and add to the cost of commercializing our products, which could adversely affect our financial results.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FDA can delay, limit or deny clearance or approval of a device for many reasons, including:</w:t>
      </w:r>
    </w:p>
    <w:p>
      <w:pPr>
        <w:spacing w:after="0" w:line="240" w:lineRule="exact"/>
        <w:rPr>
          <w:sz w:val="20"/>
          <w:szCs w:val="20"/>
          <w:color w:val="auto"/>
        </w:rPr>
      </w:pPr>
    </w:p>
    <w:p>
      <w:pPr>
        <w:ind w:left="1000" w:hanging="460"/>
        <w:spacing w:after="0" w:line="271" w:lineRule="auto"/>
        <w:tabs>
          <w:tab w:leader="none" w:pos="10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demonstrate to the FDA’s satisfaction that our products are safe and effective for their intended uses;</w:t>
      </w:r>
    </w:p>
    <w:p>
      <w:pPr>
        <w:spacing w:after="0" w:line="12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from our pre-clinical studies and clinical trials may be insufficient to support clearance or approval, where required; and</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manufacturing process or facilities we use may not meet applicable requirements.</w:t>
      </w:r>
    </w:p>
    <w:p>
      <w:pPr>
        <w:spacing w:after="0" w:line="240"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97"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20"/>
          <w:szCs w:val="20"/>
          <w:color w:val="auto"/>
        </w:rPr>
        <w:t>Any delay in, or failure to receive or maintain, clearance or approval for our products under development could prevent us from generating revenue from these products or achieving profitability.</w:t>
      </w:r>
    </w:p>
    <w:p>
      <w:pPr>
        <w:spacing w:after="0" w:line="181" w:lineRule="exact"/>
        <w:rPr>
          <w:sz w:val="20"/>
          <w:szCs w:val="20"/>
          <w:color w:val="auto"/>
        </w:rPr>
      </w:pPr>
    </w:p>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207"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In the EU, the Medical Device Regulation became applicable on May 26, 2021, repealing and replacing the MDD. The Medical Device Regulation establishes transitional provisions. However, the changes to the regulatory system implemented in the EU by the Medical Device Regulation include stricter requirements for clinical evidence and pre-market assessment of safety and performance, new classifications to indicate risk levels, requirements for third party testing by Notified Bodies, tightened and streamlined QMS assessment procedures and additional requirements for the QMS, additional requirements for traceability of products and transparency as well a refined responsibility of economic operators. We are also required to provide clinical data in the form of a clinical evaluation report. Fulfillment of the obligations imposed by the Medical Device Regulation may cause us to incur substantial costs. We may be unable to fulfil these obligations, or our Notified Body may consider that we have not adequately demonstrated compliance with our related obligations to merit a CE Certificate of Conformity on the basis of the Medical Device Regulation.</w:t>
      </w:r>
    </w:p>
    <w:p>
      <w:pPr>
        <w:spacing w:after="0" w:line="214"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The FDA and other regulatory authorities, including foreign authorities, have broad enforcement powers. Regulatory enforcement or inquiries, or other increased scrutiny on us, could dissuade some physicians from using our products and adversely affect our reputation and the perceived safety and effectiveness of our products.</w:t>
      </w:r>
    </w:p>
    <w:p>
      <w:pPr>
        <w:spacing w:after="0" w:line="197"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20"/>
          <w:szCs w:val="20"/>
          <w:color w:val="auto"/>
        </w:rPr>
        <w:t>Failure to comply with applicable regulations could jeopardize our ability to sell our products and result in enforcement actions such as:</w:t>
      </w:r>
    </w:p>
    <w:p>
      <w:pPr>
        <w:spacing w:after="0" w:line="181" w:lineRule="exact"/>
        <w:rPr>
          <w:sz w:val="20"/>
          <w:szCs w:val="20"/>
          <w:color w:val="auto"/>
        </w:rPr>
      </w:pPr>
    </w:p>
    <w:p>
      <w:pPr>
        <w:ind w:left="1000" w:hanging="460"/>
        <w:spacing w:after="0"/>
        <w:tabs>
          <w:tab w:leader="none" w:pos="10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warning letters;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658" w:right="720" w:bottom="0" w:gutter="0" w:footer="0" w:header="0"/>
          <w:type w:val="continuous"/>
        </w:sectPr>
      </w:pPr>
    </w:p>
    <w:bookmarkStart w:id="43" w:name="page44"/>
    <w:bookmarkEnd w:id="43"/>
    <w:p>
      <w:pPr>
        <w:ind w:left="1000" w:hanging="460"/>
        <w:spacing w:after="0"/>
        <w:tabs>
          <w:tab w:leader="none" w:pos="10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penalties;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distribution;</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recalls or seizures of products;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the introduction of products into the market;</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or partial suspension of production;</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facility closures;</w:t>
      </w:r>
    </w:p>
    <w:p>
      <w:pPr>
        <w:spacing w:after="0" w:line="18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or our Notified Body or other regulator to grant future clearances or approvals or to issue CE Certificates of Conformity;</w:t>
      </w:r>
    </w:p>
    <w:p>
      <w:pPr>
        <w:spacing w:after="0" w:line="12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withdrawals, variation, or suspensions of current clearances or approvals and CE Certificates of Conformity, resulting in prohibitions on sales of our products; and</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most serious cases, criminal penalties.</w:t>
      </w:r>
    </w:p>
    <w:p>
      <w:pPr>
        <w:spacing w:after="0" w:line="180"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Adverse action by an applicable regulatory authority,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98"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Healthcare providers, third-party sales agents and resellers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sales agents and resellers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coding of claims for reimbursement for medical procedures submitted to private and governmental payors and reporting of other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spacing w:after="0" w:line="213"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There are numerous U.S. federal and state laws pertaining to healthcare fraud and abuse, including anti-kickback and false claims laws. Our relationships and our third-party sales agents and resellers’ relationships with physicians,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w:t>
      </w:r>
    </w:p>
    <w:p>
      <w:pPr>
        <w:spacing w:after="0" w:line="206" w:lineRule="exact"/>
        <w:rPr>
          <w:sz w:val="20"/>
          <w:szCs w:val="20"/>
          <w:color w:val="auto"/>
        </w:rPr>
      </w:pPr>
    </w:p>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Certain states and countries also have enacted analogous state and foreign law equivalents of each of the above federal laws and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and foreign laws differ from each other in significant ways and may not have the same effect, thus complicating compliance efforts.</w:t>
      </w:r>
    </w:p>
    <w:p>
      <w:pPr>
        <w:spacing w:after="0" w:line="207"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202"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20"/>
          <w:szCs w:val="20"/>
          <w:color w:val="auto"/>
        </w:rPr>
        <w:t>We have entered into consulting agreements and royalty agreements with physicians and healthcare executives, including some who are customers. We also engage in co-marketing arrangements with certain physicians who use our products. In addition, prior to</w:t>
      </w:r>
    </w:p>
    <w:p>
      <w:pPr>
        <w:sectPr>
          <w:pgSz w:w="12240" w:h="15840" w:orient="portrait"/>
          <w:cols w:equalWidth="0" w:num="1">
            <w:col w:w="10800"/>
          </w:cols>
          <w:pgMar w:left="720" w:top="658" w:right="720" w:bottom="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658" w:right="720" w:bottom="0" w:gutter="0" w:footer="0" w:header="0"/>
          <w:type w:val="continuous"/>
        </w:sectPr>
      </w:pPr>
    </w:p>
    <w:bookmarkStart w:id="44" w:name="page45"/>
    <w:bookmarkEnd w:id="44"/>
    <w:p>
      <w:pPr>
        <w:jc w:val="both"/>
        <w:spacing w:after="0" w:line="243" w:lineRule="auto"/>
        <w:rPr>
          <w:sz w:val="20"/>
          <w:szCs w:val="20"/>
          <w:color w:val="auto"/>
        </w:rPr>
      </w:pPr>
      <w:r>
        <w:rPr>
          <w:rFonts w:ascii="Times New Roman" w:cs="Times New Roman" w:eastAsia="Times New Roman" w:hAnsi="Times New Roman"/>
          <w:sz w:val="20"/>
          <w:szCs w:val="20"/>
          <w:color w:val="auto"/>
        </w:rPr>
        <w:t>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physicians who order our products to be in violation of applicable laws and we were unable to comply with such laws, which could subject us to, among other things, monetary penalties for non-compliance, the cost of which could be substantial.</w:t>
      </w:r>
    </w:p>
    <w:p>
      <w:pPr>
        <w:spacing w:after="0" w:line="214"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Various state and federal regulatory and enforcement agencies, and foreign equivalents, continue actively to investigate violations of health 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In addition, most of these laws apply to not only the actions taken by us, but also actions taken by our distributors and other third party agents, and healthcare providers with whom we interact. We have limited control over the business practices of our distributors and agents, and we may face regulatory action against us as a result of their actions which could have a material adverse effect on our reputation, business, results of operations, and financial condition.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212" w:lineRule="exact"/>
        <w:rPr>
          <w:sz w:val="20"/>
          <w:szCs w:val="20"/>
          <w:color w:val="auto"/>
        </w:rPr>
      </w:pPr>
    </w:p>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9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and other adverse business consequences.</w:t>
      </w:r>
    </w:p>
    <w:p>
      <w:pPr>
        <w:spacing w:after="0" w:line="198"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In the ordinary course of our business, we collect and process personal data and other sensitive information. We process data of our employees, consultants, certain individuals who may be affiliated with our customers, including physician users of our products and, in the context of clinical investigations, patients. The personal data may include sensitive personal data including health information. We collect this kind of information for several purposes, such as billing, reimbursement support, marketing purposes, post-marketing safety vigilance, servicing potential warranty claims and during the course of clinical trials. We are subject to various federal, state and foreign laws that protect the confidentiality of certain sensitive information including patient health information, such as patient medical records, and restrict the use and disclosure of patient health information by healthcare providers, such as HIPAA in the United States and regulations in the European Union (“EU”), which are described in detail in "Item 1. Business - Data Privacy and Security Laws.”</w:t>
      </w:r>
    </w:p>
    <w:p>
      <w:pPr>
        <w:spacing w:after="0" w:line="214"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Many U.S. states have enacted laws regulating the collection, use and disclosure of personal data and requiring that companies implement reasonable data security measures. Laws in all states and U.S. territories also require businesses to notify affected individuals, governmental entities and/or credit reporting agencies of certain security breaches affecting personal data. These laws are not consistent, and increase our compliance costs and potential liability in the event of a data breach.</w:t>
      </w:r>
    </w:p>
    <w:p>
      <w:pPr>
        <w:spacing w:after="0" w:line="202"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658" w:right="720" w:bottom="0" w:gutter="0" w:footer="0" w:header="0"/>
          <w:type w:val="continuous"/>
        </w:sectPr>
      </w:pPr>
    </w:p>
    <w:bookmarkStart w:id="45" w:name="page46"/>
    <w:bookmarkEnd w:id="45"/>
    <w:p>
      <w:pPr>
        <w:jc w:val="both"/>
        <w:spacing w:after="0" w:line="244" w:lineRule="auto"/>
        <w:rPr>
          <w:sz w:val="20"/>
          <w:szCs w:val="20"/>
          <w:color w:val="auto"/>
        </w:rPr>
      </w:pPr>
      <w:r>
        <w:rPr>
          <w:rFonts w:ascii="Times New Roman" w:cs="Times New Roman" w:eastAsia="Times New Roman" w:hAnsi="Times New Roman"/>
          <w:sz w:val="20"/>
          <w:szCs w:val="20"/>
          <w:color w:val="auto"/>
        </w:rPr>
        <w:t>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includes exemptions for certain clinical trials data, and protected health information governed by HIPAA, the law may increase our compliance costs and potential liability with respect to other personal data we collect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further complicate compliance efforts, and increase legal risk and compliance costs for us, the third parties upon whom we rely, and our customers.</w:t>
      </w:r>
    </w:p>
    <w:p>
      <w:pPr>
        <w:spacing w:after="0" w:line="210"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govern data privacy and security. For example, the European Union’s General Data Protection Regulation (“GDPR”) and the United Kingdom’s GDPR (“UK GDPR”) impose strict requirements for processing personal data. The GDPR is directly applicable in each EU Member State. This should, in principle, result in a more uniform application of data privacy laws across the EU. The GDPR imposes onerous accountability obligations requiring data controllers and processors to maintain a record of their data processing and policies. It requires data controllers to be transparent and to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 — the greater of € 20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Each EU Member State may also adopt additional related legislation and guidance in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212"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211"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204" w:lineRule="exact"/>
        <w:rPr>
          <w:sz w:val="20"/>
          <w:szCs w:val="20"/>
          <w:color w:val="auto"/>
        </w:rPr>
      </w:pPr>
    </w:p>
    <w:p>
      <w:pPr>
        <w:jc w:val="both"/>
        <w:ind w:firstLine="495"/>
        <w:spacing w:after="0" w:line="244" w:lineRule="auto"/>
        <w:rPr>
          <w:sz w:val="20"/>
          <w:szCs w:val="20"/>
          <w:color w:val="auto"/>
        </w:rPr>
      </w:pPr>
      <w:r>
        <w:rPr>
          <w:rFonts w:ascii="Times New Roman" w:cs="Times New Roman" w:eastAsia="Times New Roman" w:hAnsi="Times New Roman"/>
          <w:sz w:val="20"/>
          <w:szCs w:val="20"/>
          <w:color w:val="auto"/>
        </w:rPr>
        <w:t>In addition to data privacy and security laws, we are contractually subject to industry standards adopted by industry groups and, we are, or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also rely on vendors to process payment card data, who may be subject to PCI DSS, and our business may be negatively affected if our vendors are fined or suffer other consequences as a result of PCI DSS noncompliance.</w:t>
      </w:r>
    </w:p>
    <w:p>
      <w:pPr>
        <w:spacing w:after="0" w:line="200" w:lineRule="exact"/>
        <w:rPr>
          <w:sz w:val="20"/>
          <w:szCs w:val="20"/>
          <w:color w:val="auto"/>
        </w:rPr>
      </w:pPr>
    </w:p>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We depend on a number of third parties in relation to the provision of our services, a number of which process personal data on our behalf. With each such provider we enter into contractual arrangements to ensure that they only process personal data according to our instructions and applicable laws, and that they have sufficient technical and organizational security measures in place to fulfil their related obligations. These third party service providers may breach their contractual or legal obligations, which could negatively effect our business and/or our reputation.</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658" w:right="720" w:bottom="0" w:gutter="0" w:footer="0" w:header="0"/>
          <w:type w:val="continuous"/>
        </w:sectPr>
      </w:pPr>
    </w:p>
    <w:bookmarkStart w:id="46" w:name="page47"/>
    <w:bookmarkEnd w:id="46"/>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204"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We have in the past, and could be in the future, subject to data breaches. Our failure (or perceived failure) to comply with applicable data privacy and security obligations, or to protect such data, could result in significant consequences to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Evolving and changing definitions of personal data,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our non-U.S. operations.</w:t>
      </w:r>
    </w:p>
    <w:p>
      <w:pPr>
        <w:spacing w:after="0" w:line="249"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215" w:lineRule="exact"/>
        <w:rPr>
          <w:sz w:val="20"/>
          <w:szCs w:val="20"/>
          <w:color w:val="auto"/>
        </w:rPr>
      </w:pPr>
    </w:p>
    <w:p>
      <w:pPr>
        <w:jc w:val="both"/>
        <w:ind w:firstLine="495"/>
        <w:spacing w:after="0" w:line="244" w:lineRule="auto"/>
        <w:rPr>
          <w:sz w:val="20"/>
          <w:szCs w:val="20"/>
          <w:color w:val="auto"/>
        </w:rPr>
      </w:pPr>
      <w:r>
        <w:rPr>
          <w:rFonts w:ascii="Times New Roman" w:cs="Times New Roman" w:eastAsia="Times New Roman" w:hAnsi="Times New Roman"/>
          <w:sz w:val="20"/>
          <w:szCs w:val="20"/>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98" w:lineRule="exact"/>
        <w:rPr>
          <w:sz w:val="20"/>
          <w:szCs w:val="20"/>
          <w:color w:val="auto"/>
        </w:rPr>
      </w:pPr>
    </w:p>
    <w:p>
      <w:pPr>
        <w:ind w:right="80" w:firstLine="495"/>
        <w:spacing w:after="0"/>
        <w:rPr>
          <w:sz w:val="20"/>
          <w:szCs w:val="20"/>
          <w:color w:val="auto"/>
        </w:rPr>
      </w:pPr>
      <w:r>
        <w:rPr>
          <w:rFonts w:ascii="Times New Roman" w:cs="Times New Roman" w:eastAsia="Times New Roman" w:hAnsi="Times New Roman"/>
          <w:sz w:val="19"/>
          <w:szCs w:val="19"/>
          <w:color w:val="auto"/>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EU QMS</w:t>
      </w:r>
    </w:p>
    <w:p>
      <w:pPr>
        <w:spacing w:after="0" w:line="3"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20"/>
          <w:szCs w:val="20"/>
          <w:color w:val="auto"/>
        </w:rPr>
        <w:t>requirements applicable to medical device</w:t>
      </w:r>
      <w:r>
        <w:rPr>
          <w:rFonts w:ascii="Calibri" w:cs="Calibri" w:eastAsia="Calibri" w:hAnsi="Calibri"/>
          <w:sz w:val="20"/>
          <w:szCs w:val="20"/>
          <w:b w:val="1"/>
          <w:bCs w:val="1"/>
          <w:color w:val="auto"/>
        </w:rPr>
        <w:t>s</w:t>
      </w:r>
      <w:r>
        <w:rPr>
          <w:rFonts w:ascii="Times New Roman" w:cs="Times New Roman" w:eastAsia="Times New Roman" w:hAnsi="Times New Roman"/>
          <w:sz w:val="20"/>
          <w:szCs w:val="20"/>
          <w:color w:val="auto"/>
        </w:rPr>
        <w:t xml:space="preserve">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800"/>
          </w:cols>
          <w:pgMar w:left="720" w:top="658" w:right="720" w:bottom="0" w:gutter="0" w:footer="0" w:header="0"/>
          <w:type w:val="continuous"/>
        </w:sectPr>
      </w:pPr>
    </w:p>
    <w:bookmarkStart w:id="47" w:name="page48"/>
    <w:bookmarkEnd w:id="47"/>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97" w:lineRule="exact"/>
        <w:rPr>
          <w:sz w:val="20"/>
          <w:szCs w:val="20"/>
          <w:color w:val="auto"/>
        </w:rPr>
      </w:pPr>
    </w:p>
    <w:p>
      <w:pPr>
        <w:ind w:left="1000" w:hanging="460"/>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untitled letters, warning letters, fines, injunctions, consent, and civil penalties;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expenditures to address or defend such actions;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notifications for repair, replacement, refunds;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recall, detention, or seizure of our products;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restrictions or partial suspension or total shutdown of production;</w:t>
      </w:r>
    </w:p>
    <w:p>
      <w:pPr>
        <w:spacing w:after="0" w:line="18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refusing or delaying our requests for 510(k) clearance or premarket approval and applications for or conduct of conformity assessments of new products or modified products;</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the intended uses for which the product may be marketed;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restrictions;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withdrawing 510(k) clearances or PMA approvals that have already been granted;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variation or withdrawal of CE Certificates of Conformity;</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grant export approval for our products; and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prosecution.</w:t>
      </w:r>
    </w:p>
    <w:p>
      <w:pPr>
        <w:spacing w:after="0" w:line="240"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or QMS,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manufacturers, and third-party sales agents and resellers may engage in misconduct or other improper activities, relating to regulatory standards and requirements.</w:t>
      </w:r>
    </w:p>
    <w:p>
      <w:pPr>
        <w:spacing w:after="0" w:line="178"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We are exposed to the risk that our employees, independent contractors, consultants, manufacturers,and third-party sales agents and resellers may engage in fraudulent conduct or other illegal activity. Misconduct by these parties could include intentional, reckless and/or negligent conduct that violates applicable laws and regulations, such as FDA reporting requirements,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0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enforcement action, including fines, penalties or injunctions, if we are determined to be engaging in the off-label promotion of our products.</w:t>
      </w:r>
    </w:p>
    <w:p>
      <w:pPr>
        <w:spacing w:after="0" w:line="178"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658" w:right="720" w:bottom="0" w:gutter="0" w:footer="0" w:header="0"/>
          <w:type w:val="continuous"/>
        </w:sectPr>
      </w:pPr>
    </w:p>
    <w:bookmarkStart w:id="48" w:name="page49"/>
    <w:bookmarkEnd w:id="48"/>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We believe that the specific surgical procedures for which our products are marketed fall within the scope of the surgical applications that have been cleared by the FDA and our Notified Body. However, if the FDA or an equivalent foreign regulatory authority determines that our promotional materials or training constitutes promotion of an off-label use, it could request that we modify our training or promotional materials, require us to stop promoting our products for those specific procedures until we obtain FDA or foreign regulatory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authority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0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78"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Under the FDA’s medical device reporting, regulations, and equivalent rules of other countries we are required to report to the FDA and comparable foreign regulatory authorities, any information that our product may have caused or contributed to a death or serious injury or in which our product malfunctioned and, if the malfunction were to recur, would likely cause or contribute to death or serious injury. In the EEA, we must report serious incidents, field safety corrective actions and trend reports through the EUDAMED module on vigilance and post-market surveillance. However, EUDAMED is not yet fully functional and the related module on vigilance and post-market surveillance is not available yet. Until the entire EUDAMED system is fully functional, serious incidents and field safety corrective actions must be reported to the national competent authorities through national systems.</w:t>
      </w:r>
    </w:p>
    <w:p>
      <w:pPr>
        <w:spacing w:after="0" w:line="207"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If we fail to report these events to the FDA or comparable foreign regulatory authorities within the required timeframes, or at all, FDA, or the competent foreign regulatory authority could take enforcement action against us. Any such adverse event involving our products or repeated product malfunctions may result in voluntary or involuntary corrective actions, such as recalls or customer notifications, or action by competent regulatory authorities,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207"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Any adverse event involving our products, whether in the United States or abroad could result in future voluntary corrective actions, such as recalls, including corrections, or customer notifications, or action by competent regulatory authorities,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 recall of our products, either voluntarily or at the direction of the FDA or another regulatory authority, including foreign regulatory authorities, or the discovery of serious safety issues or malfunctions with our products, can result in voluntary corrective actions or regulatory enforcement actions, which could have a significant adverse impact on us.</w:t>
      </w:r>
    </w:p>
    <w:p>
      <w:pPr>
        <w:spacing w:after="0" w:line="198"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The FDA and similar foreign regulatory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97" w:lineRule="exact"/>
        <w:rPr>
          <w:sz w:val="20"/>
          <w:szCs w:val="20"/>
          <w:color w:val="auto"/>
        </w:rPr>
      </w:pPr>
    </w:p>
    <w:p>
      <w:pPr>
        <w:jc w:val="both"/>
        <w:ind w:firstLine="495"/>
        <w:spacing w:after="0" w:line="244" w:lineRule="auto"/>
        <w:rPr>
          <w:sz w:val="20"/>
          <w:szCs w:val="20"/>
          <w:color w:val="auto"/>
        </w:rPr>
      </w:pPr>
      <w:r>
        <w:rPr>
          <w:rFonts w:ascii="Times New Roman" w:cs="Times New Roman" w:eastAsia="Times New Roman" w:hAnsi="Times New Roman"/>
          <w:sz w:val="20"/>
          <w:szCs w:val="20"/>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sales agents or resellers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210" w:lineRule="exact"/>
        <w:rPr>
          <w:sz w:val="20"/>
          <w:szCs w:val="20"/>
          <w:color w:val="auto"/>
        </w:rPr>
      </w:pPr>
    </w:p>
    <w:p>
      <w:pPr>
        <w:jc w:val="both"/>
        <w:ind w:firstLine="495"/>
        <w:spacing w:after="0" w:line="275" w:lineRule="auto"/>
        <w:rPr>
          <w:sz w:val="20"/>
          <w:szCs w:val="20"/>
          <w:color w:val="auto"/>
        </w:rPr>
      </w:pPr>
      <w:r>
        <w:rPr>
          <w:rFonts w:ascii="Times New Roman" w:cs="Times New Roman" w:eastAsia="Times New Roman" w:hAnsi="Times New Roman"/>
          <w:sz w:val="19"/>
          <w:szCs w:val="19"/>
          <w:color w:val="auto"/>
        </w:rPr>
        <w:t>The FDA requires that certain classifications of recalls be reported to FDA within 10 working days after the recall is initiated. Companies are required to maintain certain records of recalls, even if they are not reportable to the FDA. We have in the past, and may in the future, initiate voluntary recalls involving our products in the future that we determine do not require notification of the FDA. If</w:t>
      </w:r>
    </w:p>
    <w:p>
      <w:pPr>
        <w:sectPr>
          <w:pgSz w:w="12240" w:h="15840" w:orient="portrait"/>
          <w:cols w:equalWidth="0" w:num="1">
            <w:col w:w="10800"/>
          </w:cols>
          <w:pgMar w:left="720" w:top="658" w:right="720" w:bottom="0"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658" w:right="720" w:bottom="0" w:gutter="0" w:footer="0" w:header="0"/>
          <w:type w:val="continuous"/>
        </w:sectPr>
      </w:pPr>
    </w:p>
    <w:bookmarkStart w:id="49" w:name="page50"/>
    <w:bookmarkEnd w:id="49"/>
    <w:p>
      <w:pPr>
        <w:jc w:val="both"/>
        <w:spacing w:after="0" w:line="250" w:lineRule="auto"/>
        <w:rPr>
          <w:sz w:val="20"/>
          <w:szCs w:val="20"/>
          <w:color w:val="auto"/>
        </w:rPr>
      </w:pPr>
      <w:r>
        <w:rPr>
          <w:rFonts w:ascii="Times New Roman" w:cs="Times New Roman" w:eastAsia="Times New Roman" w:hAnsi="Times New Roman"/>
          <w:sz w:val="20"/>
          <w:szCs w:val="20"/>
          <w:color w:val="auto"/>
        </w:rPr>
        <w:t>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98"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206"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206"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207" w:lineRule="exact"/>
        <w:rPr>
          <w:sz w:val="20"/>
          <w:szCs w:val="20"/>
          <w:color w:val="auto"/>
        </w:rPr>
      </w:pPr>
    </w:p>
    <w:p>
      <w:pPr>
        <w:jc w:val="both"/>
        <w:ind w:firstLine="495"/>
        <w:spacing w:after="0" w:line="238" w:lineRule="auto"/>
        <w:rPr>
          <w:sz w:val="20"/>
          <w:szCs w:val="20"/>
          <w:color w:val="auto"/>
        </w:rPr>
      </w:pPr>
      <w:r>
        <w:rPr>
          <w:rFonts w:ascii="Times New Roman" w:cs="Times New Roman" w:eastAsia="Times New Roman" w:hAnsi="Times New Roman"/>
          <w:sz w:val="20"/>
          <w:szCs w:val="20"/>
          <w:color w:val="auto"/>
        </w:rPr>
        <w:t>In the EEA, we must inform the Notified Body that carried out the conformity assessment of the medical devices we market or sell in the EEA of any planned significant changes are made to the products or if there are substantial changes to our quality assurance systems affecting those products. The Notified Body will then assess the changes and determine whether additional audits or actions are required prior to their implementation.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 Moreover, any substantial changes that take place in the coming years may impact the continuing validity of our CE Certificates of Conformity that were issued on the basis of the Medical Device Directive.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198"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We are in the process of developing our regulatory strategies for obtaining clearance approval or CE Certificates of Conformity for future products. Some of them may require 510(k) clearance by the FDA or a new CE Certificate of Conformity by a Notified Body.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 Certificates of Conformity for our new products would have an adverse effect on our ability to expand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fail to obtain or maintain foreign regulatory approvals to market our products in other countries.</w:t>
      </w:r>
    </w:p>
    <w:p>
      <w:pPr>
        <w:spacing w:after="0" w:line="24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w:t>
      </w:r>
    </w:p>
    <w:p>
      <w:pPr>
        <w:sectPr>
          <w:pgSz w:w="12240" w:h="15840" w:orient="portrait"/>
          <w:cols w:equalWidth="0" w:num="1">
            <w:col w:w="10800"/>
          </w:cols>
          <w:pgMar w:left="720" w:top="658" w:right="720" w:bottom="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658" w:right="720" w:bottom="0" w:gutter="0" w:footer="0" w:header="0"/>
          <w:type w:val="continuous"/>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20"/>
          <w:szCs w:val="20"/>
          <w:color w:val="auto"/>
        </w:rPr>
        <w:t>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97"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results of our clinical trials may not support our product candidate claims or may result in the occurrence of adverse events.</w:t>
      </w:r>
    </w:p>
    <w:p>
      <w:pPr>
        <w:spacing w:after="0" w:line="249" w:lineRule="exact"/>
        <w:rPr>
          <w:sz w:val="20"/>
          <w:szCs w:val="20"/>
          <w:color w:val="auto"/>
        </w:rPr>
      </w:pPr>
    </w:p>
    <w:p>
      <w:pPr>
        <w:jc w:val="both"/>
        <w:ind w:firstLine="495"/>
        <w:spacing w:after="0" w:line="244" w:lineRule="auto"/>
        <w:rPr>
          <w:sz w:val="20"/>
          <w:szCs w:val="20"/>
          <w:color w:val="auto"/>
        </w:rPr>
      </w:pPr>
      <w:r>
        <w:rPr>
          <w:rFonts w:ascii="Times New Roman" w:cs="Times New Roman" w:eastAsia="Times New Roman" w:hAnsi="Times New Roman"/>
          <w:sz w:val="20"/>
          <w:szCs w:val="20"/>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98"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206"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206" w:lineRule="exact"/>
        <w:rPr>
          <w:sz w:val="20"/>
          <w:szCs w:val="20"/>
          <w:color w:val="auto"/>
        </w:rPr>
      </w:pPr>
    </w:p>
    <w:p>
      <w:pPr>
        <w:ind w:right="100" w:firstLine="495"/>
        <w:spacing w:after="0" w:line="249" w:lineRule="auto"/>
        <w:rPr>
          <w:sz w:val="20"/>
          <w:szCs w:val="20"/>
          <w:color w:val="auto"/>
        </w:rPr>
      </w:pPr>
      <w:r>
        <w:rPr>
          <w:rFonts w:ascii="Times New Roman" w:cs="Times New Roman" w:eastAsia="Times New Roman" w:hAnsi="Times New Roman"/>
          <w:sz w:val="20"/>
          <w:szCs w:val="20"/>
          <w:color w:val="auto"/>
        </w:rPr>
        <w:t>Another example can be found in the EEA. The Medical Device Regulation entered into application on May 26, 2021, and introduced substantial changes to the obligations with which medical device manufacturers must comply in the EEA. Examples of the changes introduced by the Medical Device Regulations include the following:</w:t>
      </w:r>
    </w:p>
    <w:p>
      <w:pPr>
        <w:spacing w:after="0" w:line="136" w:lineRule="exact"/>
        <w:rPr>
          <w:sz w:val="20"/>
          <w:szCs w:val="20"/>
          <w:color w:val="auto"/>
        </w:rPr>
      </w:pPr>
    </w:p>
    <w:p>
      <w:pPr>
        <w:ind w:left="1000" w:hanging="460"/>
        <w:spacing w:after="0"/>
        <w:tabs>
          <w:tab w:leader="none" w:pos="10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scrutiny during the conformity assessment procedure for high risk medical devices;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strengthening of the clinical data requirements related to medical devices;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strengthening of the designation and monitoring processes governing Notified Bodies;</w:t>
      </w:r>
    </w:p>
    <w:p>
      <w:pPr>
        <w:spacing w:after="0" w:line="18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for manufacturers and authorized representative to have a person responsible for regulatory compliance continuously at their disposal;</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authorized representatives held legally responsible and liable for defective products placed on the EU market;</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traceability of medical devices following the introduction of a Unique Device Identification (“UDI”), system;</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rules governing the reprocessing of medical devices; and</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800"/>
          </w:cols>
          <w:pgMar w:left="720" w:top="658" w:right="720" w:bottom="0" w:gutter="0" w:footer="0" w:header="0"/>
          <w:type w:val="continuous"/>
        </w:sectPr>
      </w:pPr>
    </w:p>
    <w:bookmarkStart w:id="51" w:name="page52"/>
    <w:bookmarkEnd w:id="51"/>
    <w:p>
      <w:pPr>
        <w:jc w:val="both"/>
        <w:ind w:left="1000" w:hanging="460"/>
        <w:spacing w:after="0" w:line="250" w:lineRule="auto"/>
        <w:tabs>
          <w:tab w:leader="none" w:pos="10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202"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207" w:lineRule="exact"/>
        <w:rPr>
          <w:sz w:val="20"/>
          <w:szCs w:val="20"/>
          <w:color w:val="auto"/>
        </w:rPr>
      </w:pPr>
    </w:p>
    <w:p>
      <w:pPr>
        <w:jc w:val="both"/>
        <w:ind w:firstLine="495"/>
        <w:spacing w:after="0" w:line="244" w:lineRule="auto"/>
        <w:rPr>
          <w:sz w:val="20"/>
          <w:szCs w:val="20"/>
          <w:color w:val="auto"/>
        </w:rPr>
      </w:pPr>
      <w:r>
        <w:rPr>
          <w:rFonts w:ascii="Times New Roman" w:cs="Times New Roman" w:eastAsia="Times New Roman" w:hAnsi="Times New Roman"/>
          <w:sz w:val="20"/>
          <w:szCs w:val="20"/>
          <w:color w:val="auto"/>
        </w:rPr>
        <w:t>Transition of our products from the regulatory framework of the MDD to the regulatory framework of the Medical Devices Regulation has required and will continue to require a substantial transition effort by us. In the EU, Notified Bodies must be officially designated by a Competent Authority of an EEA country. While several Notified Bodies have been designated, the currently designated Notified Bodies are facing a large amount of requests for (re)certification under the MDR and as a consequence, review times have lengthened. Furthermore, failure to update our quality system and regulatory documentation could delay our compliance with the Medical Devices Regulation and delay or prevent us from obtaining new CE Certificates of Conformity issued in accordance with the Medical Device Regulation. Transition to the Medical Devices Regulation could result in disruption to our business in the EEA which could adversely affect our business, results of operation and financial condition.</w:t>
      </w:r>
    </w:p>
    <w:p>
      <w:pPr>
        <w:spacing w:after="0" w:line="200"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the exit of the UK from the EU, commonly referred to as “Brexit” could lead to regulatory divergence between the EU and the UK. On May 26, 2021, the Medical Device Regulation became applicable in the EU. However, the Medical Device Regulation is not applicable in the UK. In the UK, medical devices are governed by the Medical Devices Regulations 2002 (SI 2002 No 618, as amended) (UK MDR 2002) which, for the time being, retains a regulatory framework similar to the framework set out by the MDD. The UK government plans to introduce new legislation governing medical devices with an aim for core aspects of the future regime for medical devices to apply from July 1, 2025. New legislation has been proposed and is also anticipated for adoption in 2024 to bring into force strengthened post-market surveillance requirements ahead of the wider future regulatory regime. These post-market surveillance requirements are expected to apply from mid-2024. Should the UK or Great Britain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 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spacing w:after="0" w:line="200" w:lineRule="exact"/>
        <w:rPr>
          <w:sz w:val="20"/>
          <w:szCs w:val="20"/>
          <w:color w:val="auto"/>
        </w:rPr>
      </w:pPr>
    </w:p>
    <w:p>
      <w:pPr>
        <w:jc w:val="both"/>
        <w:ind w:firstLine="450"/>
        <w:spacing w:after="0" w:line="226" w:lineRule="auto"/>
        <w:rPr>
          <w:sz w:val="20"/>
          <w:szCs w:val="20"/>
          <w:color w:val="auto"/>
        </w:rPr>
      </w:pPr>
      <w:r>
        <w:rPr>
          <w:rFonts w:ascii="Times New Roman" w:cs="Times New Roman" w:eastAsia="Times New Roman" w:hAnsi="Times New Roman"/>
          <w:sz w:val="20"/>
          <w:szCs w:val="20"/>
          <w:color w:val="auto"/>
        </w:rPr>
        <w:t>Moreover, in the EU, some EU Member States may, after a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and providing the basis for cooperation at EU level for joint clinical assessments in these areas. If the conclusions of these assessments are negative, or compare our products unfavorably with competing products, this may impact our pricing and reimbursement status. If we are unable to obtain or maintain favorable pricing and reimbursement status in EU Member States for our medical devices or medical devices that we may successfully develop and for which we may obtain certification, any anticipated revenue from and growth prospects for those products in the EU could be negatively affected</w:t>
      </w:r>
      <w:r>
        <w:rPr>
          <w:rFonts w:ascii="Calibri" w:cs="Calibri" w:eastAsia="Calibri" w:hAnsi="Calibri"/>
          <w:sz w:val="20"/>
          <w:szCs w:val="20"/>
          <w:b w:val="1"/>
          <w:bCs w:val="1"/>
          <w:color w:val="auto"/>
        </w:rPr>
        <w:t>.</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Inadequate funding for the FDA and other government agencies, or a work slowdown or stoppage at those agencies as part of a broader federal government shutdown, or comparable scenarios with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6" w:lineRule="exact"/>
        <w:rPr>
          <w:sz w:val="20"/>
          <w:szCs w:val="20"/>
          <w:color w:val="auto"/>
        </w:rPr>
      </w:pPr>
    </w:p>
    <w:p>
      <w:pPr>
        <w:jc w:val="both"/>
        <w:ind w:firstLine="450"/>
        <w:spacing w:after="0" w:line="249" w:lineRule="auto"/>
        <w:rPr>
          <w:sz w:val="20"/>
          <w:szCs w:val="20"/>
          <w:color w:val="auto"/>
        </w:rPr>
      </w:pPr>
      <w:r>
        <w:rPr>
          <w:rFonts w:ascii="Times New Roman" w:cs="Times New Roman" w:eastAsia="Times New Roman" w:hAnsi="Times New Roman"/>
          <w:sz w:val="20"/>
          <w:szCs w:val="20"/>
          <w:color w:val="auto"/>
        </w:rPr>
        <w:t>The ability of the FDA to review and approve or clear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Disruptions</w:t>
      </w:r>
    </w:p>
    <w:p>
      <w:pPr>
        <w:sectPr>
          <w:pgSz w:w="12240" w:h="15840" w:orient="portrait"/>
          <w:cols w:equalWidth="0" w:num="1">
            <w:col w:w="10800"/>
          </w:cols>
          <w:pgMar w:left="720" w:top="658" w:right="72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658" w:right="720" w:bottom="0" w:gutter="0" w:footer="0" w:header="0"/>
          <w:type w:val="continuous"/>
        </w:sectPr>
      </w:pPr>
    </w:p>
    <w:bookmarkStart w:id="52" w:name="page53"/>
    <w:bookmarkEnd w:id="52"/>
    <w:p>
      <w:pPr>
        <w:jc w:val="both"/>
        <w:spacing w:after="0"/>
        <w:rPr>
          <w:sz w:val="20"/>
          <w:szCs w:val="20"/>
          <w:color w:val="auto"/>
        </w:rPr>
      </w:pPr>
      <w:r>
        <w:rPr>
          <w:rFonts w:ascii="Times New Roman" w:cs="Times New Roman" w:eastAsia="Times New Roman" w:hAnsi="Times New Roman"/>
          <w:sz w:val="20"/>
          <w:szCs w:val="20"/>
          <w:color w:val="auto"/>
        </w:rPr>
        <w:t>at FDA and other agencies may also slow the time necessary for new product applications to be reviewed and/or approved by necessary government agencies, which could adversely affect our business. For example, in recent years, including for 35 days beginning on December 22, 2018, the U.S. government shut down several times and certain regulatory agencies, such as the FDA, had to furlough critical employees and stop critical activities. Average review times at FDA have fluctuated in recent years as a result. In addition, government funding of other government agencies on which our operations may rely is subject to the political process, which is inherently fluid and unpredictable.</w:t>
      </w:r>
    </w:p>
    <w:p>
      <w:pPr>
        <w:spacing w:after="0" w:line="194" w:lineRule="exact"/>
        <w:rPr>
          <w:sz w:val="20"/>
          <w:szCs w:val="20"/>
          <w:color w:val="auto"/>
        </w:rPr>
      </w:pPr>
    </w:p>
    <w:p>
      <w:pPr>
        <w:jc w:val="both"/>
        <w:ind w:firstLine="450"/>
        <w:spacing w:after="0" w:line="243" w:lineRule="auto"/>
        <w:rPr>
          <w:sz w:val="20"/>
          <w:szCs w:val="20"/>
          <w:color w:val="auto"/>
        </w:rPr>
      </w:pPr>
      <w:r>
        <w:rPr>
          <w:rFonts w:ascii="Times New Roman" w:cs="Times New Roman" w:eastAsia="Times New Roman" w:hAnsi="Times New Roman"/>
          <w:sz w:val="20"/>
          <w:szCs w:val="20"/>
          <w:color w:val="auto"/>
        </w:rPr>
        <w:t>If a prolonged government shutdown occurs, or if global health concerns or other political or world events prevent the FDA or other regulatory authorities from conducting their regular reviews or other regulatory activities, it could significantly impact the ability of the FDA to timely review and process our regulatory submissions, which could have a material adverse effect on our business. Future government shutdowns or delays could also impact our ability to access the public markets and obtain capital to fund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growth of our operations. Similar considerations and concerns apply to foreign regulatory authorities.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incur product liability losses, and insurance coverage may be inadequate or unavailable to cover these losses.</w:t>
      </w:r>
    </w:p>
    <w:p>
      <w:pPr>
        <w:spacing w:after="0" w:line="249"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Physicians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211" w:lineRule="exact"/>
        <w:rPr>
          <w:sz w:val="20"/>
          <w:szCs w:val="20"/>
          <w:color w:val="auto"/>
        </w:rPr>
      </w:pPr>
    </w:p>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207"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environmental laws and regulations that can impose significant costs and expose us to potential financial liabilities.</w:t>
      </w:r>
    </w:p>
    <w:p>
      <w:pPr>
        <w:spacing w:after="0" w:line="178" w:lineRule="exact"/>
        <w:rPr>
          <w:sz w:val="20"/>
          <w:szCs w:val="20"/>
          <w:color w:val="auto"/>
        </w:rPr>
      </w:pPr>
    </w:p>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materials and wastes. We own and operate certain x-ray equipment at our facilities which requires adoption of a radiation safety plan. 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of our products are derived from human tissue and are or could be subject to additional regulations and requirements.</w:t>
      </w:r>
    </w:p>
    <w:p>
      <w:pPr>
        <w:spacing w:after="0" w:line="249" w:lineRule="exact"/>
        <w:rPr>
          <w:sz w:val="20"/>
          <w:szCs w:val="20"/>
          <w:color w:val="auto"/>
        </w:rPr>
      </w:pPr>
    </w:p>
    <w:p>
      <w:pPr>
        <w:jc w:val="both"/>
        <w:ind w:firstLine="450"/>
        <w:spacing w:after="0" w:line="246" w:lineRule="auto"/>
        <w:rPr>
          <w:sz w:val="20"/>
          <w:szCs w:val="20"/>
          <w:color w:val="auto"/>
        </w:rPr>
      </w:pPr>
      <w:r>
        <w:rPr>
          <w:rFonts w:ascii="Times New Roman" w:cs="Times New Roman" w:eastAsia="Times New Roman" w:hAnsi="Times New Roman"/>
          <w:sz w:val="20"/>
          <w:szCs w:val="20"/>
          <w:color w:val="auto"/>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spacing w:after="0" w:line="196"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In addition, procurement of certain human organs and tissue for transplantation is subject to the National Organ Transplant Act ("NOTA"), which prohibits the transfer of certain human organs, including skin and related tissue, for valuable consideration, but permits the reasonable payment for costs associated with the removal, transportation, implantation, processing, preservation, quality</w:t>
      </w:r>
    </w:p>
    <w:p>
      <w:pPr>
        <w:sectPr>
          <w:pgSz w:w="12240" w:h="15840" w:orient="portrait"/>
          <w:cols w:equalWidth="0" w:num="1">
            <w:col w:w="10800"/>
          </w:cols>
          <w:pgMar w:left="720" w:top="658" w:right="720" w:bottom="0"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00"/>
          </w:cols>
          <w:pgMar w:left="720" w:top="658" w:right="720" w:bottom="0" w:gutter="0" w:footer="0" w:header="0"/>
          <w:type w:val="continuous"/>
        </w:sectPr>
      </w:pPr>
    </w:p>
    <w:bookmarkStart w:id="53" w:name="page54"/>
    <w:bookmarkEnd w:id="53"/>
    <w:p>
      <w:pPr>
        <w:jc w:val="both"/>
        <w:spacing w:after="0" w:line="244" w:lineRule="auto"/>
        <w:rPr>
          <w:sz w:val="20"/>
          <w:szCs w:val="20"/>
          <w:color w:val="auto"/>
        </w:rPr>
      </w:pPr>
      <w:r>
        <w:rPr>
          <w:rFonts w:ascii="Times New Roman" w:cs="Times New Roman" w:eastAsia="Times New Roman" w:hAnsi="Times New Roman"/>
          <w:sz w:val="20"/>
          <w:szCs w:val="20"/>
          <w:color w:val="auto"/>
        </w:rPr>
        <w:t>control, and storage of human tissue and skin. We reimburse tissue banks for their expenses associated with the recovery, storage, and transportation of donated human tissue they provide to use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96"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We rely primarily on patent, copyright, trademark and trade secret laws, as well as confidentiality and nondisclosure agreements and other methods, to protect our proprietary technologies and know-how. As of December 31, 2023, we owned 59 issued U.S. patents and had 34 pending U.S. patent applications, and we owned 18 issued foreign patents and had 22 pending foreign patent applications. We have focused the majority of our foreign patent efforts in China, Europe, and Japan. Our current U.S. patents on iFuse, including the triangular shape, expire in December 2025. Competitors may market similar triangular shaped devices upon the expiration of the patents in late 2025. Our current U.S. patents on iFuse-3D, including the fenestrated design, expire in September 2035. Our foreign patents will expire between August 2025 and September 2035.</w:t>
      </w:r>
    </w:p>
    <w:p>
      <w:pPr>
        <w:spacing w:after="0" w:line="210"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As of December 31, 2023, we have 20 registered trademarks in the United States and have filed for three more. We have sought protection for at least two of these trademarks in 61 countries including the 27 European member countries of the Madrid Protocol.</w:t>
      </w:r>
    </w:p>
    <w:p>
      <w:pPr>
        <w:spacing w:after="0" w:line="181"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212"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206"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658" w:right="720" w:bottom="0" w:gutter="0" w:footer="0" w:header="0"/>
          <w:type w:val="continuous"/>
        </w:sectPr>
      </w:pPr>
    </w:p>
    <w:bookmarkStart w:id="54" w:name="page55"/>
    <w:bookmarkEnd w:id="54"/>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214"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damages resulting from claims that we, our employees, or our third-party sales agents or resellers have wrongfully used or disclosed alleged trade secrets of our competitors or are in breach of non-competition or non-solicitation agreements with our competitors.</w:t>
      </w:r>
    </w:p>
    <w:p>
      <w:pPr>
        <w:spacing w:after="0" w:line="198" w:lineRule="exact"/>
        <w:rPr>
          <w:sz w:val="20"/>
          <w:szCs w:val="20"/>
          <w:color w:val="auto"/>
        </w:rPr>
      </w:pPr>
    </w:p>
    <w:p>
      <w:pPr>
        <w:jc w:val="both"/>
        <w:ind w:firstLine="495"/>
        <w:spacing w:after="0" w:line="243" w:lineRule="auto"/>
        <w:rPr>
          <w:sz w:val="20"/>
          <w:szCs w:val="20"/>
          <w:color w:val="auto"/>
        </w:rPr>
      </w:pPr>
      <w:r>
        <w:rPr>
          <w:rFonts w:ascii="Times New Roman" w:cs="Times New Roman" w:eastAsia="Times New Roman" w:hAnsi="Times New Roman"/>
          <w:sz w:val="20"/>
          <w:szCs w:val="20"/>
          <w:color w:val="auto"/>
        </w:rPr>
        <w:t>Many of our employees were previously employed at other medical device companies, including our competitors or potential competitors, in some cases until recently. Some of our third-party sales agents or resellers sell, or in the past have sold, products of our competitors. We may be subject to claims that we, our employees, or our third-party sales agents or resellers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98" w:lineRule="exact"/>
        <w:rPr>
          <w:sz w:val="20"/>
          <w:szCs w:val="20"/>
          <w:color w:val="auto"/>
        </w:rPr>
      </w:pPr>
    </w:p>
    <w:p>
      <w:pPr>
        <w:jc w:val="both"/>
        <w:ind w:firstLine="495"/>
        <w:spacing w:after="0" w:line="241" w:lineRule="auto"/>
        <w:rPr>
          <w:sz w:val="20"/>
          <w:szCs w:val="20"/>
          <w:color w:val="auto"/>
        </w:rPr>
      </w:pPr>
      <w:r>
        <w:rPr>
          <w:rFonts w:ascii="Times New Roman" w:cs="Times New Roman" w:eastAsia="Times New Roman" w:hAnsi="Times New Roman"/>
          <w:sz w:val="20"/>
          <w:szCs w:val="20"/>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800"/>
          </w:cols>
          <w:pgMar w:left="720" w:top="658" w:right="720" w:bottom="0" w:gutter="0" w:footer="0" w:header="0"/>
          <w:type w:val="continuous"/>
        </w:sectPr>
      </w:pPr>
    </w:p>
    <w:bookmarkStart w:id="55" w:name="page56"/>
    <w:bookmarkEnd w:id="55"/>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In addition, we generally indemnify our customers and third-party sales agents and resellers with respect to infringement by our products of the proprietary rights of third parties. Third parties may assert infringement claims against our customers or third-party sales agents and resellers. These claims may require us to initiate or defend protracted and costly litigation on behalf of our customers or third-party sales agents and resellers, regardless of the merits of these claims. If any of these claims succeed, we may be forced to pay damages on behalf of our customers or third-party sales agents and resellers or may be required to obtain licenses to intellectual property owned by such third parties. If we cannot obtain all necessary licenses on commercially reasonable terms, our customers and third-party sales agents and resellers may be forced to stop using or selling our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common stock may be volatile, and the value of an investment in our common stock could decline.</w:t>
      </w:r>
    </w:p>
    <w:p>
      <w:pPr>
        <w:spacing w:after="0" w:line="24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197" w:lineRule="exact"/>
        <w:rPr>
          <w:sz w:val="20"/>
          <w:szCs w:val="20"/>
          <w:color w:val="auto"/>
        </w:rPr>
      </w:pPr>
    </w:p>
    <w:p>
      <w:pPr>
        <w:ind w:left="1000" w:right="20" w:hanging="460"/>
        <w:spacing w:after="0" w:line="271" w:lineRule="auto"/>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interest rates, investor risk appetite and other macroeconomic factors impacting the market for securities issued by medical device companies;</w:t>
      </w:r>
    </w:p>
    <w:p>
      <w:pPr>
        <w:spacing w:after="0" w:line="120" w:lineRule="exact"/>
        <w:rPr>
          <w:rFonts w:ascii="Times New Roman" w:cs="Times New Roman" w:eastAsia="Times New Roman" w:hAnsi="Times New Roman"/>
          <w:sz w:val="20"/>
          <w:szCs w:val="20"/>
          <w:color w:val="auto"/>
        </w:rPr>
      </w:pPr>
    </w:p>
    <w:p>
      <w:pPr>
        <w:ind w:left="1000" w:right="420" w:hanging="460"/>
        <w:spacing w:after="0" w:line="271" w:lineRule="auto"/>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of inflation, interest rate increases and other macroeconomic factors impacting patients’ economic ability and likelihood of undergoing elective procedures, whether real or as perceived by investors;</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or fluctuations in our results of operations;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infectious diseases, and measures taken to combat them, on our business;</w:t>
      </w:r>
    </w:p>
    <w:p>
      <w:pPr>
        <w:spacing w:after="0" w:line="174"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our clinical trials and that of our competitors’ products;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actions with respect to our products or our competitor’s products;</w:t>
      </w:r>
    </w:p>
    <w:p>
      <w:pPr>
        <w:spacing w:after="0" w:line="18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new offerings, products, services or technologies, commercial relationships, acquisitions, or other events by us or our competitors;</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volume fluctuations in the overall stock market from time to time;</w:t>
      </w:r>
    </w:p>
    <w:p>
      <w:pPr>
        <w:spacing w:after="0" w:line="18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volatility in the market price and trading volume of healthcare companies, in general, and of companies in the medical device industry in particular;</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trading volume of our shares or the size of our public float;</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publicity;</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our results of operations meet the expectations of securities analysts or investors or those expectations change;</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involving us, our industry, or both;</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 in the United States, foreign countries, or both;</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lock-up releases and sales of large blocks of our common stock;</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employees or scientific personnel; and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trends.</w:t>
      </w:r>
    </w:p>
    <w:p>
      <w:pPr>
        <w:spacing w:after="0" w:line="240"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800"/>
          </w:cols>
          <w:pgMar w:left="720" w:top="658" w:right="720" w:bottom="0" w:gutter="0" w:footer="0" w:header="0"/>
          <w:type w:val="continuous"/>
        </w:sectPr>
      </w:pPr>
    </w:p>
    <w:bookmarkStart w:id="56" w:name="page57"/>
    <w:bookmarkEnd w:id="56"/>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sales volumes and our operating results may fluctuate over the course of the year, which could affect the price of our common stock.</w:t>
      </w:r>
    </w:p>
    <w:p>
      <w:pPr>
        <w:spacing w:after="0" w:line="178" w:lineRule="exact"/>
        <w:rPr>
          <w:sz w:val="20"/>
          <w:szCs w:val="20"/>
          <w:color w:val="auto"/>
        </w:rPr>
      </w:pPr>
    </w:p>
    <w:p>
      <w:pPr>
        <w:ind w:firstLine="500"/>
        <w:spacing w:after="0" w:line="271" w:lineRule="auto"/>
        <w:rPr>
          <w:sz w:val="20"/>
          <w:szCs w:val="20"/>
          <w:color w:val="auto"/>
        </w:rPr>
      </w:pPr>
      <w:r>
        <w:rPr>
          <w:rFonts w:ascii="Times New Roman" w:cs="Times New Roman" w:eastAsia="Times New Roman" w:hAnsi="Times New Roman"/>
          <w:sz w:val="20"/>
          <w:szCs w:val="20"/>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81" w:lineRule="exact"/>
        <w:rPr>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payor coverage and reimbursement;</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products sold in the quarter and our ability to drive increased sales of our products;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an effective and dedicated sales force;</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pressure applicable to our products, including adverse third-party coverage and reimbursement outcomes;</w:t>
      </w:r>
    </w:p>
    <w:p>
      <w:pPr>
        <w:spacing w:after="0" w:line="207"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COVID-19 or other infectious disease outbreaks on our business;</w:t>
      </w:r>
    </w:p>
    <w:p>
      <w:pPr>
        <w:spacing w:after="0" w:line="191"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clinical research and trials on our existing products and products in development;</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mix of our products sold because profit margins differ amongst our products;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timing of new product offerings, acquisitions, licenses or other significant events by us or our competitors;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suppliers to timely provide us with an adequate supply of materials and components;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evolving product offerings of our competitors;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for, and pricing of, our products and the products of our competitors;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that may affect the sale of our products, including seasonality and budgets of our customers;</w:t>
      </w:r>
    </w:p>
    <w:p>
      <w:pPr>
        <w:spacing w:after="0" w:line="180"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domestic and international regulatory clearances or approvals, or CE Certificates of Conformity, and legislative changes affecting the products we may offer or those of our competitors;</w:t>
      </w:r>
    </w:p>
    <w:p>
      <w:pPr>
        <w:spacing w:after="0" w:line="12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 in the manufacturing or distribution of our products;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competing technological, industry and market developments;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expand the geographic reach of our sales and marketing efforts;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maintaining adequate insurance coverage, including product liability insurance;</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cost of components and materials;</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selling days in the quarter;</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 in foreign currency exchange rates; and</w:t>
      </w:r>
    </w:p>
    <w:p>
      <w:pPr>
        <w:spacing w:after="0" w:line="180" w:lineRule="exact"/>
        <w:rPr>
          <w:rFonts w:ascii="Times New Roman" w:cs="Times New Roman" w:eastAsia="Times New Roman" w:hAnsi="Times New Roman"/>
          <w:sz w:val="20"/>
          <w:szCs w:val="20"/>
          <w:color w:val="auto"/>
        </w:rPr>
      </w:pPr>
    </w:p>
    <w:p>
      <w:pPr>
        <w:ind w:left="1000" w:hanging="460"/>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and other special charges.</w:t>
      </w:r>
    </w:p>
    <w:p>
      <w:pPr>
        <w:spacing w:after="0" w:line="240" w:lineRule="exact"/>
        <w:rPr>
          <w:sz w:val="20"/>
          <w:szCs w:val="20"/>
          <w:color w:val="auto"/>
        </w:rPr>
      </w:pPr>
    </w:p>
    <w:p>
      <w:pPr>
        <w:jc w:val="both"/>
        <w:ind w:firstLine="500"/>
        <w:spacing w:after="0" w:line="243" w:lineRule="auto"/>
        <w:rPr>
          <w:sz w:val="20"/>
          <w:szCs w:val="20"/>
          <w:color w:val="auto"/>
        </w:rPr>
      </w:pPr>
      <w:r>
        <w:rPr>
          <w:rFonts w:ascii="Times New Roman" w:cs="Times New Roman" w:eastAsia="Times New Roman" w:hAnsi="Times New Roman"/>
          <w:sz w:val="20"/>
          <w:szCs w:val="20"/>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ectPr>
          <w:pgSz w:w="12240" w:h="15840" w:orient="portrait"/>
          <w:cols w:equalWidth="0" w:num="1">
            <w:col w:w="10800"/>
          </w:cols>
          <w:pgMar w:left="720" w:top="64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800"/>
          </w:cols>
          <w:pgMar w:left="720" w:top="649" w:right="72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utilize our federal and state net operating loss carryforwards to reduce our income taxes.</w:t>
      </w:r>
    </w:p>
    <w:p>
      <w:pPr>
        <w:spacing w:after="0" w:line="259" w:lineRule="exact"/>
        <w:rPr>
          <w:sz w:val="20"/>
          <w:szCs w:val="20"/>
          <w:color w:val="auto"/>
        </w:rPr>
      </w:pPr>
    </w:p>
    <w:p>
      <w:pPr>
        <w:jc w:val="both"/>
        <w:ind w:firstLine="495"/>
        <w:spacing w:after="0" w:line="242" w:lineRule="auto"/>
        <w:rPr>
          <w:sz w:val="20"/>
          <w:szCs w:val="20"/>
          <w:color w:val="auto"/>
        </w:rPr>
      </w:pPr>
      <w:r>
        <w:rPr>
          <w:rFonts w:ascii="Times New Roman" w:cs="Times New Roman" w:eastAsia="Times New Roman" w:hAnsi="Times New Roman"/>
          <w:sz w:val="20"/>
          <w:szCs w:val="20"/>
          <w:color w:val="auto"/>
        </w:rPr>
        <w:t>As of December 31, 2023, we had net operating loss (“NOL”) carryforwards of $331.6 million and $259.6 million available to reduce future taxable income, if any, for U.S. federal income tax and state income tax purposes, respectively. If not utilized, our federal and state NOL carryforwards begin to expire in 2030 and 2023,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 by legislation enacted in 2020,</w:t>
      </w:r>
    </w:p>
    <w:p>
      <w:pPr>
        <w:spacing w:after="0" w:line="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unused U.S. federal NOLs generated in tax years beginning after December 31, 2017</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charter documents and Delaware law could discourage takeover attempts and lead to management entrenchment.</w:t>
      </w:r>
    </w:p>
    <w:p>
      <w:pPr>
        <w:spacing w:after="0" w:line="249"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202" w:lineRule="exact"/>
        <w:rPr>
          <w:sz w:val="20"/>
          <w:szCs w:val="20"/>
          <w:color w:val="auto"/>
        </w:rPr>
      </w:pPr>
    </w:p>
    <w:p>
      <w:pPr>
        <w:ind w:left="1000" w:hanging="460"/>
        <w:spacing w:after="0" w:line="271" w:lineRule="auto"/>
        <w:tabs>
          <w:tab w:leader="none" w:pos="10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of directors with three-year staggered terms, which could delay the ability of stockholders to change the membership of a majority of our board of directors;</w:t>
      </w:r>
    </w:p>
    <w:p>
      <w:pPr>
        <w:spacing w:after="0" w:line="180" w:lineRule="exact"/>
        <w:rPr>
          <w:rFonts w:ascii="Times New Roman" w:cs="Times New Roman" w:eastAsia="Times New Roman" w:hAnsi="Times New Roman"/>
          <w:sz w:val="20"/>
          <w:szCs w:val="20"/>
          <w:color w:val="auto"/>
        </w:rPr>
      </w:pPr>
    </w:p>
    <w:p>
      <w:pPr>
        <w:jc w:val="both"/>
        <w:ind w:left="1000" w:hanging="460"/>
        <w:spacing w:after="0" w:line="255" w:lineRule="auto"/>
        <w:tabs>
          <w:tab w:leader="none" w:pos="10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36" w:lineRule="exact"/>
        <w:rPr>
          <w:rFonts w:ascii="Times New Roman" w:cs="Times New Roman" w:eastAsia="Times New Roman" w:hAnsi="Times New Roman"/>
          <w:sz w:val="20"/>
          <w:szCs w:val="20"/>
          <w:color w:val="auto"/>
        </w:rPr>
      </w:pPr>
    </w:p>
    <w:p>
      <w:pPr>
        <w:jc w:val="both"/>
        <w:ind w:left="1000" w:hanging="460"/>
        <w:spacing w:after="0" w:line="255" w:lineRule="auto"/>
        <w:tabs>
          <w:tab w:leader="none" w:pos="10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36" w:lineRule="exact"/>
        <w:rPr>
          <w:rFonts w:ascii="Times New Roman" w:cs="Times New Roman" w:eastAsia="Times New Roman" w:hAnsi="Times New Roman"/>
          <w:sz w:val="20"/>
          <w:szCs w:val="20"/>
          <w:color w:val="auto"/>
        </w:rPr>
      </w:pPr>
    </w:p>
    <w:p>
      <w:pPr>
        <w:ind w:left="1000" w:hanging="460"/>
        <w:spacing w:after="0" w:line="271" w:lineRule="auto"/>
        <w:tabs>
          <w:tab w:leader="none" w:pos="10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 action by written consent, which forces stockholder action to be taken at an annual or special meeting of our stockholders;</w:t>
      </w:r>
    </w:p>
    <w:p>
      <w:pPr>
        <w:spacing w:after="0" w:line="120" w:lineRule="exact"/>
        <w:rPr>
          <w:rFonts w:ascii="Times New Roman" w:cs="Times New Roman" w:eastAsia="Times New Roman" w:hAnsi="Times New Roman"/>
          <w:sz w:val="20"/>
          <w:szCs w:val="20"/>
          <w:color w:val="auto"/>
        </w:rPr>
      </w:pPr>
    </w:p>
    <w:p>
      <w:pPr>
        <w:jc w:val="both"/>
        <w:ind w:left="1000" w:hanging="460"/>
        <w:spacing w:after="0" w:line="255" w:lineRule="auto"/>
        <w:tabs>
          <w:tab w:leader="none" w:pos="10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36" w:lineRule="exact"/>
        <w:rPr>
          <w:rFonts w:ascii="Times New Roman" w:cs="Times New Roman" w:eastAsia="Times New Roman" w:hAnsi="Times New Roman"/>
          <w:sz w:val="20"/>
          <w:szCs w:val="20"/>
          <w:color w:val="auto"/>
        </w:rPr>
      </w:pPr>
    </w:p>
    <w:p>
      <w:pPr>
        <w:jc w:val="both"/>
        <w:ind w:left="1000" w:hanging="460"/>
        <w:spacing w:after="0" w:line="250" w:lineRule="auto"/>
        <w:tabs>
          <w:tab w:leader="none" w:pos="10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141" w:lineRule="exact"/>
        <w:rPr>
          <w:rFonts w:ascii="Times New Roman" w:cs="Times New Roman" w:eastAsia="Times New Roman" w:hAnsi="Times New Roman"/>
          <w:sz w:val="20"/>
          <w:szCs w:val="20"/>
          <w:color w:val="auto"/>
        </w:rPr>
      </w:pPr>
    </w:p>
    <w:p>
      <w:pPr>
        <w:jc w:val="both"/>
        <w:ind w:left="1000" w:hanging="460"/>
        <w:spacing w:after="0" w:line="250" w:lineRule="auto"/>
        <w:tabs>
          <w:tab w:leader="none" w:pos="10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02"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97"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97"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w:t>
      </w:r>
    </w:p>
    <w:p>
      <w:pPr>
        <w:sectPr>
          <w:pgSz w:w="12240" w:h="15840" w:orient="portrait"/>
          <w:cols w:equalWidth="0" w:num="1">
            <w:col w:w="10800"/>
          </w:cols>
          <w:pgMar w:left="720" w:top="649" w:right="720" w:bottom="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800"/>
          </w:cols>
          <w:pgMar w:left="720" w:top="649" w:right="720" w:bottom="0" w:gutter="0" w:footer="0" w:header="0"/>
          <w:type w:val="continuous"/>
        </w:sectPr>
      </w:pPr>
    </w:p>
    <w:bookmarkStart w:id="58" w:name="page59"/>
    <w:bookmarkEnd w:id="58"/>
    <w:p>
      <w:pPr>
        <w:jc w:val="both"/>
        <w:spacing w:after="0" w:line="271" w:lineRule="auto"/>
        <w:rPr>
          <w:sz w:val="20"/>
          <w:szCs w:val="20"/>
          <w:color w:val="auto"/>
        </w:rPr>
      </w:pPr>
      <w:r>
        <w:rPr>
          <w:rFonts w:ascii="Times New Roman" w:cs="Times New Roman" w:eastAsia="Times New Roman" w:hAnsi="Times New Roman"/>
          <w:sz w:val="20"/>
          <w:szCs w:val="20"/>
          <w:color w:val="auto"/>
        </w:rPr>
        <w:t>our company. The existence of these provisions could negatively affect the price of our common stock and limit opportunities for our stockholders to realize value in a corporate transaction.</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203" w:lineRule="exact"/>
        <w:rPr>
          <w:sz w:val="20"/>
          <w:szCs w:val="20"/>
          <w:color w:val="auto"/>
        </w:rPr>
      </w:pPr>
    </w:p>
    <w:p>
      <w:pPr>
        <w:jc w:val="both"/>
        <w:ind w:firstLine="495"/>
        <w:spacing w:after="0" w:line="245"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207"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20"/>
          <w:szCs w:val="20"/>
          <w:color w:val="auto"/>
        </w:rPr>
        <w:t>Our amended and restated certificate of incorporation also provides that the U.S. federal district courts are the exclusive forum for resolving any complaint asserting a cause of action arising under the Securities Act.</w:t>
      </w:r>
    </w:p>
    <w:p>
      <w:pPr>
        <w:spacing w:after="0" w:line="1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the banking industry or the broader financial services industry, such as actual events or concerns involving liquidity, defaults or non-performance, could adversely affect our operations and liquidity</w:t>
      </w:r>
      <w:r>
        <w:rPr>
          <w:rFonts w:ascii="Times New Roman" w:cs="Times New Roman" w:eastAsia="Times New Roman" w:hAnsi="Times New Roman"/>
          <w:sz w:val="24"/>
          <w:szCs w:val="24"/>
          <w:b w:val="1"/>
          <w:bCs w:val="1"/>
          <w:i w:val="1"/>
          <w:iCs w:val="1"/>
          <w:color w:val="008080"/>
        </w:rPr>
        <w:t>.</w:t>
      </w:r>
    </w:p>
    <w:p>
      <w:pPr>
        <w:spacing w:after="0" w:line="23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w:t>
      </w:r>
    </w:p>
    <w:p>
      <w:pPr>
        <w:spacing w:after="0" w:line="194"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Although a statement by the U.S. Department of the Treasury, the Federal Reserve and the FDIC stated that all depositors of SVB would have access to all of their money after only one business day following the date of closure and we and other depositors with SVB received such access on March 13, 2023,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spacing w:after="0" w:line="206"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20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In addition, if any parties with whom we conduct business are unable to access funds held in uninsured deposit accounts or pursuant to lending arrangements with a financial institution that is placed in receivership by the FDIC, such parties’ ability to pay their obligations to us or to enter into new commercial arrangements requiring additional payments to us could be adversely affected.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loan and security agreement contains covenants that may restrict our business and financing activities.</w:t>
      </w:r>
    </w:p>
    <w:p>
      <w:pPr>
        <w:spacing w:after="0" w:line="295" w:lineRule="exact"/>
        <w:rPr>
          <w:sz w:val="20"/>
          <w:szCs w:val="20"/>
          <w:color w:val="auto"/>
        </w:rPr>
      </w:pPr>
    </w:p>
    <w:p>
      <w:pPr>
        <w:jc w:val="both"/>
        <w:ind w:firstLine="495"/>
        <w:spacing w:after="0" w:line="246" w:lineRule="auto"/>
        <w:rPr>
          <w:sz w:val="20"/>
          <w:szCs w:val="20"/>
          <w:color w:val="auto"/>
        </w:rPr>
      </w:pPr>
      <w:r>
        <w:rPr>
          <w:rFonts w:ascii="Times New Roman" w:cs="Times New Roman" w:eastAsia="Times New Roman" w:hAnsi="Times New Roman"/>
          <w:sz w:val="20"/>
          <w:szCs w:val="20"/>
          <w:color w:val="auto"/>
        </w:rPr>
        <w:t>Our Loan and Security Agreement (as amended, the "Amended Loan Agreement") with First-Citizens Bank &amp; Trust Company (“First-Citizens”) contains customary events of default, including bankruptcy, the failure to make payments when due, the occurrence of a material impairment on First-Citizens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sectPr>
          <w:pgSz w:w="12240" w:h="15840" w:orient="portrait"/>
          <w:cols w:equalWidth="0" w:num="1">
            <w:col w:w="10800"/>
          </w:cols>
          <w:pgMar w:left="720" w:top="658" w:right="720" w:bottom="0" w:gutter="0" w:footer="0" w:header="0"/>
        </w:sect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800"/>
          </w:cols>
          <w:pgMar w:left="720" w:top="658" w:right="720" w:bottom="0" w:gutter="0" w:footer="0" w:header="0"/>
          <w:type w:val="continuous"/>
        </w:sectPr>
      </w:pPr>
    </w:p>
    <w:bookmarkStart w:id="59" w:name="page60"/>
    <w:bookmarkEnd w:id="59"/>
    <w:p>
      <w:pPr>
        <w:jc w:val="both"/>
        <w:ind w:firstLine="495"/>
        <w:spacing w:after="0" w:line="239" w:lineRule="auto"/>
        <w:rPr>
          <w:sz w:val="20"/>
          <w:szCs w:val="20"/>
          <w:color w:val="auto"/>
        </w:rPr>
      </w:pPr>
      <w:r>
        <w:rPr>
          <w:rFonts w:ascii="Times New Roman" w:cs="Times New Roman" w:eastAsia="Times New Roman" w:hAnsi="Times New Roman"/>
          <w:sz w:val="20"/>
          <w:szCs w:val="20"/>
          <w:color w:val="auto"/>
        </w:rPr>
        <w:t>The Amended Loan Agreement is secured by substantially all our assets other than our intellectual property, which intellectual property is subject to a negative pledge under the terms of the Amended Loan Agreement. The Amended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spacing w:after="0" w:line="195" w:lineRule="exact"/>
        <w:rPr>
          <w:sz w:val="20"/>
          <w:szCs w:val="20"/>
          <w:color w:val="auto"/>
        </w:rPr>
      </w:pPr>
    </w:p>
    <w:p>
      <w:pPr>
        <w:jc w:val="both"/>
        <w:ind w:firstLine="495"/>
        <w:spacing w:after="0" w:line="247" w:lineRule="auto"/>
        <w:rPr>
          <w:sz w:val="20"/>
          <w:szCs w:val="20"/>
          <w:color w:val="auto"/>
        </w:rPr>
      </w:pPr>
      <w:r>
        <w:rPr>
          <w:rFonts w:ascii="Times New Roman" w:cs="Times New Roman" w:eastAsia="Times New Roman" w:hAnsi="Times New Roman"/>
          <w:sz w:val="20"/>
          <w:szCs w:val="20"/>
          <w:color w:val="auto"/>
        </w:rPr>
        <w:t>The covenants in the Amended Loan Agreement,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the Amended Loan Agreement to become immediately due and payable.</w:t>
      </w:r>
    </w:p>
    <w:p>
      <w:pPr>
        <w:spacing w:after="0" w:line="197"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2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access credit on favorable terms, if necessary, for the funding of our operations and capital projects may be limited due to changes in credit markets.</w:t>
      </w:r>
    </w:p>
    <w:p>
      <w:pPr>
        <w:spacing w:after="0" w:line="177" w:lineRule="exact"/>
        <w:rPr>
          <w:sz w:val="20"/>
          <w:szCs w:val="20"/>
          <w:color w:val="auto"/>
        </w:rPr>
      </w:pPr>
    </w:p>
    <w:p>
      <w:pPr>
        <w:jc w:val="both"/>
        <w:ind w:firstLine="450"/>
        <w:spacing w:after="0" w:line="236" w:lineRule="auto"/>
        <w:rPr>
          <w:sz w:val="20"/>
          <w:szCs w:val="20"/>
          <w:color w:val="auto"/>
        </w:rPr>
      </w:pPr>
      <w:r>
        <w:rPr>
          <w:rFonts w:ascii="Times New Roman" w:cs="Times New Roman" w:eastAsia="Times New Roman" w:hAnsi="Times New Roman"/>
          <w:sz w:val="20"/>
          <w:szCs w:val="20"/>
          <w:color w:val="auto"/>
        </w:rPr>
        <w:t>Our Amended Loan Agreement with First-Citizens provides for a secured revolving credit facility (the “Revolving Line”), in an aggregate principal amount of up to $15.0 million. The Revolving Line matures on July 6, 2025. As of December 31, 2023, we had not drawn on this credit facility. On March 10, 2023, we violated certain terms of the Amended Loan Agreement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Any future violation of any of the covenants, as amended, could result in a default under the Amended Loan Agreement that would permit First-Citizens to restrict our ability to further access the Revolving Line for loans and require the immediate repayment of any outstanding loans under the agreement. In addition, certain provisions in the these covenants are subject to renegotiation at the beginning of each fiscal year, which further reduces our ability to anticipate whether this source of capital will continue to be available in the near term. As of December 31, 2023, we had cash management accounts with a financial institution other than First-Citizens and instructed our customers to direct payments to us to these separate operating accounts. Until certain such customer payments to third party operating accounts are re-directed to the cash collateral accounts with First-Citizens, and certain account balances are moved back to cash collateral accounts and other accounts held at First-Citizens, we will be unable to obtain credit advances under the Revolving Line. See “Note 7. Borrowings” to the “Notes to Consolidated Financial Statements” included in this report.</w:t>
      </w:r>
    </w:p>
    <w:p>
      <w:pPr>
        <w:spacing w:after="0" w:line="192" w:lineRule="exact"/>
        <w:rPr>
          <w:sz w:val="20"/>
          <w:szCs w:val="20"/>
          <w:color w:val="auto"/>
        </w:rPr>
      </w:pPr>
    </w:p>
    <w:p>
      <w:pPr>
        <w:jc w:val="both"/>
        <w:ind w:firstLine="450"/>
        <w:spacing w:after="0" w:line="237" w:lineRule="auto"/>
        <w:rPr>
          <w:sz w:val="20"/>
          <w:szCs w:val="20"/>
          <w:color w:val="auto"/>
        </w:rPr>
      </w:pPr>
      <w:r>
        <w:rPr>
          <w:rFonts w:ascii="Times New Roman" w:cs="Times New Roman" w:eastAsia="Times New Roman" w:hAnsi="Times New Roman"/>
          <w:sz w:val="20"/>
          <w:szCs w:val="20"/>
          <w:color w:val="auto"/>
        </w:rPr>
        <w:t>Additionally, 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The Amended Loan Agreement terminates on December 1, 2027, and if we cannot renew or refinance this facility or obtain funding when needed, in each case on acceptable terms, such conditions may have an adverse effect on our ability to operate our business.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64" w:lineRule="exact"/>
        <w:rPr>
          <w:sz w:val="20"/>
          <w:szCs w:val="20"/>
          <w:color w:val="auto"/>
        </w:rPr>
      </w:pPr>
    </w:p>
    <w:p>
      <w:pPr>
        <w:jc w:val="both"/>
        <w:ind w:firstLine="540"/>
        <w:spacing w:after="0" w:line="283" w:lineRule="auto"/>
        <w:rPr>
          <w:sz w:val="20"/>
          <w:szCs w:val="20"/>
          <w:color w:val="auto"/>
        </w:rPr>
      </w:pPr>
      <w:r>
        <w:rPr>
          <w:rFonts w:ascii="Times New Roman" w:cs="Times New Roman" w:eastAsia="Times New Roman" w:hAnsi="Times New Roman"/>
          <w:sz w:val="20"/>
          <w:szCs w:val="20"/>
          <w:color w:val="auto"/>
        </w:rPr>
        <w:t>We recognize the importance of protecting our critical information technology (“IT”) systems and data from material risks from cybersecurity threats. Risk management for cybersecurity threats is integrated into our overall enterprise risk management system. We consider cybersecurity risks alongside other business risks. Our risk management framework includes risk assessments, internal controls, and systems monitoring mechanisms. We have established processes designed to assess, identify, and manage material risks from cybersecurity threats to our IT systems and critical data, including intellectual property, confidential information, and personal</w:t>
      </w:r>
    </w:p>
    <w:p>
      <w:pPr>
        <w:sectPr>
          <w:pgSz w:w="12240" w:h="15840" w:orient="portrait"/>
          <w:cols w:equalWidth="0" w:num="1">
            <w:col w:w="10800"/>
          </w:cols>
          <w:pgMar w:left="720" w:top="888" w:right="720" w:bottom="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800"/>
          </w:cols>
          <w:pgMar w:left="720" w:top="888" w:right="720" w:bottom="0" w:gutter="0" w:footer="0" w:header="0"/>
          <w:type w:val="continuous"/>
        </w:sectPr>
      </w:pPr>
    </w:p>
    <w:bookmarkStart w:id="60" w:name="page61"/>
    <w:bookmarkEnd w:id="60"/>
    <w:p>
      <w:pPr>
        <w:jc w:val="both"/>
        <w:spacing w:after="0" w:line="281" w:lineRule="auto"/>
        <w:rPr>
          <w:sz w:val="20"/>
          <w:szCs w:val="20"/>
          <w:color w:val="auto"/>
        </w:rPr>
      </w:pPr>
      <w:r>
        <w:rPr>
          <w:rFonts w:ascii="Times New Roman" w:cs="Times New Roman" w:eastAsia="Times New Roman" w:hAnsi="Times New Roman"/>
          <w:sz w:val="20"/>
          <w:szCs w:val="20"/>
          <w:color w:val="auto"/>
        </w:rPr>
        <w:t>data (“Information Systems and Data”). Third parties also play a role in our cybersecurity efforts. We engage third-party services to assist us from time to time to conduct evaluations of our security controls, whether through penetration testing, independent audits or consulting on practices to address new challenges. We conduct audits and evaluations of our IT infrastructure, network architecture, and software applications to help us identify vulnerabilities, potential entry points, and areas for improvement. We perform assessments considering principles from the National Institute of Standards and Technology Cybersecurity Framework and by using an external third-party security assessor from time to time.</w:t>
      </w:r>
    </w:p>
    <w:p>
      <w:pPr>
        <w:spacing w:after="0" w:line="217"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Depending on the environment, we employ strategies and practices designed to protect and mitigate cybersecurity material risks to our Information Systems and Data, including but not limited to:</w:t>
      </w:r>
    </w:p>
    <w:p>
      <w:pPr>
        <w:spacing w:after="0" w:line="18" w:lineRule="exact"/>
        <w:rPr>
          <w:sz w:val="20"/>
          <w:szCs w:val="20"/>
          <w:color w:val="auto"/>
        </w:rPr>
      </w:pPr>
    </w:p>
    <w:p>
      <w:pPr>
        <w:ind w:left="720" w:hanging="360"/>
        <w:spacing w:after="0" w:line="254" w:lineRule="auto"/>
        <w:tabs>
          <w:tab w:leader="none" w:pos="720" w:val="left"/>
        </w:tabs>
        <w:numPr>
          <w:ilvl w:val="0"/>
          <w:numId w:val="3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Utilizing third-party tools to monitor threats and cybersecurity vulnerabilities, reduce risk, and enhance governance, risk, and compliance management.</w:t>
      </w:r>
    </w:p>
    <w:p>
      <w:pPr>
        <w:spacing w:after="0" w:line="16" w:lineRule="exact"/>
        <w:rPr>
          <w:rFonts w:ascii="Arial" w:cs="Arial" w:eastAsia="Arial" w:hAnsi="Arial"/>
          <w:sz w:val="24"/>
          <w:szCs w:val="24"/>
          <w:b w:val="1"/>
          <w:bCs w:val="1"/>
          <w:color w:val="auto"/>
        </w:rPr>
      </w:pPr>
    </w:p>
    <w:p>
      <w:pPr>
        <w:ind w:left="720" w:hanging="360"/>
        <w:spacing w:after="0" w:line="254" w:lineRule="auto"/>
        <w:tabs>
          <w:tab w:leader="none" w:pos="720" w:val="left"/>
        </w:tabs>
        <w:numPr>
          <w:ilvl w:val="0"/>
          <w:numId w:val="3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Engaging a managed cybersecurity service provider to monitor and assess cybersecurity threats, serve as a point of contact for incident notification, and collaborate with our in-house IT team.</w:t>
      </w:r>
    </w:p>
    <w:p>
      <w:pPr>
        <w:ind w:left="720" w:hanging="360"/>
        <w:spacing w:after="0"/>
        <w:tabs>
          <w:tab w:leader="none" w:pos="720" w:val="left"/>
        </w:tabs>
        <w:numPr>
          <w:ilvl w:val="0"/>
          <w:numId w:val="3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Maintaining security policies, procedures, and standards considering evolving threats and industry standards.</w:t>
      </w:r>
    </w:p>
    <w:p>
      <w:pPr>
        <w:spacing w:after="0" w:line="15" w:lineRule="exact"/>
        <w:rPr>
          <w:rFonts w:ascii="Arial" w:cs="Arial" w:eastAsia="Arial" w:hAnsi="Arial"/>
          <w:sz w:val="24"/>
          <w:szCs w:val="24"/>
          <w:b w:val="1"/>
          <w:bCs w:val="1"/>
          <w:color w:val="auto"/>
        </w:rPr>
      </w:pPr>
    </w:p>
    <w:p>
      <w:pPr>
        <w:ind w:left="720" w:hanging="360"/>
        <w:spacing w:after="0" w:line="226" w:lineRule="auto"/>
        <w:tabs>
          <w:tab w:leader="none" w:pos="720" w:val="left"/>
        </w:tabs>
        <w:numPr>
          <w:ilvl w:val="0"/>
          <w:numId w:val="3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Engaging external subject matter experts and advisors to inform us of current cyber practices, policies, and programs.</w:t>
      </w:r>
    </w:p>
    <w:p>
      <w:pPr>
        <w:spacing w:after="0" w:line="16" w:lineRule="exact"/>
        <w:rPr>
          <w:rFonts w:ascii="Arial" w:cs="Arial" w:eastAsia="Arial" w:hAnsi="Arial"/>
          <w:sz w:val="24"/>
          <w:szCs w:val="24"/>
          <w:b w:val="1"/>
          <w:bCs w:val="1"/>
          <w:color w:val="auto"/>
        </w:rPr>
      </w:pPr>
    </w:p>
    <w:p>
      <w:pPr>
        <w:ind w:left="720" w:hanging="360"/>
        <w:spacing w:after="0" w:line="226" w:lineRule="auto"/>
        <w:tabs>
          <w:tab w:leader="none" w:pos="720" w:val="left"/>
        </w:tabs>
        <w:numPr>
          <w:ilvl w:val="0"/>
          <w:numId w:val="3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Conducting tabletop exercises focused on scenarios such as ransomware, disaster recovery, and business continuity.</w:t>
      </w:r>
    </w:p>
    <w:p>
      <w:pPr>
        <w:spacing w:after="0" w:line="16" w:lineRule="exact"/>
        <w:rPr>
          <w:rFonts w:ascii="Arial" w:cs="Arial" w:eastAsia="Arial" w:hAnsi="Arial"/>
          <w:sz w:val="24"/>
          <w:szCs w:val="24"/>
          <w:b w:val="1"/>
          <w:bCs w:val="1"/>
          <w:color w:val="auto"/>
        </w:rPr>
      </w:pPr>
    </w:p>
    <w:p>
      <w:pPr>
        <w:ind w:left="720" w:hanging="360"/>
        <w:spacing w:after="0" w:line="254" w:lineRule="auto"/>
        <w:tabs>
          <w:tab w:leader="none" w:pos="720" w:val="left"/>
        </w:tabs>
        <w:numPr>
          <w:ilvl w:val="0"/>
          <w:numId w:val="3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Providing mandatory annual security and privacy awareness training to all employees who have access to company email and connected devices.</w:t>
      </w:r>
    </w:p>
    <w:p>
      <w:pPr>
        <w:spacing w:after="0" w:line="16" w:lineRule="exact"/>
        <w:rPr>
          <w:rFonts w:ascii="Arial" w:cs="Arial" w:eastAsia="Arial" w:hAnsi="Arial"/>
          <w:sz w:val="24"/>
          <w:szCs w:val="24"/>
          <w:b w:val="1"/>
          <w:bCs w:val="1"/>
          <w:color w:val="auto"/>
        </w:rPr>
      </w:pPr>
    </w:p>
    <w:p>
      <w:pPr>
        <w:ind w:left="720" w:hanging="360"/>
        <w:spacing w:after="0" w:line="254" w:lineRule="auto"/>
        <w:tabs>
          <w:tab w:leader="none" w:pos="720" w:val="left"/>
        </w:tabs>
        <w:numPr>
          <w:ilvl w:val="0"/>
          <w:numId w:val="3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Conducting phishing simulations and cyber hygiene training sessions to educate employees and promote responsible cybersecurity practices.</w:t>
      </w:r>
    </w:p>
    <w:p>
      <w:pPr>
        <w:ind w:left="720" w:hanging="360"/>
        <w:spacing w:after="0"/>
        <w:tabs>
          <w:tab w:leader="none" w:pos="720" w:val="left"/>
        </w:tabs>
        <w:numPr>
          <w:ilvl w:val="0"/>
          <w:numId w:val="3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Maintaining an incident response plan and conducting tabletop exercises.</w:t>
      </w:r>
    </w:p>
    <w:p>
      <w:pPr>
        <w:spacing w:after="0" w:line="233" w:lineRule="exact"/>
        <w:rPr>
          <w:sz w:val="20"/>
          <w:szCs w:val="20"/>
          <w:color w:val="auto"/>
        </w:rPr>
      </w:pPr>
    </w:p>
    <w:p>
      <w:pPr>
        <w:jc w:val="both"/>
        <w:ind w:firstLine="694"/>
        <w:spacing w:after="0" w:line="259" w:lineRule="auto"/>
        <w:rPr>
          <w:sz w:val="20"/>
          <w:szCs w:val="20"/>
          <w:color w:val="auto"/>
        </w:rPr>
      </w:pPr>
      <w:r>
        <w:rPr>
          <w:rFonts w:ascii="Times New Roman" w:cs="Times New Roman" w:eastAsia="Times New Roman" w:hAnsi="Times New Roman"/>
          <w:sz w:val="20"/>
          <w:szCs w:val="20"/>
          <w:color w:val="auto"/>
        </w:rPr>
        <w:t>We have established an incident response team, which is led by our IT, legal, and compliance leaders and is comprised of stakeholders from various departments in the Company. A designated member from our IT team is responsible for conducting incident assessments, determining severity levels, informing relevant stakeholder, such as the incident response team and senior management, and maintaining documentation of the remediation activity.</w:t>
      </w:r>
    </w:p>
    <w:p>
      <w:pPr>
        <w:spacing w:after="0" w:line="224"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In the event of a security incident, our incident response processes are designed to escalate certain cybersecurity incidents to senior leadership, the audit committee and the board of directors, as deemed appropriate.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80" w:lineRule="exact"/>
        <w:rPr>
          <w:sz w:val="20"/>
          <w:szCs w:val="20"/>
          <w:color w:val="auto"/>
        </w:rPr>
      </w:pPr>
    </w:p>
    <w:p>
      <w:pPr>
        <w:jc w:val="both"/>
        <w:ind w:firstLine="540"/>
        <w:spacing w:after="0" w:line="272" w:lineRule="auto"/>
        <w:rPr>
          <w:sz w:val="20"/>
          <w:szCs w:val="20"/>
          <w:color w:val="auto"/>
        </w:rPr>
      </w:pPr>
      <w:r>
        <w:rPr>
          <w:rFonts w:ascii="Times New Roman" w:cs="Times New Roman" w:eastAsia="Times New Roman" w:hAnsi="Times New Roman"/>
          <w:sz w:val="20"/>
          <w:szCs w:val="20"/>
          <w:color w:val="auto"/>
        </w:rPr>
        <w:t>Our audit committee is responsible for overseeing our cybersecurity risk management processes, including regarding cybersecurity threats. Our CFO, Anshul Maheshwari, and Senior Vice President of Operations &amp; Technology, Jeff Bertolini, provide briefings to our audit committee on the effectiveness and progress of our cybersecurity risk management program on regular basis. Mr. Bertolini has completed the Chief Technology Officer program at the Wharton School of the University of Pennsylvania and has over 30 years of experience leading all aspects of operations and IT. Our board of directors receives regular reports from our audit committee chair regarding our cyber risk management programs, potential cybersecurity risks, efforts to mitigate such risks, and the audit committee’s oversight of these activities.</w:t>
      </w:r>
    </w:p>
    <w:p>
      <w:pPr>
        <w:spacing w:after="0" w:line="228"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auto"/>
        </w:rPr>
        <w:t>For a description of the risks from cybersecurity threats that may materially affect the Company and how they may do so, see Item 1A. “Risk Factors”, including “If we experience significant disruptions in our information technology systems, our business, results of operations, and financial condition could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97"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Our leased headquarters in Santa Clara, California, comprises approximately 21,848 square feet, and the lease for this space expires in May 2025. Our headquarters houses our product development, marketing, finance, education, and administration functions. We also lease research and development and warehouse space in another building in Santa Clara, California under a lease that will expire in October 2026, and office spaces in Gallarate, Italy which expires in August 2027 to accommodate our European sales and marketing team. We believe our facilities are adequate and suitable for our current needs but in the future we may need additional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686" w:right="720" w:bottom="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97"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We may be subject to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800"/>
          </w:cols>
          <w:pgMar w:left="720" w:top="6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800"/>
          </w:cols>
          <w:pgMar w:left="720" w:top="651" w:right="72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Price of Common Stock</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common stock is listed on the Nasdaq Global Market under the symbol “SIBN”.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277"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As of February 20, 2024, we had 132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77" w:lineRule="exact"/>
        <w:rPr>
          <w:sz w:val="20"/>
          <w:szCs w:val="20"/>
          <w:color w:val="auto"/>
        </w:rPr>
      </w:pPr>
    </w:p>
    <w:p>
      <w:pPr>
        <w:jc w:val="both"/>
        <w:ind w:firstLine="450"/>
        <w:spacing w:after="0" w:line="302"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and we do not currently intend to pay any cash dividends on our capital stock in the foreseeable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800"/>
          </w:cols>
          <w:pgMar w:left="720" w:top="6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800"/>
          </w:cols>
          <w:pgMar w:left="720" w:top="651" w:right="72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353"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The following discussion and analysis of our financial condition and results of operations should be read in conjunction with our financial statements and the related notes to those statements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important factors, including those set forth in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section of this Annual Report on Form 10-K, our actual results could differ materially from the results described in, or implied, by these forward-looking statements.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w:t>
      </w:r>
    </w:p>
    <w:p>
      <w:pPr>
        <w:spacing w:after="0" w:line="197"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Our products include a series of patented titanium implants and the instruments used to implant them, as well as implantable bone products. Since launching our first generation iFuse in 2009, we have launched new titanium implant product lines, iFuse-3D in 2017, iFuse-TORQ in 2021 and iFuse Bedrock Granite in 2022. Within the United States, our iFuse, iFuse-3D and iFuse-TORQ have clearances for applications across sacroiliac joint dysfunction and fusion, adult deformity and degeneration, and pelvic trauma.</w:t>
      </w:r>
    </w:p>
    <w:p>
      <w:pPr>
        <w:spacing w:after="0" w:line="203" w:lineRule="exact"/>
        <w:rPr>
          <w:sz w:val="20"/>
          <w:szCs w:val="20"/>
          <w:color w:val="auto"/>
        </w:rPr>
      </w:pPr>
    </w:p>
    <w:p>
      <w:pPr>
        <w:jc w:val="both"/>
        <w:ind w:firstLine="450"/>
        <w:spacing w:after="0" w:line="250" w:lineRule="auto"/>
        <w:rPr>
          <w:sz w:val="20"/>
          <w:szCs w:val="20"/>
          <w:color w:val="auto"/>
        </w:rPr>
      </w:pPr>
      <w:r>
        <w:rPr>
          <w:rFonts w:ascii="Times New Roman" w:cs="Times New Roman" w:eastAsia="Times New Roman" w:hAnsi="Times New Roman"/>
          <w:sz w:val="20"/>
          <w:szCs w:val="20"/>
          <w:color w:val="auto"/>
        </w:rPr>
        <w:t>We market our products primarily with a direct sales force as well as a number of third-party sales agents in the United States, and with a combination of a direct sales force and sales agents in other countries. As of December 31, 2023, more than 95,000 procedures have been performed by over 3,600 physicians in the United States and 38 other countries since we introduced iFuse in 2009.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Affecting Results of Operations and Key Performance Indicators</w:t>
      </w:r>
    </w:p>
    <w:p>
      <w:pPr>
        <w:spacing w:after="0" w:line="257"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Expand Access to Solutions</w:t>
      </w:r>
    </w:p>
    <w:p>
      <w:pPr>
        <w:spacing w:after="0" w:line="259"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physician engagement and deliver revenue growth.</w:t>
      </w:r>
    </w:p>
    <w:p>
      <w:pPr>
        <w:spacing w:after="0" w:line="20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w:t>
      </w:r>
    </w:p>
    <w:p>
      <w:pPr>
        <w:spacing w:after="0" w:line="21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As of December 31, 2023, our U.S. sales force consisted of 82 territory sales managers and 69 clinical support specialists directly employed by us and 175 third-party sales agents, compared to 88 territory sales managers and 73 clinical support specialists directly employed by us and 105 third-party sales agent as of December 31, 2022. As of December 31, 2023, our international sales force consisted of 14 sales representatives directly employed by us and 31 third-party sales agents and resellers, compared to 18 sales representatives directly employed by us and 30 third-party sales agents and resellers as of December 31, 2022.</w:t>
      </w:r>
    </w:p>
    <w:p>
      <w:pPr>
        <w:sectPr>
          <w:pgSz w:w="12240" w:h="15840" w:orient="portrait"/>
          <w:cols w:equalWidth="0" w:num="1">
            <w:col w:w="10800"/>
          </w:cols>
          <w:pgMar w:left="720" w:top="6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00"/>
          </w:cols>
          <w:pgMar w:left="720" w:top="651" w:right="720" w:bottom="0" w:gutter="0" w:footer="0" w:header="0"/>
          <w:type w:val="continuous"/>
        </w:sectPr>
      </w:pPr>
    </w:p>
    <w:bookmarkStart w:id="64" w:name="page65"/>
    <w:bookmarkEnd w:id="64"/>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As of December 31, 2023, over 20 percent of our procedures for sacroiliac joint dysfunction were performed at ambulatory surgery centers, or ASCs. With the steady increase in the numbers of minimally invasive procedures, including sacroiliac joint fusion procedures, being performed at ASCs, we continue to actively engage with these facilities to educate their management groups on our clinical evidence, exclusive commercial payor coverage and focus on driving improved education and pathways between pain physicians and surgeons.</w:t>
      </w:r>
    </w:p>
    <w:p>
      <w:pPr>
        <w:spacing w:after="0" w:line="204"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have been making targeted investments in digital marketing initiatives to drive patient awareness, to empower and educate patients as they manage their sacroiliac joint dysfunction and associated pain. These marketing programs are targeted at patients in chronic, severe sacroiliac joint pain who have been in conservative care for an extended period of time. We are focused on connecting patients with physicians in their area who perform minimally invasive sacroiliac joint procedures through our Find-a-Doctor website tool. Through a variety of channels, including search, social and display, we have deployed a number of campaigns and are continually optimizing to maximize patient awareness and to connect patients with physicians. Our data-driven approach enables us to focus our investment on the most cost-effective programs.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Physician Engagement</w:t>
      </w:r>
    </w:p>
    <w:p>
      <w:pPr>
        <w:spacing w:after="0" w:line="233"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Engaging and educating physician and other healthcare professionals about the clinical merits and patient benefits of our solutions will be important to grow physician adoption. Our medical affairs team works closely with our sales team to increase physician engagement and activation. Physician activity includes both the number of physicians performing our procedures as well as the number of procedures performed per physician. In addition to training new physicians, we have several initiatives to re-engage inactive physicians.</w:t>
      </w:r>
    </w:p>
    <w:p>
      <w:pPr>
        <w:spacing w:after="0" w:line="204"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We utilize a combination of hands-on cadaveric and dry-lab training, as well as SI-BONE SImulator - a portable, radiation-free, haptics and computer-based simulator - for training purposes, and optimize our programs to improve adoption rate, time to first case and ultimately physician productivity.</w:t>
      </w:r>
    </w:p>
    <w:p>
      <w:pPr>
        <w:spacing w:after="0" w:line="195"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9"/>
          <w:szCs w:val="19"/>
          <w:color w:val="auto"/>
        </w:rPr>
        <w:t>We are targeting over 12,000 U.S. physicians including over 8,000 orthopedic and neurological surgeons and approximately 4,500 interventional spine physicians, to perform our procedures. As of December 31, 2023 and 2022, in the United States more than 2,700 physicians and 2,200 physicians, respectively, have been trained on iFuse and have treated at least one patient. Outside the United States, as of December 31, 2023 and 2022, more than 900 and 800 physicians, respectively, have been trained on iFuse and have treated at least one patient. Since launching our academic training program in August 2018, we have trained residents and fellows in over 240 academic programs in the United States, resulting in the training of approximately 1,600 surgical residents and fellows.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Expand Addressable Markets</w:t>
      </w:r>
    </w:p>
    <w:p>
      <w:pPr>
        <w:spacing w:after="0" w:line="233"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Expanding our platform of sacropelvic solutions to address sacroiliac joint dysfunction, pelvic fixation and pelvic trauma has been a key tenet of our strategy, and we have made substantial progress on this mission. With iFuse-3D, iFuse-TORQ and iFuse Bedrock Granite, we believe that the value of our innovative, versatile, and complementary product portfolio provides physicians with a comprehensive set of alternatives, and positions us as the top choice for physicians for sacropelvic solutions. We also offer an allograft bone implant for physicians who believe that this kind of implant can be important to obtaining stabilization and /or fusion.</w:t>
      </w:r>
    </w:p>
    <w:p>
      <w:pPr>
        <w:spacing w:after="0" w:line="204"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20"/>
          <w:szCs w:val="20"/>
          <w:color w:val="auto"/>
        </w:rPr>
        <w:t>In June 2022, we completed enrollment in SILVIA, a two-year prospective international multi-center randomized controlled trial of two different methods for pelvic fixation in adult patients undergoing multi-segmental, or long-construct, spinal fusion. We anticipate the results for the primary endpoint in 2025. In September 2022 we enrolled the first of the targeted 120 patients in our SAFFRON study, a prospective randomized controlled trial of surgery using our iFuse-TORQ device vs. non-surgical management in patients with debilitating sacral fragility or insufficiency fractures. We anticipate results to be available in late 2024. We are working with a select group of physicians on STACI, a prospective study on the use of iFuse-TORQ in patients with sacroiliac joint dysfunction. The purpose of STACI is to provide post-market information on the safety and effectiveness of minimally invasive sacroiliac joint fusion procedures performed with iFuse-TORQ.</w:t>
      </w:r>
    </w:p>
    <w:p>
      <w:pPr>
        <w:spacing w:after="0" w:line="213"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20"/>
          <w:szCs w:val="20"/>
          <w:color w:val="auto"/>
        </w:rPr>
        <w:t>We continue to invest in research and development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In 2023, we spent $15.0 million on research and development, equating to 11% of our 2023 revenue.</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800"/>
          </w:cols>
          <w:pgMar w:left="720" w:top="658" w:right="720" w:bottom="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Enhance Employee Experience and Engagement</w:t>
      </w:r>
    </w:p>
    <w:p>
      <w:pPr>
        <w:spacing w:after="0" w:line="233"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wellness programs.</w:t>
      </w:r>
    </w:p>
    <w:p>
      <w:pPr>
        <w:spacing w:after="0" w:line="195"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In addition to ensuring workforce diversity and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w:t>
      </w:r>
    </w:p>
    <w:p>
      <w:pPr>
        <w:spacing w:after="0" w:line="204"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In 2023,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w:t>
      </w:r>
    </w:p>
    <w:p>
      <w:pPr>
        <w:spacing w:after="0" w:line="195" w:lineRule="exact"/>
        <w:rPr>
          <w:sz w:val="20"/>
          <w:szCs w:val="20"/>
          <w:color w:val="auto"/>
        </w:rPr>
      </w:pPr>
    </w:p>
    <w:p>
      <w:pPr>
        <w:jc w:val="both"/>
        <w:ind w:firstLine="495"/>
        <w:spacing w:after="0" w:line="281" w:lineRule="auto"/>
        <w:rPr>
          <w:sz w:val="20"/>
          <w:szCs w:val="20"/>
          <w:color w:val="auto"/>
        </w:rPr>
      </w:pPr>
      <w:r>
        <w:rPr>
          <w:rFonts w:ascii="Times New Roman" w:cs="Times New Roman" w:eastAsia="Times New Roman" w:hAnsi="Times New Roman"/>
          <w:sz w:val="20"/>
          <w:szCs w:val="20"/>
          <w:color w:val="auto"/>
        </w:rPr>
        <w:t>We maintain a commitment to employee retention by leveraging insights from exit interviews and engagement surveys to continuously enhance the workplace experience.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Gain operational efficiency</w:t>
      </w:r>
    </w:p>
    <w:p>
      <w:pPr>
        <w:spacing w:after="0" w:line="25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To support our growing portfolio of solutions, we continue to evolve our business processes to identify, measure and improve operational efficiency. The information developed will allow us to optimize processes, increase sales force productivity and improve asset utilization.</w:t>
      </w:r>
    </w:p>
    <w:p>
      <w:pPr>
        <w:spacing w:after="0" w:line="195"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selective sites of service. Our average revenue per territory sales manager has increased to approximately $1.6 million in fiscal year 2023, from $1.2 million in fiscal year 2022.</w:t>
      </w:r>
    </w:p>
    <w:p>
      <w:pPr>
        <w:spacing w:after="0" w:line="203"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20"/>
          <w:szCs w:val="20"/>
          <w:color w:val="auto"/>
        </w:rPr>
        <w:t>We have made significant investments in instrument trays used to perform surgeries. Our goal is to deploy instrument trays to the market where the demand exists to increase our asset utilization rates over time and use capital more effectively by having our instrument trays used in more surgeries in any given time period. Given supply chain disruptions impacting the industry, we are working closely with our suppliers to reduce lead time for our implants to ensure we can support our expanding physician footprint and over time build the resilience in our supply chain to reduce our cash investment in inventory. Additionally, we are partnering with our suppliers around design for manufacturing, specifically for newer products, to reduce the overall cost of the implants as we scale, and reduce waste and rework. Lastly, we are integrating our demand planning and manufacturing systems, to ensure we leverage actual usage trends as we build surgical capacity to support our growth.</w:t>
      </w:r>
    </w:p>
    <w:p>
      <w:pPr>
        <w:sectPr>
          <w:pgSz w:w="12240" w:h="15840" w:orient="portrait"/>
          <w:cols w:equalWidth="0" w:num="1">
            <w:col w:w="10800"/>
          </w:cols>
          <w:pgMar w:left="720" w:top="64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800"/>
          </w:cols>
          <w:pgMar w:left="720" w:top="649" w:right="72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307" w:lineRule="exact"/>
        <w:rPr>
          <w:sz w:val="20"/>
          <w:szCs w:val="20"/>
          <w:color w:val="auto"/>
        </w:rPr>
      </w:pPr>
    </w:p>
    <w:p>
      <w:pPr>
        <w:jc w:val="both"/>
        <w:ind w:firstLine="495"/>
        <w:spacing w:after="0" w:line="262" w:lineRule="auto"/>
        <w:rPr>
          <w:sz w:val="20"/>
          <w:szCs w:val="20"/>
          <w:color w:val="auto"/>
        </w:rPr>
      </w:pPr>
      <w:r>
        <w:rPr>
          <w:rFonts w:ascii="Times New Roman" w:cs="Times New Roman" w:eastAsia="Times New Roman" w:hAnsi="Times New Roman"/>
          <w:sz w:val="20"/>
          <w:szCs w:val="20"/>
          <w:color w:val="auto"/>
        </w:rPr>
        <w:t>Our revenue from sales of implants fluctuate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product launches, and seasonality. In addition, our revenue is impacted by changes in average selling price as we respond to the competitive landscape and price differences at different medical facilities, such as hospitals, ASCs and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spacing w:after="0" w:line="200"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w:t>
      </w:r>
    </w:p>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Cost of Goods Sold, Gross Profit, and Gross Margin</w:t>
      </w:r>
    </w:p>
    <w:p>
      <w:pPr>
        <w:spacing w:after="0" w:line="249"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59" w:lineRule="exact"/>
        <w:rPr>
          <w:sz w:val="20"/>
          <w:szCs w:val="20"/>
          <w:color w:val="auto"/>
        </w:rPr>
      </w:pPr>
    </w:p>
    <w:p>
      <w:pPr>
        <w:jc w:val="both"/>
        <w:ind w:firstLine="540"/>
        <w:spacing w:after="0" w:line="270" w:lineRule="auto"/>
        <w:rPr>
          <w:sz w:val="20"/>
          <w:szCs w:val="20"/>
          <w:color w:val="auto"/>
        </w:rPr>
      </w:pPr>
      <w:r>
        <w:rPr>
          <w:rFonts w:ascii="Times New Roman" w:cs="Times New Roman" w:eastAsia="Times New Roman" w:hAnsi="Times New Roman"/>
          <w:sz w:val="20"/>
          <w:szCs w:val="20"/>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25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59"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23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59"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General and administrative expenses primarily consist of salaries, stock-based compensation expense, and other costs for finance, accounting, legal, insurance, compliance, and administrative matters.</w:t>
      </w:r>
    </w:p>
    <w:p>
      <w:pPr>
        <w:sectPr>
          <w:pgSz w:w="12240" w:h="15840" w:orient="portrait"/>
          <w:cols w:equalWidth="0" w:num="1">
            <w:col w:w="10800"/>
          </w:cols>
          <w:pgMar w:left="720" w:top="6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800"/>
          </w:cols>
          <w:pgMar w:left="720" w:top="651" w:right="720" w:bottom="0" w:gutter="0" w:footer="0" w:header="0"/>
          <w:type w:val="continuous"/>
        </w:sectPr>
      </w:pPr>
    </w:p>
    <w:bookmarkStart w:id="67" w:name="page68"/>
    <w:bookmarkEnd w:id="67"/>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Interest income is primarily related to our investments of excess cash in money market funds and marketable securities.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59"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20"/>
          <w:szCs w:val="20"/>
          <w:color w:val="auto"/>
        </w:rPr>
        <w:t>Interest expense is primarily related to borrowings, amortization of debt issuance costs, and accretion of final fees on the First-Citizens Term Loan.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Other income (expense), net consists primarily of net foreign exchange gains and losses on foreign transactions.</w:t>
      </w:r>
    </w:p>
    <w:p>
      <w:pPr>
        <w:sectPr>
          <w:pgSz w:w="12240" w:h="15840" w:orient="portrait"/>
          <w:cols w:equalWidth="0" w:num="1">
            <w:col w:w="10800"/>
          </w:cols>
          <w:pgMar w:left="720" w:top="64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800"/>
          </w:cols>
          <w:pgMar w:left="720" w:top="649" w:right="72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57" w:lineRule="exact"/>
        <w:rPr>
          <w:sz w:val="20"/>
          <w:szCs w:val="20"/>
          <w:color w:val="auto"/>
        </w:rPr>
      </w:pPr>
    </w:p>
    <w:p>
      <w:pPr>
        <w:ind w:firstLine="540"/>
        <w:spacing w:after="0" w:line="281" w:lineRule="auto"/>
        <w:rPr>
          <w:sz w:val="20"/>
          <w:szCs w:val="20"/>
          <w:color w:val="auto"/>
        </w:rPr>
      </w:pPr>
      <w:r>
        <w:rPr>
          <w:rFonts w:ascii="Times New Roman" w:cs="Times New Roman" w:eastAsia="Times New Roman" w:hAnsi="Times New Roman"/>
          <w:sz w:val="20"/>
          <w:szCs w:val="20"/>
          <w:color w:val="auto"/>
        </w:rPr>
        <w:t>We manage and operate as one reportable segment. The table below summarizes our results of operations for the periods presented (percentages are amounts as a percentage of revenue), which we derived from the consolidated financial statements:</w:t>
      </w:r>
    </w:p>
    <w:p>
      <w:pPr>
        <w:spacing w:after="0" w:line="315"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4940" w:type="dxa"/>
            <w:vAlign w:val="bottom"/>
          </w:tcPr>
          <w:p>
            <w:pPr>
              <w:spacing w:after="0"/>
              <w:rPr>
                <w:sz w:val="21"/>
                <w:szCs w:val="21"/>
                <w:color w:val="auto"/>
              </w:rPr>
            </w:pPr>
          </w:p>
        </w:tc>
        <w:tc>
          <w:tcPr>
            <w:tcW w:w="25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tcPr>
          <w:p>
            <w:pPr>
              <w:spacing w:after="0"/>
              <w:rPr>
                <w:sz w:val="21"/>
                <w:szCs w:val="21"/>
                <w:color w:val="auto"/>
              </w:rPr>
            </w:pPr>
          </w:p>
        </w:tc>
        <w:tc>
          <w:tcPr>
            <w:tcW w:w="25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r>
      <w:tr>
        <w:trPr>
          <w:trHeight w:val="265"/>
        </w:trPr>
        <w:tc>
          <w:tcPr>
            <w:tcW w:w="49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3"/>
                <w:szCs w:val="23"/>
                <w:color w:val="auto"/>
              </w:rPr>
            </w:pPr>
          </w:p>
        </w:tc>
        <w:tc>
          <w:tcPr>
            <w:tcW w:w="12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0"/>
        </w:trPr>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0" w:type="dxa"/>
            <w:vAlign w:val="bottom"/>
            <w:gridSpan w:val="8"/>
          </w:tcPr>
          <w:p>
            <w:pPr>
              <w:ind w:left="88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900" w:type="dxa"/>
            <w:vAlign w:val="bottom"/>
          </w:tcPr>
          <w:p>
            <w:pPr>
              <w:spacing w:after="0"/>
              <w:rPr>
                <w:sz w:val="22"/>
                <w:szCs w:val="22"/>
                <w:color w:val="auto"/>
              </w:rPr>
            </w:pPr>
          </w:p>
        </w:tc>
      </w:tr>
      <w:tr>
        <w:trPr>
          <w:trHeight w:val="287"/>
        </w:trPr>
        <w:tc>
          <w:tcPr>
            <w:tcW w:w="4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Data:</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138,886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106,409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303"/>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29,466</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21 %</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15,705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15 %</w:t>
            </w:r>
          </w:p>
        </w:tc>
      </w:tr>
      <w:tr>
        <w:trPr>
          <w:trHeight w:val="280"/>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Gross profit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109,420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90,704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85 %</w:t>
            </w:r>
          </w:p>
        </w:tc>
      </w:tr>
      <w:tr>
        <w:trPr>
          <w:trHeight w:val="27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300"/>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Sales and marketing</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110,254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107,726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101 %</w:t>
            </w:r>
          </w:p>
        </w:tc>
      </w:tr>
      <w:tr>
        <w:trPr>
          <w:trHeight w:val="300"/>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13,627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13 %</w:t>
            </w:r>
          </w:p>
        </w:tc>
      </w:tr>
      <w:tr>
        <w:trPr>
          <w:trHeight w:val="303"/>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31,069</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22 %</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28,960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27 %</w:t>
            </w:r>
          </w:p>
        </w:tc>
      </w:tr>
      <w:tr>
        <w:trPr>
          <w:trHeight w:val="28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156,351</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113 %</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150,313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141 %</w:t>
            </w:r>
          </w:p>
        </w:tc>
      </w:tr>
      <w:tr>
        <w:trPr>
          <w:trHeight w:val="27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(59,609)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0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other income (expense), net: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0"/>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income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1,304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300"/>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expense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03"/>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6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(43,336)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0"/>
        </w:trPr>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-2698115</wp:posOffset>
            </wp:positionV>
            <wp:extent cx="6445250" cy="215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6445250" cy="21590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-2317115</wp:posOffset>
            </wp:positionV>
            <wp:extent cx="6445250" cy="215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extLst>
                    </a:blip>
                    <a:srcRect/>
                    <a:stretch>
                      <a:fillRect/>
                    </a:stretch>
                  </pic:blipFill>
                  <pic:spPr bwMode="auto">
                    <a:xfrm>
                      <a:off x="0" y="0"/>
                      <a:ext cx="6445250" cy="21590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-1936115</wp:posOffset>
            </wp:positionV>
            <wp:extent cx="6445250" cy="215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6445250" cy="21590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-1555115</wp:posOffset>
            </wp:positionV>
            <wp:extent cx="6445250" cy="215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6445250" cy="21590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-1174115</wp:posOffset>
            </wp:positionV>
            <wp:extent cx="6445250" cy="215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6445250" cy="21590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-793115</wp:posOffset>
            </wp:positionV>
            <wp:extent cx="6445250" cy="215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6445250" cy="21590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-412115</wp:posOffset>
            </wp:positionV>
            <wp:extent cx="6445250" cy="215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6445250" cy="21590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-56515</wp:posOffset>
            </wp:positionV>
            <wp:extent cx="3298825" cy="76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3298825" cy="76200"/>
                    </a:xfrm>
                    <a:prstGeom prst="rect">
                      <a:avLst/>
                    </a:prstGeom>
                    <a:noFill/>
                  </pic:spPr>
                </pic:pic>
              </a:graphicData>
            </a:graphic>
          </wp:anchor>
        </w:drawing>
      </w:r>
    </w:p>
    <w:p>
      <w:pPr>
        <w:spacing w:after="0" w:line="128" w:lineRule="exact"/>
        <w:rPr>
          <w:sz w:val="20"/>
          <w:szCs w:val="20"/>
          <w:color w:val="auto"/>
        </w:rPr>
      </w:pPr>
    </w:p>
    <w:p>
      <w:pPr>
        <w:ind w:firstLine="540"/>
        <w:spacing w:after="0" w:line="281" w:lineRule="auto"/>
        <w:rPr>
          <w:sz w:val="20"/>
          <w:szCs w:val="20"/>
          <w:color w:val="auto"/>
        </w:rPr>
      </w:pPr>
      <w:r>
        <w:rPr>
          <w:rFonts w:ascii="Times New Roman" w:cs="Times New Roman" w:eastAsia="Times New Roman" w:hAnsi="Times New Roman"/>
          <w:sz w:val="20"/>
          <w:szCs w:val="20"/>
          <w:color w:val="auto"/>
        </w:rPr>
        <w:t>We derive the majority of our revenue from sales to customers in the United States. Revenue by geography is based on billing address of the customer. The table below summarizes our revenue by geography: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0" w:type="dxa"/>
            <w:vAlign w:val="bottom"/>
          </w:tcPr>
          <w:p>
            <w:pPr>
              <w:spacing w:after="0"/>
              <w:rPr>
                <w:sz w:val="1"/>
                <w:szCs w:val="1"/>
                <w:color w:val="auto"/>
              </w:rPr>
            </w:pPr>
          </w:p>
        </w:tc>
      </w:tr>
      <w:tr>
        <w:trPr>
          <w:trHeight w:val="280"/>
        </w:trPr>
        <w:tc>
          <w:tcPr>
            <w:tcW w:w="53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0" w:type="dxa"/>
            <w:vAlign w:val="bottom"/>
            <w:gridSpan w:val="15"/>
          </w:tcPr>
          <w:p>
            <w:pPr>
              <w:ind w:left="90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53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United States</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130,621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94 %</w:t>
            </w:r>
          </w:p>
        </w:tc>
        <w:tc>
          <w:tcPr>
            <w:tcW w:w="440" w:type="dxa"/>
            <w:vAlign w:val="bottom"/>
            <w:gridSpan w:val="4"/>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98,751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93 %</w:t>
            </w:r>
          </w:p>
        </w:tc>
        <w:tc>
          <w:tcPr>
            <w:tcW w:w="0" w:type="dxa"/>
            <w:vAlign w:val="bottom"/>
          </w:tcPr>
          <w:p>
            <w:pPr>
              <w:spacing w:after="0"/>
              <w:rPr>
                <w:sz w:val="1"/>
                <w:szCs w:val="1"/>
                <w:color w:val="auto"/>
              </w:rPr>
            </w:pPr>
          </w:p>
        </w:tc>
      </w:tr>
      <w:tr>
        <w:trPr>
          <w:trHeight w:val="303"/>
        </w:trPr>
        <w:tc>
          <w:tcPr>
            <w:tcW w:w="53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International</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8,265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7,658</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7 %</w:t>
            </w:r>
          </w:p>
        </w:tc>
        <w:tc>
          <w:tcPr>
            <w:tcW w:w="0" w:type="dxa"/>
            <w:vAlign w:val="bottom"/>
          </w:tcPr>
          <w:p>
            <w:pPr>
              <w:spacing w:after="0"/>
              <w:rPr>
                <w:sz w:val="1"/>
                <w:szCs w:val="1"/>
                <w:color w:val="auto"/>
              </w:rPr>
            </w:pPr>
          </w:p>
        </w:tc>
      </w:tr>
      <w:tr>
        <w:trPr>
          <w:trHeight w:val="260"/>
        </w:trPr>
        <w:tc>
          <w:tcPr>
            <w:tcW w:w="5320" w:type="dxa"/>
            <w:vAlign w:val="bottom"/>
          </w:tcPr>
          <w:p>
            <w:pPr>
              <w:spacing w:after="0"/>
              <w:rPr>
                <w:sz w:val="22"/>
                <w:szCs w:val="22"/>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138,886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40" w:type="dxa"/>
            <w:vAlign w:val="bottom"/>
            <w:gridSpan w:val="4"/>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106,409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100 %</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2023 and 2022</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5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6640" w:type="dxa"/>
            <w:vAlign w:val="bottom"/>
            <w:gridSpan w:val="6"/>
          </w:tcPr>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 Cost of Goods Sold, Gross Profit, and Gross Margin</w:t>
            </w: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10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gridSpan w:val="2"/>
          </w:tcPr>
          <w:p>
            <w:pPr>
              <w:spacing w:after="0"/>
              <w:rPr>
                <w:sz w:val="23"/>
                <w:szCs w:val="23"/>
                <w:color w:val="auto"/>
              </w:rPr>
            </w:pPr>
          </w:p>
        </w:tc>
        <w:tc>
          <w:tcPr>
            <w:tcW w:w="160" w:type="dxa"/>
            <w:vAlign w:val="bottom"/>
            <w:tcBorders>
              <w:bottom w:val="single" w:sz="8" w:color="auto"/>
            </w:tcBorders>
            <w:gridSpan w:val="2"/>
          </w:tcPr>
          <w:p>
            <w:pPr>
              <w:spacing w:after="0"/>
              <w:rPr>
                <w:sz w:val="23"/>
                <w:szCs w:val="23"/>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0" w:type="dxa"/>
            <w:vAlign w:val="bottom"/>
            <w:gridSpan w:val="15"/>
          </w:tcPr>
          <w:p>
            <w:pPr>
              <w:ind w:left="90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53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Revenue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138,886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106,409</w:t>
            </w:r>
          </w:p>
        </w:tc>
        <w:tc>
          <w:tcPr>
            <w:tcW w:w="440" w:type="dxa"/>
            <w:vAlign w:val="bottom"/>
            <w:gridSpan w:val="4"/>
          </w:tcPr>
          <w:p>
            <w:pPr>
              <w:jc w:val="right"/>
              <w:ind w:right="11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32,477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3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Cost of goods sold</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20"/>
                <w:szCs w:val="20"/>
                <w:color w:val="auto"/>
              </w:rPr>
              <w:t>29,466</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20"/>
                <w:szCs w:val="20"/>
                <w:color w:val="auto"/>
              </w:rPr>
              <w:t>15,705</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13,761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3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Gross profit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109,420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90,704</w:t>
            </w:r>
          </w:p>
        </w:tc>
        <w:tc>
          <w:tcPr>
            <w:tcW w:w="440" w:type="dxa"/>
            <w:vAlign w:val="bottom"/>
            <w:gridSpan w:val="4"/>
          </w:tcPr>
          <w:p>
            <w:pPr>
              <w:jc w:val="right"/>
              <w:ind w:right="11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18,716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Gross margin</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3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-2605405</wp:posOffset>
            </wp:positionV>
            <wp:extent cx="6464300" cy="215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6464300" cy="21590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-2224405</wp:posOffset>
            </wp:positionV>
            <wp:extent cx="6477000" cy="241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6477000" cy="24130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-767715</wp:posOffset>
            </wp:positionV>
            <wp:extent cx="6388100" cy="215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6388100" cy="21590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-386715</wp:posOffset>
            </wp:positionV>
            <wp:extent cx="6388100" cy="241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6388100" cy="241300"/>
                    </a:xfrm>
                    <a:prstGeom prst="rect">
                      <a:avLst/>
                    </a:prstGeom>
                    <a:noFill/>
                  </pic:spPr>
                </pic:pic>
              </a:graphicData>
            </a:graphic>
          </wp:anchor>
        </w:drawing>
      </w:r>
    </w:p>
    <w:p>
      <w:pPr>
        <w:spacing w:after="0" w:line="364" w:lineRule="exact"/>
        <w:rPr>
          <w:sz w:val="20"/>
          <w:szCs w:val="20"/>
          <w:color w:val="auto"/>
        </w:rPr>
      </w:pPr>
    </w:p>
    <w:p>
      <w:pPr>
        <w:ind w:right="200" w:firstLine="495"/>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Revenue. </w:t>
      </w:r>
      <w:r>
        <w:rPr>
          <w:rFonts w:ascii="Times New Roman" w:cs="Times New Roman" w:eastAsia="Times New Roman" w:hAnsi="Times New Roman"/>
          <w:sz w:val="20"/>
          <w:szCs w:val="20"/>
          <w:color w:val="auto"/>
        </w:rPr>
        <w:t>The increase in revenue for the year ended December 31, 2023 compared to the year ended December 31, 2022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comprised a $31.9 million increase in our U.S. revenue and an increase of $0.6 million in our international revenue. The increase in revenue is due to the increase in case volumes, driven by a seasoned and growing base of active physicians and an expanded product portfolio.</w:t>
      </w:r>
    </w:p>
    <w:p>
      <w:pPr>
        <w:sectPr>
          <w:pgSz w:w="12240" w:h="15840" w:orient="portrait"/>
          <w:cols w:equalWidth="0" w:num="1">
            <w:col w:w="10800"/>
          </w:cols>
          <w:pgMar w:left="720" w:top="891" w:right="72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00"/>
          </w:cols>
          <w:pgMar w:left="720" w:top="891" w:right="720" w:bottom="0" w:gutter="0" w:footer="0" w:header="0"/>
          <w:type w:val="continuous"/>
        </w:sectPr>
      </w:pPr>
    </w:p>
    <w:bookmarkStart w:id="69" w:name="page70"/>
    <w:bookmarkEnd w:id="69"/>
    <w:p>
      <w:pPr>
        <w:ind w:right="80" w:firstLine="495"/>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Gross Profit and Gross Margin. </w:t>
      </w:r>
      <w:r>
        <w:rPr>
          <w:rFonts w:ascii="Times New Roman" w:cs="Times New Roman" w:eastAsia="Times New Roman" w:hAnsi="Times New Roman"/>
          <w:sz w:val="20"/>
          <w:szCs w:val="20"/>
          <w:color w:val="auto"/>
        </w:rPr>
        <w:t>Gross profit increased $18.7 million for the year ended December 31, 2023 compared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2022 driven by higher revenue. Gross margin was 79% for the year ended December 31, 2023 compared to 85% in the prior year. Gross margin decreased due to procedure and product mix given the higher total costs of iFuse-TORQ and iFuse Bedrock Granite implants including royalties, the increase in inventory reserve expense and the increase in depreciation costs to support the growth of the business.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r>
        <w:rPr>
          <w:rFonts w:ascii="Times New Roman" w:cs="Times New Roman" w:eastAsia="Times New Roman" w:hAnsi="Times New Roman"/>
          <w:sz w:val="20"/>
          <w:szCs w:val="20"/>
          <w:color w:val="auto"/>
        </w:rPr>
        <w: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7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5"/>
        </w:trPr>
        <w:tc>
          <w:tcPr>
            <w:tcW w:w="47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5"/>
        </w:trPr>
        <w:tc>
          <w:tcPr>
            <w:tcW w:w="4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0" w:type="dxa"/>
            <w:vAlign w:val="bottom"/>
            <w:gridSpan w:val="9"/>
          </w:tcPr>
          <w:p>
            <w:pPr>
              <w:ind w:left="88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1040" w:type="dxa"/>
            <w:vAlign w:val="bottom"/>
          </w:tcPr>
          <w:p>
            <w:pPr>
              <w:spacing w:after="0"/>
              <w:rPr>
                <w:sz w:val="23"/>
                <w:szCs w:val="23"/>
                <w:color w:val="auto"/>
              </w:rPr>
            </w:pPr>
          </w:p>
        </w:tc>
      </w:tr>
      <w:tr>
        <w:trPr>
          <w:trHeight w:val="302"/>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110,254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2 %</w:t>
            </w:r>
          </w:p>
        </w:tc>
      </w:tr>
      <w:tr>
        <w:trPr>
          <w:trHeight w:val="30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w:t>
            </w:r>
          </w:p>
        </w:tc>
      </w:tr>
      <w:tr>
        <w:trPr>
          <w:trHeight w:val="303"/>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31,069</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28,960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7 %</w:t>
            </w:r>
          </w:p>
        </w:tc>
      </w:tr>
      <w:tr>
        <w:trPr>
          <w:trHeight w:val="26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156,351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150,313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4 %</w:t>
            </w: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-793115</wp:posOffset>
            </wp:positionV>
            <wp:extent cx="6388100" cy="812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6388100" cy="812800"/>
                    </a:xfrm>
                    <a:prstGeom prst="rect">
                      <a:avLst/>
                    </a:prstGeom>
                    <a:noFill/>
                  </pic:spPr>
                </pic:pic>
              </a:graphicData>
            </a:graphic>
          </wp:anchor>
        </w:drawing>
      </w:r>
    </w:p>
    <w:p>
      <w:pPr>
        <w:spacing w:after="0" w:line="125" w:lineRule="exact"/>
        <w:rPr>
          <w:sz w:val="20"/>
          <w:szCs w:val="20"/>
          <w:color w:val="auto"/>
        </w:rPr>
      </w:pPr>
    </w:p>
    <w:p>
      <w:pPr>
        <w:jc w:val="both"/>
        <w:ind w:firstLine="495"/>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Sales and Marketing Expenses. </w:t>
      </w:r>
      <w:r>
        <w:rPr>
          <w:rFonts w:ascii="Times New Roman" w:cs="Times New Roman" w:eastAsia="Times New Roman" w:hAnsi="Times New Roman"/>
          <w:sz w:val="20"/>
          <w:szCs w:val="20"/>
          <w:color w:val="auto"/>
        </w:rPr>
        <w:t>The increase in sales and marketing expenses for the year ended December 31, 2023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year ended December 31, 2022 was primarily due to a $6.1 million increase in commissions driven by higher revenues, partially offset by a $3.6 million decrease in employee related costs and travel related costs driven by lower headcount within sales and marketing as well as timing of certain commercial activities.</w:t>
      </w:r>
    </w:p>
    <w:p>
      <w:pPr>
        <w:spacing w:after="0" w:line="196" w:lineRule="exact"/>
        <w:rPr>
          <w:sz w:val="20"/>
          <w:szCs w:val="20"/>
          <w:color w:val="auto"/>
        </w:rPr>
      </w:pPr>
    </w:p>
    <w:p>
      <w:pPr>
        <w:jc w:val="both"/>
        <w:ind w:firstLine="495"/>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Research and Development Expenses. </w:t>
      </w:r>
      <w:r>
        <w:rPr>
          <w:rFonts w:ascii="Times New Roman" w:cs="Times New Roman" w:eastAsia="Times New Roman" w:hAnsi="Times New Roman"/>
          <w:sz w:val="20"/>
          <w:szCs w:val="20"/>
          <w:color w:val="auto"/>
        </w:rPr>
        <w:t>The increase in research and development expenses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2023 as compared to the year ended December 31, 2022 was primarily due to a $0.9 million increase in employee related costs and stock-based compensation due to higher compensation, a $0.4 million increase in consulting costs and travel related costs driven by more projects in development, and a $0.1 million increase in facilities and other related costs resulting from the research and development facility.</w:t>
      </w:r>
    </w:p>
    <w:p>
      <w:pPr>
        <w:spacing w:after="0" w:line="199" w:lineRule="exact"/>
        <w:rPr>
          <w:sz w:val="20"/>
          <w:szCs w:val="20"/>
          <w:color w:val="auto"/>
        </w:rPr>
      </w:pPr>
    </w:p>
    <w:p>
      <w:pPr>
        <w:jc w:val="both"/>
        <w:ind w:firstLine="495"/>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r>
        <w:rPr>
          <w:rFonts w:ascii="Times New Roman" w:cs="Times New Roman" w:eastAsia="Times New Roman" w:hAnsi="Times New Roman"/>
          <w:sz w:val="20"/>
          <w:szCs w:val="20"/>
          <w:color w:val="auto"/>
        </w:rPr>
        <w:t>. The increase in general and administrative expenses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2023 as compared to the year ended December 31, 2022 was primarily due to a $1.6 million increase in employee related costs and stock-based compensation, a $0.6 million increase in the allowance for credit losses and a $0.3 million increase in accounting and audit fees primarily associated with Sarbanes-Oxley compliance requirements, partially offset by a $0.4 million decrease in consulting costs.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Interest and Other Income (Expense), Net</w:t>
      </w:r>
      <w:r>
        <w:rPr>
          <w:rFonts w:ascii="Times New Roman" w:cs="Times New Roman" w:eastAsia="Times New Roman" w:hAnsi="Times New Roman"/>
          <w:sz w:val="20"/>
          <w:szCs w:val="20"/>
          <w:color w:val="auto"/>
        </w:rPr>
        <w:t>:</w:t>
      </w:r>
    </w:p>
    <w:p>
      <w:pPr>
        <w:spacing w:after="0" w:line="209" w:lineRule="exact"/>
        <w:rPr>
          <w:sz w:val="20"/>
          <w:szCs w:val="20"/>
          <w:color w:val="auto"/>
        </w:rPr>
      </w:pPr>
    </w:p>
    <w:tbl>
      <w:tblPr>
        <w:tblLayout w:type="fixed"/>
        <w:tblInd w:w="480" w:type="dxa"/>
        <w:tblCellMar>
          <w:top w:w="0" w:type="dxa"/>
          <w:left w:w="0" w:type="dxa"/>
          <w:bottom w:w="0" w:type="dxa"/>
          <w:right w:w="0" w:type="dxa"/>
        </w:tblCellMar>
      </w:tblPr>
      <w:tr>
        <w:trPr>
          <w:trHeight w:val="243"/>
        </w:trPr>
        <w:tc>
          <w:tcPr>
            <w:tcW w:w="49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5"/>
        </w:trPr>
        <w:tc>
          <w:tcPr>
            <w:tcW w:w="49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5"/>
        </w:trPr>
        <w:tc>
          <w:tcPr>
            <w:tcW w:w="4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0" w:type="dxa"/>
            <w:vAlign w:val="bottom"/>
            <w:gridSpan w:val="9"/>
          </w:tcPr>
          <w:p>
            <w:pPr>
              <w:ind w:left="88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1040" w:type="dxa"/>
            <w:vAlign w:val="bottom"/>
          </w:tcPr>
          <w:p>
            <w:pPr>
              <w:spacing w:after="0"/>
              <w:rPr>
                <w:sz w:val="23"/>
                <w:szCs w:val="23"/>
                <w:color w:val="auto"/>
              </w:rPr>
            </w:pPr>
          </w:p>
        </w:tc>
      </w:tr>
      <w:tr>
        <w:trPr>
          <w:trHeight w:val="302"/>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430 %</w:t>
            </w:r>
          </w:p>
        </w:tc>
      </w:tr>
      <w:tr>
        <w:trPr>
          <w:trHeight w:val="300"/>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03"/>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207 %</w:t>
            </w:r>
          </w:p>
        </w:tc>
      </w:tr>
      <w:tr>
        <w:trPr>
          <w:trHeight w:val="260"/>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Total interest and other income (expense), net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318 %</w:t>
            </w: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-793115</wp:posOffset>
            </wp:positionV>
            <wp:extent cx="6388100" cy="215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6388100" cy="21590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-412115</wp:posOffset>
            </wp:positionV>
            <wp:extent cx="6388100" cy="215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6388100" cy="215900"/>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-56515</wp:posOffset>
            </wp:positionV>
            <wp:extent cx="2432050" cy="76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2432050" cy="76200"/>
                    </a:xfrm>
                    <a:prstGeom prst="rect">
                      <a:avLst/>
                    </a:prstGeom>
                    <a:noFill/>
                  </pic:spPr>
                </pic:pic>
              </a:graphicData>
            </a:graphic>
          </wp:anchor>
        </w:drawing>
      </w:r>
    </w:p>
    <w:p>
      <w:pPr>
        <w:spacing w:after="0" w:line="225" w:lineRule="exact"/>
        <w:rPr>
          <w:sz w:val="20"/>
          <w:szCs w:val="20"/>
          <w:color w:val="auto"/>
        </w:rPr>
      </w:pPr>
    </w:p>
    <w:p>
      <w:pPr>
        <w:jc w:val="both"/>
        <w:ind w:firstLine="495"/>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Income. </w:t>
      </w:r>
      <w:r>
        <w:rPr>
          <w:rFonts w:ascii="Times New Roman" w:cs="Times New Roman" w:eastAsia="Times New Roman" w:hAnsi="Times New Roman"/>
          <w:sz w:val="20"/>
          <w:szCs w:val="20"/>
          <w:color w:val="auto"/>
        </w:rPr>
        <w:t>The increase in interest income for the year ended December 31, 2023 as compared to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2022 was mainly due to higher interest earned on our investments in marketable securities, primarily as a result of higher interest rates earned on higher cash and investment balances.</w:t>
      </w:r>
    </w:p>
    <w:p>
      <w:pPr>
        <w:spacing w:after="0" w:line="190" w:lineRule="exact"/>
        <w:rPr>
          <w:sz w:val="20"/>
          <w:szCs w:val="20"/>
          <w:color w:val="auto"/>
        </w:rPr>
      </w:pPr>
    </w:p>
    <w:p>
      <w:pPr>
        <w:jc w:val="both"/>
        <w:ind w:firstLine="495"/>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Interest Expense</w:t>
      </w:r>
      <w:r>
        <w:rPr>
          <w:rFonts w:ascii="Times New Roman" w:cs="Times New Roman" w:eastAsia="Times New Roman" w:hAnsi="Times New Roman"/>
          <w:sz w:val="20"/>
          <w:szCs w:val="20"/>
          <w:color w:val="auto"/>
        </w:rPr>
        <w:t>. The increase in interest expense for the year ended December 31, 2023 as compared to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2022 was primarily due to higher interest rates associated with the First-Citizens Term Loan.</w:t>
      </w:r>
    </w:p>
    <w:p>
      <w:pPr>
        <w:spacing w:after="0" w:line="174" w:lineRule="exact"/>
        <w:rPr>
          <w:sz w:val="20"/>
          <w:szCs w:val="20"/>
          <w:color w:val="auto"/>
        </w:rPr>
      </w:pPr>
    </w:p>
    <w:p>
      <w:pPr>
        <w:ind w:firstLine="495"/>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Income (Expense), Net. </w:t>
      </w:r>
      <w:r>
        <w:rPr>
          <w:rFonts w:ascii="Times New Roman" w:cs="Times New Roman" w:eastAsia="Times New Roman" w:hAnsi="Times New Roman"/>
          <w:sz w:val="20"/>
          <w:szCs w:val="20"/>
          <w:color w:val="auto"/>
        </w:rPr>
        <w:t>Other income (expense), net changed from expense to income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2023 as compared to the year ended December 31, 2022 due to foreign currency fluctuations.</w:t>
      </w:r>
    </w:p>
    <w:p>
      <w:pPr>
        <w:sectPr>
          <w:pgSz w:w="12240" w:h="15840" w:orient="portrait"/>
          <w:cols w:equalWidth="0" w:num="1">
            <w:col w:w="10800"/>
          </w:cols>
          <w:pgMar w:left="720" w:top="65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800"/>
          </w:cols>
          <w:pgMar w:left="720" w:top="654" w:right="72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37"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2023, we had cash and marketable securities of $166.0 million compared to $97.3 million as of December 31, 2022. We have financed our operations primarily through our public offerings and debt financing arrangements. As of December 31, 2023 and 2022 we had $36.1 million and $35.2 million outstanding debt, respectively.</w:t>
      </w:r>
    </w:p>
    <w:p>
      <w:pPr>
        <w:spacing w:after="0" w:line="195"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2023, we had an accumulated deficit of $400.4 million. During the years ended December 31, 2023 and 2022, we incurred a net loss of $43.3 million and $61.3 million, respectively, and expect to incur additional losses in the future. We have not achieved positive cash flow from operations to date.</w:t>
      </w:r>
    </w:p>
    <w:p>
      <w:pPr>
        <w:spacing w:after="0" w:line="195" w:lineRule="exact"/>
        <w:rPr>
          <w:sz w:val="20"/>
          <w:szCs w:val="20"/>
          <w:color w:val="auto"/>
        </w:rPr>
      </w:pPr>
    </w:p>
    <w:p>
      <w:pPr>
        <w:jc w:val="both"/>
        <w:ind w:firstLine="450"/>
        <w:spacing w:after="0" w:line="265" w:lineRule="auto"/>
        <w:rPr>
          <w:sz w:val="20"/>
          <w:szCs w:val="20"/>
          <w:color w:val="auto"/>
        </w:rPr>
      </w:pPr>
      <w:r>
        <w:rPr>
          <w:rFonts w:ascii="Times New Roman" w:cs="Times New Roman" w:eastAsia="Times New Roman" w:hAnsi="Times New Roman"/>
          <w:sz w:val="20"/>
          <w:szCs w:val="20"/>
          <w:color w:val="auto"/>
        </w:rPr>
        <w:t>In May 2023, we received a total of $83.7 million of net proceeds after deducting the underwriting discounts and commissions from the public offering of our common stock.</w:t>
      </w:r>
    </w:p>
    <w:p>
      <w:pPr>
        <w:spacing w:after="0" w:line="180" w:lineRule="exact"/>
        <w:rPr>
          <w:sz w:val="20"/>
          <w:szCs w:val="20"/>
          <w:color w:val="auto"/>
        </w:rPr>
      </w:pPr>
    </w:p>
    <w:p>
      <w:pPr>
        <w:jc w:val="both"/>
        <w:ind w:firstLine="495"/>
        <w:spacing w:after="0" w:line="262" w:lineRule="auto"/>
        <w:rPr>
          <w:sz w:val="20"/>
          <w:szCs w:val="20"/>
          <w:color w:val="auto"/>
        </w:rPr>
      </w:pPr>
      <w:r>
        <w:rPr>
          <w:rFonts w:ascii="Times New Roman" w:cs="Times New Roman" w:eastAsia="Times New Roman" w:hAnsi="Times New Roman"/>
          <w:sz w:val="20"/>
          <w:szCs w:val="20"/>
          <w:color w:val="auto"/>
        </w:rPr>
        <w:t>Based upon our current operating plan, we believe that our existing cash and marketable securities will enable us to fund our operating expenses and capital expenditure requirements over the next 12 months and beyond. However, the financial impact of a potential economic downturn or capital market disruptions pose risks and uncertainties in our future available capital resources. We may face challenges and uncertainties and, as a result, may need to raise additional capital as our available capital resources may be consumed more rapidly than currently expected due to, but not limited to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 In addition, as we seek to deploy new product offerings, the need for additional capital to fund the purchase of inventories of implants and instrument trays may become more acute and may limit the number of revenue opportunities that we pursue. Each new product family introduced typically requires the purchase of consumable implant inventory as well as investment in a fleet of instrument trays required to support procedures nationwide.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Term Loan</w:t>
      </w:r>
    </w:p>
    <w:p>
      <w:pPr>
        <w:spacing w:after="0" w:line="259"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Our outstanding debt is related to a term loan pursuant to the Loan and Security Agreement dated August 12, 2021 (the “Effective Date”), entered into by us and Silicon Valley Bank (“SVB”). Pursuant the agreement, SVB provided a term loan in the aggregate principal amount of $35.0 million to us (the “Original Term Loan”).</w:t>
      </w:r>
    </w:p>
    <w:p>
      <w:pPr>
        <w:spacing w:after="0" w:line="195" w:lineRule="exact"/>
        <w:rPr>
          <w:sz w:val="20"/>
          <w:szCs w:val="20"/>
          <w:color w:val="auto"/>
        </w:rPr>
      </w:pPr>
    </w:p>
    <w:p>
      <w:pPr>
        <w:jc w:val="both"/>
        <w:ind w:firstLine="495"/>
        <w:spacing w:after="0" w:line="251" w:lineRule="auto"/>
        <w:rPr>
          <w:sz w:val="20"/>
          <w:szCs w:val="20"/>
          <w:color w:val="auto"/>
        </w:rPr>
      </w:pPr>
      <w:r>
        <w:rPr>
          <w:rFonts w:ascii="Times New Roman" w:cs="Times New Roman" w:eastAsia="Times New Roman" w:hAnsi="Times New Roman"/>
          <w:sz w:val="20"/>
          <w:szCs w:val="20"/>
          <w:color w:val="auto"/>
        </w:rPr>
        <w:t>On January 6, 2023, we entered into a First Amendment to Loan and Security Agreement (the “Amendment”) with SVB, which amends our Original Term Loan pursuant to which we had a term loan facility in an aggregate principal amount of $35.0 million (the “Original Loan Agreement” and with the Amendment, collectively the “Amended Loan Agreement”). Upon entry into the Amended Loan Agreement, we borrowed $36.0 million pursuant to a new term loan (the “Term Loan”), which was substantially used to repay in full the $35.0 million term loan facility outstanding under the Original Loan Agreement and secured a revolving credit facility in an aggregate principal amount of up to $15.0 million (the “Revolving Line"). On March 14, 2023 all of SVB’s assets and liabilities, including all of SVB’s rights as the lender pursuant to the Amended Loan Agreement, were assigned to Silicon Valley Bridge Bank. On March 27, 2023, all of Silicon Valley Bridge Bank’s assets and liabilities were assigned and assumed by First-Citizens Bank &amp; Trust Company (“First-Citizens”). The Amended Loan Agreement also includes an uncommitted accordion term loan in an aggregate principal amount of up to $15.0 million, which accordion may be approved by First-Citizens, solely in its discretion, upon our request. The Term Loan matures on December 1, 2027 (the “Term Loan Maturity Date”). Interest on the Term Loan will be payable monthly at a floating annual rate set at the greater of the prime rate as published in the Wall Street Journal plus 0.5% or 6.75%. Commencing on July 1, 2025, we will be required to make monthly principal Term Loan amortization payments. A final fee payment of 2% of the original principal amount of the Term Loan is due upon the earlier of the Term Loan Maturity Date, termination, acceleration by First-Citizens following an event of default, or prepayment of the Term Loan. We may elect to prepay the Term Loan in whole prior to the Term Loan Maturity Date subject to a prepayment fee equal to 2% of the principal amount of the Term Loan prepaid at such time. No prepayment fee would be due if the Term Loan is refinanced by First-Citizens. Pursuant to the terms of the Amended Loan Agreement, revolving loans may be borrowed, repaid and reborrowed until the maturity date, which will be July 6, 2025 (the “Revolving Line Maturity Date”). Borrowings under the Revolving Line are based on 80% of eligible domestic accounts receivable borrowing base. Interest on the outstanding balance of the Revolving Line will be payable monthly at a floating annual rate set at the greater of the prime rate as published in the Wall Street Journal or 6.25%. Interest on borrowings is due monthly and any principal balance is due on the Revolving Line Maturity Date, provided that when Revolving Line Advances are outstanding, in the event we do not maintain an adjusted quick ratio of at least 1.5 to 1.0, then falling below such threshold will allow First-Citizens to apply accounts receivable collections to outstanding Revolving Line borrowings. We will pay a total commitment fee of $187,500 on account of the Revolving Line payable in installments, but fully earned at close. We will also be required to pay a fee of $150,000 if we terminate the Amended Loan Agreement or the Revolving Line prior to Revolving Line Maturity Date, or if First-Citizens terminates the Loan Agreement or the Revolving Line following an event of default. No termination fee would be due if the Revolving Line is replaced with a new facility with First-Citizens. No amounts were outstanding under the Revolving Line as of December 31, 2023.</w:t>
      </w:r>
    </w:p>
    <w:p>
      <w:pPr>
        <w:sectPr>
          <w:pgSz w:w="12240" w:h="15840" w:orient="portrait"/>
          <w:cols w:equalWidth="0" w:num="1">
            <w:col w:w="10800"/>
          </w:cols>
          <w:pgMar w:left="720" w:top="651" w:right="720"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800"/>
          </w:cols>
          <w:pgMar w:left="720" w:top="651" w:right="720" w:bottom="0" w:gutter="0" w:footer="0" w:header="0"/>
          <w:type w:val="continuous"/>
        </w:sectPr>
      </w:pPr>
    </w:p>
    <w:bookmarkStart w:id="71" w:name="page72"/>
    <w:bookmarkEnd w:id="71"/>
    <w:p>
      <w:pPr>
        <w:jc w:val="both"/>
        <w:ind w:firstLine="495"/>
        <w:spacing w:after="0" w:line="236" w:lineRule="auto"/>
        <w:rPr>
          <w:sz w:val="20"/>
          <w:szCs w:val="20"/>
          <w:color w:val="auto"/>
        </w:rPr>
      </w:pPr>
      <w:r>
        <w:rPr>
          <w:rFonts w:ascii="Times New Roman" w:cs="Times New Roman" w:eastAsia="Times New Roman" w:hAnsi="Times New Roman"/>
          <w:sz w:val="20"/>
          <w:szCs w:val="20"/>
          <w:color w:val="auto"/>
        </w:rPr>
        <w:t>On March 10, 2023, we violated certain terms of the credit facility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 future violation of any covenants could result in a default under the Amended Loan Agreement that would permit First-Citizens to restrict our ability to further access the Revolving Line of Credit for loans and require the immediate repayment of any outstanding loans under the agreement. As of December 31, 2023, we were in compliance with all debt covenants, provided, however, that in order to access future credit advances under the Revolving Line of Credit, we will be required to redirect certain customer payments and transfer certain cash management account balances, in each case, back to First-Citizens. As of December 31, 2023, we had cash management accounts with a financial institution other than First-Citizens and instructed our customers to direct payments to us to these separate operating accounts. Until such customer payments are directed back to certain First-Citizens cash collateral accounts, and certain balances and funds are moved back to the First-Citizens cash collateral accounts and other accounts held at First-Citizens, we will be unable to obtain credit advances under the Revolving Line.</w:t>
      </w:r>
    </w:p>
    <w:p>
      <w:pPr>
        <w:spacing w:after="0" w:line="250"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Amended Loan Agreement contains customary events of default, including bankruptcy, the failure to make payments when due, the occurrence of a material impairment on First-Citizens' security interest over the collateral, a material adverse change, the occurrence of a default under certain other indebtedness of our company and our subsidiaries, the rendering of certain types of judgments against us and our subsidiaries, the revocation of certain government approvals, violation of covenants, and incorrectness of representations and warranties in any material respect. In addition, the Amended Loan Agreement contains a financial covenant which requires us to maintain, at all times during which we are subject to financial covenants under the Amended Loan Agreement is in effect, certain net revenue levels as agreed upon by us and First-Citizens. If we do not comply with the various covenants under the Amended Loan Agreement and an event of default occurs under the Amended Loan Agreement, the interest rate on outstanding amounts can increase by 3% and First-Citizens may, subject to various customary cure rights, decline to provide additional advances under the Revolving Line, require the immediate payment of all loans and other amounts outstanding under the Amended Loan Agreement, and foreclose on all collateral.</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Cash Requirements</w:t>
      </w:r>
    </w:p>
    <w:p>
      <w:pPr>
        <w:spacing w:after="0" w:line="24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Our material cash requirements include various contractual and other obligations consisting of long-term debt obligations with First-Citizens, operating lease obligations and purchase obligations with some of our suppliers. Expected timing of those payments are as follows:</w:t>
      </w:r>
    </w:p>
    <w:p>
      <w:pPr>
        <w:spacing w:after="0" w:line="305"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3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tcPr>
          <w:p>
            <w:pPr>
              <w:jc w:val="right"/>
              <w:ind w:right="42"/>
              <w:spacing w:after="0" w:line="176"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4-5 years</w:t>
            </w:r>
          </w:p>
        </w:tc>
        <w:tc>
          <w:tcPr>
            <w:tcW w:w="100" w:type="dxa"/>
            <w:vAlign w:val="bottom"/>
          </w:tcPr>
          <w:p>
            <w:pPr>
              <w:spacing w:after="0"/>
              <w:rPr>
                <w:sz w:val="15"/>
                <w:szCs w:val="15"/>
                <w:color w:val="auto"/>
              </w:rPr>
            </w:pPr>
          </w:p>
        </w:tc>
        <w:tc>
          <w:tcPr>
            <w:tcW w:w="11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39"/>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75"/>
        </w:trPr>
        <w:tc>
          <w:tcPr>
            <w:tcW w:w="396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Principal obligations and final fee on long-term</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36,720</w:t>
            </w:r>
          </w:p>
        </w:tc>
        <w:tc>
          <w:tcPr>
            <w:tcW w:w="100" w:type="dxa"/>
            <w:vAlign w:val="bottom"/>
          </w:tcPr>
          <w:p>
            <w:pPr>
              <w:spacing w:after="0"/>
              <w:rPr>
                <w:sz w:val="20"/>
                <w:szCs w:val="20"/>
                <w:color w:val="auto"/>
              </w:rPr>
            </w:pPr>
          </w:p>
        </w:tc>
        <w:tc>
          <w:tcPr>
            <w:tcW w:w="280" w:type="dxa"/>
            <w:vAlign w:val="bottom"/>
            <w:vMerge w:val="restart"/>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22,800</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13,920</w:t>
            </w:r>
          </w:p>
        </w:tc>
        <w:tc>
          <w:tcPr>
            <w:tcW w:w="3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3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debt </w:t>
            </w:r>
            <w:r>
              <w:rPr>
                <w:rFonts w:ascii="Times New Roman" w:cs="Times New Roman" w:eastAsia="Times New Roman" w:hAnsi="Times New Roman"/>
                <w:sz w:val="16"/>
                <w:szCs w:val="16"/>
                <w:color w:val="auto"/>
              </w:rPr>
              <w:t>(1)</w:t>
            </w:r>
          </w:p>
        </w:tc>
        <w:tc>
          <w:tcPr>
            <w:tcW w:w="26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Interest obligations </w:t>
            </w:r>
            <w:r>
              <w:rPr>
                <w:rFonts w:ascii="Times New Roman" w:cs="Times New Roman" w:eastAsia="Times New Roman" w:hAnsi="Times New Roman"/>
                <w:sz w:val="16"/>
                <w:szCs w:val="16"/>
                <w:color w:val="auto"/>
              </w:rPr>
              <w:t>(2)</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obligations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Purchase obligations</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49,167</w:t>
            </w:r>
          </w:p>
        </w:tc>
        <w:tc>
          <w:tcPr>
            <w:tcW w:w="100" w:type="dxa"/>
            <w:vAlign w:val="bottom"/>
          </w:tcPr>
          <w:p>
            <w:pPr>
              <w:spacing w:after="0"/>
              <w:rPr>
                <w:sz w:val="22"/>
                <w:szCs w:val="22"/>
                <w:color w:val="auto"/>
              </w:rPr>
            </w:pP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5,267</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14,528</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-1107440</wp:posOffset>
            </wp:positionV>
            <wp:extent cx="6454775" cy="339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6454775" cy="33972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-602615</wp:posOffset>
            </wp:positionV>
            <wp:extent cx="6454775" cy="215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454775" cy="215900"/>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-221615</wp:posOffset>
            </wp:positionV>
            <wp:extent cx="6467475" cy="241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6467475" cy="2413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285750</wp:posOffset>
                </wp:positionH>
                <wp:positionV relativeFrom="paragraph">
                  <wp:posOffset>171450</wp:posOffset>
                </wp:positionV>
                <wp:extent cx="166687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6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13.5pt" to="153.75pt,13.5pt" o:allowincell="f" strokecolor="#000000" strokeweight="1pt"/>
            </w:pict>
          </mc:Fallback>
        </mc:AlternateContent>
      </w:r>
    </w:p>
    <w:p>
      <w:pPr>
        <w:spacing w:after="0" w:line="340" w:lineRule="exact"/>
        <w:rPr>
          <w:sz w:val="20"/>
          <w:szCs w:val="20"/>
          <w:color w:val="auto"/>
        </w:rPr>
      </w:pPr>
    </w:p>
    <w:p>
      <w:pPr>
        <w:ind w:left="540" w:hanging="360"/>
        <w:spacing w:after="0"/>
        <w:tabs>
          <w:tab w:leader="none" w:pos="5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principal obligations and the final fee at maturities of our First-Citizens Term Loan.</w:t>
      </w:r>
    </w:p>
    <w:p>
      <w:pPr>
        <w:spacing w:after="0" w:line="24" w:lineRule="exact"/>
        <w:rPr>
          <w:rFonts w:ascii="Times New Roman" w:cs="Times New Roman" w:eastAsia="Times New Roman" w:hAnsi="Times New Roman"/>
          <w:sz w:val="16"/>
          <w:szCs w:val="16"/>
          <w:color w:val="auto"/>
        </w:rPr>
      </w:pPr>
    </w:p>
    <w:p>
      <w:pPr>
        <w:ind w:left="540" w:hanging="360"/>
        <w:spacing w:after="0"/>
        <w:tabs>
          <w:tab w:leader="none" w:pos="5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future interest obligations on our First-Citizens Term Loan estimated using an interest rate of 9.0% as of December 31, 2023.</w:t>
      </w:r>
    </w:p>
    <w:p>
      <w:pPr>
        <w:spacing w:after="0" w:line="3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This compared to $48.7 million of contractual obligations as of December 31, 2022.</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800"/>
          </w:cols>
          <w:pgMar w:left="720" w:top="658" w:right="720" w:bottom="0" w:gutter="0" w:footer="0" w:header="0"/>
          <w:type w:val="continuous"/>
        </w:sectPr>
      </w:pPr>
    </w:p>
    <w:bookmarkStart w:id="72" w:name="page73"/>
    <w:bookmarkEnd w:id="72"/>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table sets forth the primary sources and uses of cash for each of the periods presented below:</w:t>
      </w:r>
    </w:p>
    <w:p>
      <w:pPr>
        <w:spacing w:after="0" w:line="343" w:lineRule="exact"/>
        <w:rPr>
          <w:sz w:val="20"/>
          <w:szCs w:val="20"/>
          <w:color w:val="auto"/>
        </w:rPr>
      </w:pPr>
    </w:p>
    <w:tbl>
      <w:tblPr>
        <w:tblLayout w:type="fixed"/>
        <w:tblInd w:w="880" w:type="dxa"/>
        <w:tblCellMar>
          <w:top w:w="0" w:type="dxa"/>
          <w:left w:w="0" w:type="dxa"/>
          <w:bottom w:w="0" w:type="dxa"/>
          <w:right w:w="0" w:type="dxa"/>
        </w:tblCellMar>
      </w:tblPr>
      <w:tr>
        <w:trPr>
          <w:trHeight w:val="243"/>
        </w:trPr>
        <w:tc>
          <w:tcPr>
            <w:tcW w:w="5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4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5"/>
        </w:trPr>
        <w:tc>
          <w:tcPr>
            <w:tcW w:w="5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(used in):</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(18,713)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(41,655)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22,942</w:t>
            </w:r>
          </w:p>
        </w:tc>
        <w:tc>
          <w:tcPr>
            <w:tcW w:w="0" w:type="dxa"/>
            <w:vAlign w:val="bottom"/>
          </w:tcPr>
          <w:p>
            <w:pPr>
              <w:spacing w:after="0"/>
              <w:rPr>
                <w:sz w:val="1"/>
                <w:szCs w:val="1"/>
                <w:color w:val="auto"/>
              </w:rPr>
            </w:pPr>
          </w:p>
        </w:tc>
      </w:tr>
      <w:tr>
        <w:trPr>
          <w:trHeight w:val="30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(59,798)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(56,983)</w:t>
            </w:r>
          </w:p>
        </w:tc>
        <w:tc>
          <w:tcPr>
            <w:tcW w:w="0" w:type="dxa"/>
            <w:vAlign w:val="bottom"/>
          </w:tcPr>
          <w:p>
            <w:pPr>
              <w:spacing w:after="0"/>
              <w:rPr>
                <w:sz w:val="1"/>
                <w:szCs w:val="1"/>
                <w:color w:val="auto"/>
              </w:rPr>
            </w:pPr>
          </w:p>
        </w:tc>
      </w:tr>
      <w:tr>
        <w:trPr>
          <w:trHeight w:val="30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88,736</w:t>
            </w:r>
          </w:p>
        </w:tc>
        <w:tc>
          <w:tcPr>
            <w:tcW w:w="0" w:type="dxa"/>
            <w:vAlign w:val="bottom"/>
          </w:tcPr>
          <w:p>
            <w:pPr>
              <w:spacing w:after="0"/>
              <w:rPr>
                <w:sz w:val="1"/>
                <w:szCs w:val="1"/>
                <w:color w:val="auto"/>
              </w:rPr>
            </w:pPr>
          </w:p>
        </w:tc>
      </w:tr>
      <w:tr>
        <w:trPr>
          <w:trHeight w:val="28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Effects of exchange rate changes on cash and cash equivalents</w:t>
            </w:r>
          </w:p>
        </w:tc>
        <w:tc>
          <w:tcPr>
            <w:tcW w:w="1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0" w:type="dxa"/>
            <w:vAlign w:val="bottom"/>
          </w:tcPr>
          <w:p>
            <w:pPr>
              <w:spacing w:after="0"/>
              <w:rPr>
                <w:sz w:val="1"/>
                <w:szCs w:val="1"/>
                <w:color w:val="auto"/>
              </w:rPr>
            </w:pPr>
          </w:p>
        </w:tc>
      </w:tr>
      <w:tr>
        <w:trPr>
          <w:trHeight w:val="211"/>
        </w:trPr>
        <w:tc>
          <w:tcPr>
            <w:tcW w:w="5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12,554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55,256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-1107440</wp:posOffset>
            </wp:positionV>
            <wp:extent cx="5902325" cy="215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5902325" cy="21590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-726440</wp:posOffset>
            </wp:positionV>
            <wp:extent cx="5902325" cy="215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5902325" cy="21590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-221615</wp:posOffset>
            </wp:positionV>
            <wp:extent cx="5915025" cy="241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5915025" cy="241300"/>
                    </a:xfrm>
                    <a:prstGeom prst="rect">
                      <a:avLst/>
                    </a:prstGeom>
                    <a:noFill/>
                  </pic:spPr>
                </pic:pic>
              </a:graphicData>
            </a:graphic>
          </wp:anchor>
        </w:drawing>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Cash Used in Operating Activities</w:t>
      </w:r>
    </w:p>
    <w:p>
      <w:pPr>
        <w:spacing w:after="0" w:line="254" w:lineRule="exact"/>
        <w:rPr>
          <w:sz w:val="20"/>
          <w:szCs w:val="20"/>
          <w:color w:val="auto"/>
        </w:rPr>
      </w:pPr>
    </w:p>
    <w:p>
      <w:pPr>
        <w:jc w:val="both"/>
        <w:ind w:firstLine="450"/>
        <w:spacing w:after="0" w:line="236"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2023 of $18.7 million resulted from cash outflows due to net loss of $43.3 million, adjusted for $29.5 million of non-cash items and cash outflows from changes in operating assets and liabilities of $4.8 million. Net cash used in operation activities for the year ended December 31, 2022 of $41.7 million resulted from cash outflows due to net loss of $61.3 million, adjusted for $27.6 million of non-cash items and cash outflows from changes in operating assets and liabilities of $8.0 million. The decrease in net loss, net of non-cash items for the year ended December 31, 2023 compared to the year ended December 31, 2022 was mainly due to increased revenues. Net cash outflows from changes in operating assets and liabilities for year ended December 31, 2023 were primarily due to higher accounts receivable due to timing of collections and the increase in revenue in the fourth quarter of 2023, higher inventory build-up related to our implants, higher prepaid expenses due to timing of payments, and lower accounts payable attributable to the normal course timing of expenses, offset in part by an increase in accrued liabilities and other due to timing of other third-party payments and higher compensation and benefits accruals. Net cash outflows from changes in operating assets and liabilities for the year ended December 31, 2022 were primarily due to higher inventory build-up related to our iFuse-TORQ and iFuse Bedrock Granite implants and higher accounts receivable due to timing of collections and the increase in revenue in the fourth quarter of 2022, offset in part by a decrease in prepaid expenses due to timing of payments for software subscriptions and lower prepaid annual insurance premiums, an increase in accounts payable due to the timing of vendor payments, and an increase in accrued liabilities and other due to timing of other third-party payments and higher compensation and benefits accruals.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Cash Used In Investing Activities</w:t>
      </w:r>
    </w:p>
    <w:p>
      <w:pPr>
        <w:spacing w:after="0" w:line="254"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Net cash used in investing activities in the year ended December 31, 2023 was $59.8 million compared to net cash used in investing activities of $2.8 million in the year ended December 31, 2022. Net cash used in investing activities for the year ended December 31, 2023 consisted of purchases of property and equipment of $7.8 million related to individual components in instrument trays to support increased case volumes and capitalized costs related to the lease in Santa Clara and equipment and purchases of our marketable securities, net of maturities, of $52.0 million. Net cash used in investing activities for the year ended December 31, 2022 consisted of purchases of property and equipment of $9.5 million related to individual components in instrument trays to support increased case volumes, increased demand for iFuse-TORQ and the launch of iFuse Bedrock Granite, as well as capitalized costs related to the lease in Santa Clara, partially offset by maturities of our marketable securities, net of purchases of $6.7 million.</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Financing Activities</w:t>
      </w:r>
    </w:p>
    <w:p>
      <w:pPr>
        <w:spacing w:after="0" w:line="254"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Cash provided by financing activities in the year ended December 31, 2023 was $90.9 million resulting from proceeds of $83.7 million from the issuance of common stock under our follow-on public offering, proceeds of $6.6 million from the issuance of common stock under our stock-based incentive compensation plans, and net proceeds of $0.7 million from the refinancing of our term loan with First-Citizens. Cash provided by financing activities for the year ended December 31, 2022 was $2.2 million related to proceeds from the issuance of common stock under our stock-based incentive compensation plans.</w:t>
      </w:r>
    </w:p>
    <w:p>
      <w:pPr>
        <w:sectPr>
          <w:pgSz w:w="12240" w:h="15840" w:orient="portrait"/>
          <w:cols w:equalWidth="0" w:num="1">
            <w:col w:w="10800"/>
          </w:cols>
          <w:pgMar w:left="720" w:top="64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800"/>
          </w:cols>
          <w:pgMar w:left="720" w:top="649" w:right="72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Significant Judgments, and Use of Estimates</w:t>
      </w:r>
    </w:p>
    <w:p>
      <w:pPr>
        <w:spacing w:after="0" w:line="257"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20"/>
          <w:szCs w:val="20"/>
          <w:color w:val="auto"/>
        </w:rPr>
        <w:t xml:space="preserve">This discussion and analysis of our financial condition and results of operations is based on our consolidated financial statements, which have been prepared in accordance with generally accepted accounting principles in the United States of America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We base our estimates on our historical experience, current market conditions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policy discussed below is critical to understanding our historical and future performance, as it relates to the more significant area involving management's judgments. For more comprehensive discussion of our significant accounting policies, refer to “Note 2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Summary of Significant Account Policies” in the accompanying Notes to Consolidated Financial Statements in Item 8 of this Form 10-K.</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5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We derive our revenue from the sale of our products to medical groups and hospitals through our direct sales force and third-party sales agents throughout the United States and Europe. We receive payment for the implants consumed during the surgery and do not receive additional or separate consideration for the use of the instrument tray furnished for the physicians’s use. We identify the instrument trays as a lease component and the implants as a non-lease component in our arrangements with our customers. We determine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w:t>
      </w:r>
    </w:p>
    <w:p>
      <w:pPr>
        <w:spacing w:after="0" w:line="150"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In accordance with ASC 606, we recognize revenue when control is transferred to the customer, in an amount that reflects the consideration we expect to be entitled to in exchange for the goods or services. To recognize revenue,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204" w:lineRule="exact"/>
        <w:rPr>
          <w:sz w:val="20"/>
          <w:szCs w:val="20"/>
          <w:color w:val="auto"/>
        </w:rPr>
      </w:pPr>
    </w:p>
    <w:p>
      <w:pPr>
        <w:jc w:val="both"/>
        <w:ind w:firstLine="495"/>
        <w:spacing w:after="0" w:line="252" w:lineRule="auto"/>
        <w:rPr>
          <w:sz w:val="20"/>
          <w:szCs w:val="20"/>
          <w:color w:val="auto"/>
        </w:rPr>
      </w:pPr>
      <w:r>
        <w:rPr>
          <w:rFonts w:ascii="Times New Roman" w:cs="Times New Roman" w:eastAsia="Times New Roman" w:hAnsi="Times New Roman"/>
          <w:sz w:val="20"/>
          <w:szCs w:val="20"/>
          <w:color w:val="auto"/>
        </w:rPr>
        <w:t>As it relates to majority of our revenue consisting of product sales where our sales representative delivers the product at the point of implantation at hospital or medical facilities, we recognize the revenue upon completion of the procedure and authorization by the customer, net of rebates and price discounts. We also generate a small portion of our revenue from sale of products through third-party sales agents and hospital or medical facilities where the product is ordered in advance of a procedure. The performance obligation is the delivery of the product and therefore, we recognize revenue upon shipment to the customers, net of rebates and price discounts. We account for rebates and price discounts as a reduction to revenue, calculated based on the terms agreed to with the customer. Sales prices are specified in either customer contract, agreed price list, or purchase order, which is executed prior to the transfer of control to the customer. For certain hospitals and medical facilities, we have agreements in place consisting of either a master services agreement or an approved price list, which defines the terms and conditions of the arrangement, including the pricing information, payment terms and pertinent aspects of the relationship between the parties. We also have agreements in place with its third-party sales agents, which include standard terms that do not allow for payment contingent on resale of the product, obtaining financing, or other terms that could impact the distributor’s payment obligation. Our standard payment terms are generally net 30 to 90 days. We consider sales commissions and related expenses as incremental and recoverable costs of acquiring customer contracts. Our sales commissions are paid to our sales representatives in connection with each surgery performed. The period of benefit is concurrent when we recognize our revenue, as such, we also recognize sales commission as expense when incurred.</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grant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The fair value of our market-related performance awards is estimated using a Monte-Carlo simulation, which incorporates the probability of the achievement of the market-related performance goals at the date of grant. If such performance goals are not ultimately met, the expense is not reversed. Stock-based compensation expense is recognized ratably over the requisite service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3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pgSz w:w="12240" w:h="15840" w:orient="portrait"/>
          <w:cols w:equalWidth="0" w:num="1">
            <w:col w:w="10800"/>
          </w:cols>
          <w:pgMar w:left="720" w:top="786" w:right="720" w:bottom="0" w:gutter="0" w:footer="0" w:header="0"/>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800"/>
          </w:cols>
          <w:pgMar w:left="720" w:top="786" w:right="72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37" w:lineRule="exact"/>
        <w:rPr>
          <w:sz w:val="20"/>
          <w:szCs w:val="20"/>
          <w:color w:val="auto"/>
        </w:rPr>
      </w:pPr>
    </w:p>
    <w:p>
      <w:pPr>
        <w:ind w:firstLine="495"/>
        <w:spacing w:after="0" w:line="281" w:lineRule="auto"/>
        <w:rPr>
          <w:sz w:val="20"/>
          <w:szCs w:val="20"/>
          <w:color w:val="auto"/>
        </w:rPr>
      </w:pPr>
      <w:r>
        <w:rPr>
          <w:rFonts w:ascii="Times New Roman" w:cs="Times New Roman" w:eastAsia="Times New Roman" w:hAnsi="Times New Roman"/>
          <w:sz w:val="20"/>
          <w:szCs w:val="20"/>
          <w:color w:val="auto"/>
        </w:rPr>
        <w:t>See Note 2 of Notes to Consolidated Financial Statements for related discussions on recently adopted accounting standards and updates on recently issued accounting standards not yet effective, which information is incorporated by reference here.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7" w:lineRule="exact"/>
        <w:rPr>
          <w:sz w:val="20"/>
          <w:szCs w:val="20"/>
          <w:color w:val="auto"/>
        </w:rPr>
      </w:pPr>
    </w:p>
    <w:p>
      <w:pPr>
        <w:ind w:right="200" w:firstLine="720"/>
        <w:spacing w:after="0" w:line="286" w:lineRule="auto"/>
        <w:rPr>
          <w:sz w:val="20"/>
          <w:szCs w:val="20"/>
          <w:color w:val="auto"/>
        </w:rPr>
      </w:pPr>
      <w:r>
        <w:rPr>
          <w:rFonts w:ascii="Times New Roman" w:cs="Times New Roman" w:eastAsia="Times New Roman" w:hAnsi="Times New Roman"/>
          <w:sz w:val="19"/>
          <w:szCs w:val="19"/>
          <w:color w:val="auto"/>
        </w:rPr>
        <w:t>While we became a large accelerated filer as of December 31, 2023, we are not required to reflect the change in our smaller reporting company status and comply with the associated increased disclosure obligations until our quarterly report for the three-month period ending March 31, 2024. As a result, we are not required to provide the information otherwise required by this Item</w:t>
      </w:r>
    </w:p>
    <w:p>
      <w:pPr>
        <w:sectPr>
          <w:pgSz w:w="12240" w:h="15840" w:orient="portrait"/>
          <w:cols w:equalWidth="0" w:num="1">
            <w:col w:w="10800"/>
          </w:cols>
          <w:pgMar w:left="720" w:top="7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800"/>
          </w:cols>
          <w:pgMar w:left="720" w:top="786" w:right="720" w:bottom="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64"/>
        </w:trPr>
        <w:tc>
          <w:tcPr>
            <w:tcW w:w="992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480"/>
        </w:trPr>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gridSpan w:val="4"/>
          </w:tcPr>
          <w:p>
            <w:pPr>
              <w:jc w:val="center"/>
              <w:ind w:right="3200"/>
              <w:spacing w:after="0"/>
              <w:rPr>
                <w:sz w:val="20"/>
                <w:szCs w:val="20"/>
                <w:color w:val="auto"/>
              </w:rPr>
            </w:pPr>
            <w:r>
              <w:rPr>
                <w:rFonts w:ascii="Times New Roman" w:cs="Times New Roman" w:eastAsia="Times New Roman" w:hAnsi="Times New Roman"/>
                <w:sz w:val="20"/>
                <w:szCs w:val="20"/>
                <w:b w:val="1"/>
                <w:bCs w:val="1"/>
                <w:color w:val="auto"/>
                <w:w w:val="98"/>
              </w:rPr>
              <w:t>SI-BONE, INC.</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80"/>
        </w:trPr>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700" w:type="dxa"/>
            <w:vAlign w:val="bottom"/>
            <w:gridSpan w:val="7"/>
          </w:tcPr>
          <w:p>
            <w:pPr>
              <w:jc w:val="center"/>
              <w:ind w:right="1340"/>
              <w:spacing w:after="0"/>
              <w:rPr>
                <w:sz w:val="20"/>
                <w:szCs w:val="20"/>
                <w:color w:val="auto"/>
              </w:rPr>
            </w:pPr>
            <w:r>
              <w:rPr>
                <w:rFonts w:ascii="Times New Roman" w:cs="Times New Roman" w:eastAsia="Times New Roman" w:hAnsi="Times New Roman"/>
                <w:sz w:val="20"/>
                <w:szCs w:val="20"/>
                <w:b w:val="1"/>
                <w:bCs w:val="1"/>
                <w:color w:val="auto"/>
                <w:w w:val="99"/>
              </w:rPr>
              <w:t>INDEX TO CONSOLIDATED FINANCIAL STATEMENTS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3"/>
        </w:trPr>
        <w:tc>
          <w:tcPr>
            <w:tcW w:w="580" w:type="dxa"/>
            <w:vAlign w:val="bottom"/>
          </w:tcPr>
          <w:p>
            <w:pPr>
              <w:spacing w:after="0"/>
              <w:rPr>
                <w:sz w:val="23"/>
                <w:szCs w:val="23"/>
                <w:color w:val="auto"/>
              </w:rPr>
            </w:pPr>
          </w:p>
        </w:tc>
        <w:tc>
          <w:tcPr>
            <w:tcW w:w="93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238)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rPr>
              <w:t>75</w:t>
            </w:r>
          </w:p>
        </w:tc>
      </w:tr>
      <w:tr>
        <w:trPr>
          <w:trHeight w:val="265"/>
        </w:trPr>
        <w:tc>
          <w:tcPr>
            <w:tcW w:w="580" w:type="dxa"/>
            <w:vAlign w:val="bottom"/>
          </w:tcPr>
          <w:p>
            <w:pPr>
              <w:spacing w:after="0"/>
              <w:rPr>
                <w:sz w:val="23"/>
                <w:szCs w:val="23"/>
                <w:color w:val="auto"/>
              </w:rPr>
            </w:pPr>
          </w:p>
        </w:tc>
        <w:tc>
          <w:tcPr>
            <w:tcW w:w="23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Consolidated Balance Sheets</w:t>
            </w:r>
          </w:p>
        </w:tc>
        <w:tc>
          <w:tcPr>
            <w:tcW w:w="2360" w:type="dxa"/>
            <w:vAlign w:val="bottom"/>
            <w:tcBorders>
              <w:top w:val="single" w:sz="8" w:color="0000FF"/>
            </w:tcBorders>
            <w:gridSpan w:val="3"/>
          </w:tcPr>
          <w:p>
            <w:pPr>
              <w:spacing w:after="0"/>
              <w:rPr>
                <w:sz w:val="23"/>
                <w:szCs w:val="23"/>
                <w:color w:val="auto"/>
              </w:rPr>
            </w:pPr>
          </w:p>
        </w:tc>
        <w:tc>
          <w:tcPr>
            <w:tcW w:w="466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77</w:t>
            </w:r>
          </w:p>
        </w:tc>
      </w:tr>
      <w:tr>
        <w:trPr>
          <w:trHeight w:val="265"/>
        </w:trPr>
        <w:tc>
          <w:tcPr>
            <w:tcW w:w="580" w:type="dxa"/>
            <w:vAlign w:val="bottom"/>
          </w:tcPr>
          <w:p>
            <w:pPr>
              <w:spacing w:after="0"/>
              <w:rPr>
                <w:sz w:val="23"/>
                <w:szCs w:val="23"/>
                <w:color w:val="auto"/>
              </w:rPr>
            </w:pPr>
          </w:p>
        </w:tc>
        <w:tc>
          <w:tcPr>
            <w:tcW w:w="52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and Comprehensive Loss</w:t>
            </w:r>
          </w:p>
        </w:tc>
        <w:tc>
          <w:tcPr>
            <w:tcW w:w="4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78</w:t>
            </w:r>
          </w:p>
        </w:tc>
      </w:tr>
      <w:tr>
        <w:trPr>
          <w:trHeight w:val="295"/>
        </w:trPr>
        <w:tc>
          <w:tcPr>
            <w:tcW w:w="580" w:type="dxa"/>
            <w:vAlign w:val="bottom"/>
          </w:tcPr>
          <w:p>
            <w:pPr>
              <w:spacing w:after="0"/>
              <w:rPr>
                <w:sz w:val="24"/>
                <w:szCs w:val="24"/>
                <w:color w:val="auto"/>
              </w:rPr>
            </w:pPr>
          </w:p>
        </w:tc>
        <w:tc>
          <w:tcPr>
            <w:tcW w:w="4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Consolidated Statements of Changes in Stockholders' Equity</w:t>
            </w:r>
          </w:p>
        </w:tc>
        <w:tc>
          <w:tcPr>
            <w:tcW w:w="44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79</w:t>
            </w:r>
          </w:p>
        </w:tc>
      </w:tr>
      <w:tr>
        <w:trPr>
          <w:trHeight w:val="265"/>
        </w:trPr>
        <w:tc>
          <w:tcPr>
            <w:tcW w:w="580" w:type="dxa"/>
            <w:vAlign w:val="bottom"/>
          </w:tcPr>
          <w:p>
            <w:pPr>
              <w:spacing w:after="0"/>
              <w:rPr>
                <w:sz w:val="23"/>
                <w:szCs w:val="23"/>
                <w:color w:val="auto"/>
              </w:rPr>
            </w:pPr>
          </w:p>
        </w:tc>
        <w:tc>
          <w:tcPr>
            <w:tcW w:w="93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rPr>
              <w:t>80</w:t>
            </w:r>
          </w:p>
        </w:tc>
      </w:tr>
      <w:tr>
        <w:trPr>
          <w:trHeight w:val="20"/>
        </w:trPr>
        <w:tc>
          <w:tcPr>
            <w:tcW w:w="58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65"/>
        </w:trPr>
        <w:tc>
          <w:tcPr>
            <w:tcW w:w="580" w:type="dxa"/>
            <w:vAlign w:val="bottom"/>
          </w:tcPr>
          <w:p>
            <w:pPr>
              <w:spacing w:after="0"/>
              <w:rPr>
                <w:sz w:val="23"/>
                <w:szCs w:val="23"/>
                <w:color w:val="auto"/>
              </w:rPr>
            </w:pPr>
          </w:p>
        </w:tc>
        <w:tc>
          <w:tcPr>
            <w:tcW w:w="3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5840" w:type="dxa"/>
            <w:vAlign w:val="bottom"/>
            <w:gridSpan w:val="4"/>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81</w:t>
            </w:r>
          </w:p>
        </w:tc>
      </w:tr>
      <w:tr>
        <w:trPr>
          <w:trHeight w:val="265"/>
        </w:trPr>
        <w:tc>
          <w:tcPr>
            <w:tcW w:w="580" w:type="dxa"/>
            <w:vAlign w:val="bottom"/>
          </w:tcPr>
          <w:p>
            <w:pPr>
              <w:spacing w:after="0"/>
              <w:rPr>
                <w:sz w:val="23"/>
                <w:szCs w:val="23"/>
                <w:color w:val="auto"/>
              </w:rPr>
            </w:pPr>
          </w:p>
        </w:tc>
        <w:tc>
          <w:tcPr>
            <w:tcW w:w="1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Supplementary Data</w:t>
            </w:r>
          </w:p>
        </w:tc>
        <w:tc>
          <w:tcPr>
            <w:tcW w:w="7700" w:type="dxa"/>
            <w:vAlign w:val="bottom"/>
            <w:gridSpan w:val="7"/>
          </w:tcPr>
          <w:p>
            <w:pPr>
              <w:spacing w:after="0"/>
              <w:rPr>
                <w:sz w:val="23"/>
                <w:szCs w:val="23"/>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102</w:t>
            </w:r>
          </w:p>
        </w:tc>
      </w:tr>
    </w:tbl>
    <w:p>
      <w:pPr>
        <w:spacing w:after="0" w:line="200" w:lineRule="exact"/>
        <w:rPr>
          <w:sz w:val="20"/>
          <w:szCs w:val="20"/>
          <w:color w:val="auto"/>
        </w:rPr>
      </w:pPr>
    </w:p>
    <w:p>
      <w:pPr>
        <w:sectPr>
          <w:pgSz w:w="12240" w:h="15840" w:orient="portrait"/>
          <w:cols w:equalWidth="0" w:num="1">
            <w:col w:w="10220"/>
          </w:cols>
          <w:pgMar w:left="720" w:top="651"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20"/>
          </w:cols>
          <w:pgMar w:left="720" w:top="651" w:right="1300" w:bottom="0" w:gutter="0" w:footer="0" w:header="0"/>
          <w:type w:val="continuous"/>
        </w:sectPr>
      </w:pPr>
    </w:p>
    <w:bookmarkStart w:id="76" w:name="page77"/>
    <w:bookmarkEnd w:id="76"/>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SI-BONE,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have audited the accompanying consolidated balance sheets of SI-BONE, Inc. and its subsidiaries (the “Company”) as of December 31, 2023 and 2022, and the related consolidated statements of operations and comprehensive loss, of changes in stockholders’ equity and of cash flows for the years then ended,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our opinion, the consolidated financial statements referred to above present fairly, in all material respects, the financial position of the Company as of December 31, 2023 and 2022, and the results of its operations and its cash flows for each of the years then ended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9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ectPr>
          <w:pgSz w:w="12240" w:h="15840" w:orient="portrait"/>
          <w:cols w:equalWidth="0" w:num="1">
            <w:col w:w="10800"/>
          </w:cols>
          <w:pgMar w:left="720" w:top="651" w:right="72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800"/>
          </w:cols>
          <w:pgMar w:left="720" w:top="651" w:right="720" w:bottom="0" w:gutter="0" w:footer="0" w:header="0"/>
          <w:type w:val="continuous"/>
        </w:sectPr>
      </w:pPr>
    </w:p>
    <w:bookmarkStart w:id="77" w:name="page78"/>
    <w:bookmarkEnd w:id="77"/>
    <w:p>
      <w:pPr>
        <w:jc w:val="both"/>
        <w:spacing w:after="0"/>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 – U.S. Implantation Product Sales</w:t>
      </w: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As described in Note 2 to the consolidated financial statements, product sales where the Company’s sales representative delivers the product at the point of implantation at the hospital or medical facilities represent the majority of the Company's consolidated revenue. The Company’s consolidated revenue was $138.9 million for the year ended December 31, 2023, of which, $130.6 million is related to the U.S. Management recognizes the revenue from these sales upon completion of the procedure and authorization by the customer, net of rebates and price discounts. This represents the majority of the Company’s consolidated revenue.</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principal consideration for our determination that performing procedures relating to revenue recognition - U.S. implantation product sales is a critical audit matter is a high degree of auditor effort in performing procedures related to the Company’s revenue recognition.</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product sales upon completion of the procedure and authorization by the customer. These procedures also included, among others, (i) evaluating revenue transactions by testing the issuance and settlement of invoices and credit memos, (ii) tracing transactions not settled to a detailed listing of accounts receivable, (iii) confirming a sample of outstanding customer invoice balances at year end and obtaining and inspecting source documents, including invoices, sales contracts, and proof of implantation for unpaid invoices, and obtaining subsequent cash receipt for paid invoices, where applicable, for confirmations not returned, and (iv) testing the completeness and accuracy of data provided by management.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/s/PricewaterhouseCoopers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2013.</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800"/>
          </w:cols>
          <w:pgMar w:left="720" w:top="658" w:right="720" w:bottom="0" w:gutter="0" w:footer="0" w:header="0"/>
          <w:type w:val="continuous"/>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9"/>
        </w:trPr>
        <w:tc>
          <w:tcPr>
            <w:tcW w:w="7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4"/>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ASSETS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0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3"/>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33,271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20,717</w:t>
            </w:r>
          </w:p>
        </w:tc>
      </w:tr>
      <w:tr>
        <w:trPr>
          <w:trHeight w:val="300"/>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Short-term investments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76,573</w:t>
            </w:r>
          </w:p>
        </w:tc>
      </w:tr>
      <w:tr>
        <w:trPr>
          <w:trHeight w:val="300"/>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receivable, net of allowance for credit losses of $1,118 and $400, respectively</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20,674</w:t>
            </w:r>
          </w:p>
        </w:tc>
      </w:tr>
      <w:tr>
        <w:trPr>
          <w:trHeight w:val="300"/>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Inventory</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17,282</w:t>
            </w:r>
          </w:p>
        </w:tc>
      </w:tr>
      <w:tr>
        <w:trPr>
          <w:trHeight w:val="303"/>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2,365</w:t>
            </w:r>
          </w:p>
        </w:tc>
      </w:tr>
      <w:tr>
        <w:trPr>
          <w:trHeight w:val="277"/>
        </w:trPr>
        <w:tc>
          <w:tcPr>
            <w:tcW w:w="7460" w:type="dxa"/>
            <w:vAlign w:val="bottom"/>
          </w:tcPr>
          <w:p>
            <w:pPr>
              <w:jc w:val="right"/>
              <w:ind w:right="5200"/>
              <w:spacing w:after="0"/>
              <w:rPr>
                <w:sz w:val="20"/>
                <w:szCs w:val="20"/>
                <w:color w:val="auto"/>
              </w:rPr>
            </w:pPr>
            <w:r>
              <w:rPr>
                <w:rFonts w:ascii="Times New Roman" w:cs="Times New Roman" w:eastAsia="Times New Roman" w:hAnsi="Times New Roman"/>
                <w:sz w:val="20"/>
                <w:szCs w:val="20"/>
                <w:color w:val="auto"/>
              </w:rPr>
              <w:t>Total current assets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211,394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137,611</w:t>
            </w:r>
          </w:p>
        </w:tc>
      </w:tr>
      <w:tr>
        <w:trPr>
          <w:trHeight w:val="30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15,564</w:t>
            </w:r>
          </w:p>
        </w:tc>
      </w:tr>
      <w:tr>
        <w:trPr>
          <w:trHeight w:val="30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4,002</w:t>
            </w:r>
          </w:p>
        </w:tc>
      </w:tr>
      <w:tr>
        <w:trPr>
          <w:trHeight w:val="303"/>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w:t>
            </w:r>
          </w:p>
        </w:tc>
      </w:tr>
      <w:tr>
        <w:trPr>
          <w:trHeight w:val="260"/>
        </w:trPr>
        <w:tc>
          <w:tcPr>
            <w:tcW w:w="7460" w:type="dxa"/>
            <w:vAlign w:val="bottom"/>
          </w:tcPr>
          <w:p>
            <w:pPr>
              <w:jc w:val="right"/>
              <w:ind w:right="5200"/>
              <w:spacing w:after="0"/>
              <w:rPr>
                <w:sz w:val="20"/>
                <w:szCs w:val="20"/>
                <w:color w:val="auto"/>
              </w:rPr>
            </w:pPr>
            <w:r>
              <w:rPr>
                <w:rFonts w:ascii="Times New Roman" w:cs="Times New Roman" w:eastAsia="Times New Roman" w:hAnsi="Times New Roman"/>
                <w:sz w:val="20"/>
                <w:szCs w:val="20"/>
                <w:color w:val="auto"/>
              </w:rPr>
              <w:t>TOTAL ASSETS</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230,425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157,552</w:t>
            </w:r>
          </w:p>
        </w:tc>
      </w:tr>
      <w:tr>
        <w:trPr>
          <w:trHeight w:val="20"/>
        </w:trPr>
        <w:tc>
          <w:tcPr>
            <w:tcW w:w="7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-2317115</wp:posOffset>
            </wp:positionV>
            <wp:extent cx="6372225" cy="6746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6372225" cy="6746875"/>
                    </a:xfrm>
                    <a:prstGeom prst="rect">
                      <a:avLst/>
                    </a:prstGeom>
                    <a:noFill/>
                  </pic:spPr>
                </pic:pic>
              </a:graphicData>
            </a:graphic>
          </wp:anchor>
        </w:drawing>
      </w:r>
    </w:p>
    <w:p>
      <w:pPr>
        <w:sectPr>
          <w:pgSz w:w="12240" w:h="15840" w:orient="portrait"/>
          <w:cols w:equalWidth="0" w:num="1">
            <w:col w:w="9920"/>
          </w:cols>
          <w:pgMar w:left="1180" w:top="651" w:right="1140" w:bottom="0" w:gutter="0" w:footer="0" w:header="0"/>
        </w:sectPr>
      </w:pPr>
    </w:p>
    <w:p>
      <w:pPr>
        <w:spacing w:after="0" w:line="283" w:lineRule="exact"/>
        <w:rPr>
          <w:sz w:val="20"/>
          <w:szCs w:val="20"/>
          <w:color w:val="auto"/>
        </w:rPr>
      </w:pPr>
    </w:p>
    <w:p>
      <w:pPr>
        <w:ind w:left="60" w:right="2620"/>
        <w:spacing w:after="0" w:line="313" w:lineRule="auto"/>
        <w:rPr>
          <w:sz w:val="20"/>
          <w:szCs w:val="20"/>
          <w:color w:val="auto"/>
        </w:rPr>
      </w:pPr>
      <w:r>
        <w:rPr>
          <w:rFonts w:ascii="Times New Roman" w:cs="Times New Roman" w:eastAsia="Times New Roman" w:hAnsi="Times New Roman"/>
          <w:sz w:val="20"/>
          <w:szCs w:val="20"/>
          <w:color w:val="auto"/>
        </w:rPr>
        <w:t>LIABILITIES AND STOCKHOLDERS’ EQUITY CURRENT LIABILITIES</w:t>
      </w:r>
    </w:p>
    <w:p>
      <w:pPr>
        <w:ind w:left="360"/>
        <w:spacing w:after="0"/>
        <w:rPr>
          <w:sz w:val="20"/>
          <w:szCs w:val="20"/>
          <w:color w:val="auto"/>
        </w:rPr>
      </w:pPr>
      <w:r>
        <w:rPr>
          <w:rFonts w:ascii="Times New Roman" w:cs="Times New Roman" w:eastAsia="Times New Roman" w:hAnsi="Times New Roman"/>
          <w:sz w:val="20"/>
          <w:szCs w:val="20"/>
          <w:color w:val="auto"/>
        </w:rPr>
        <w:t>Accounts payable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Accrued liabilities and other</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Operating lease liabilities, current portion</w:t>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Total current liabilities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Long-term borrowings</w:t>
      </w:r>
    </w:p>
    <w:p>
      <w:pPr>
        <w:spacing w:after="0" w:line="70" w:lineRule="exact"/>
        <w:rPr>
          <w:sz w:val="20"/>
          <w:szCs w:val="20"/>
          <w:color w:val="auto"/>
        </w:rPr>
      </w:pPr>
    </w:p>
    <w:p>
      <w:pPr>
        <w:ind w:right="2940"/>
        <w:spacing w:after="0" w:line="313" w:lineRule="auto"/>
        <w:rPr>
          <w:sz w:val="20"/>
          <w:szCs w:val="20"/>
          <w:color w:val="auto"/>
        </w:rPr>
      </w:pPr>
      <w:r>
        <w:rPr>
          <w:rFonts w:ascii="Times New Roman" w:cs="Times New Roman" w:eastAsia="Times New Roman" w:hAnsi="Times New Roman"/>
          <w:sz w:val="20"/>
          <w:szCs w:val="20"/>
          <w:color w:val="auto"/>
        </w:rPr>
        <w:t>Operating lease liabilities, net of current portion Other long-term liabilities</w:t>
      </w:r>
    </w:p>
    <w:p>
      <w:pPr>
        <w:ind w:left="500"/>
        <w:spacing w:after="0"/>
        <w:rPr>
          <w:sz w:val="20"/>
          <w:szCs w:val="20"/>
          <w:color w:val="auto"/>
        </w:rPr>
      </w:pPr>
      <w:r>
        <w:rPr>
          <w:rFonts w:ascii="Times New Roman" w:cs="Times New Roman" w:eastAsia="Times New Roman" w:hAnsi="Times New Roman"/>
          <w:sz w:val="20"/>
          <w:szCs w:val="20"/>
          <w:color w:val="auto"/>
        </w:rPr>
        <w:t>TOTAL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600" w:val="left"/>
          <w:tab w:leader="none" w:pos="1260" w:val="left"/>
          <w:tab w:leader="none" w:pos="18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4,588</w:t>
        <w:tab/>
        <w:t>$</w:t>
      </w:r>
      <w:r>
        <w:rPr>
          <w:sz w:val="20"/>
          <w:szCs w:val="20"/>
          <w:color w:val="auto"/>
        </w:rPr>
        <w:tab/>
      </w:r>
      <w:r>
        <w:rPr>
          <w:rFonts w:ascii="Times New Roman" w:cs="Times New Roman" w:eastAsia="Times New Roman" w:hAnsi="Times New Roman"/>
          <w:sz w:val="19"/>
          <w:szCs w:val="19"/>
          <w:color w:val="auto"/>
        </w:rPr>
        <w:t>6,279</w:t>
      </w:r>
    </w:p>
    <w:p>
      <w:pPr>
        <w:spacing w:after="0" w:line="70" w:lineRule="exact"/>
        <w:rPr>
          <w:sz w:val="20"/>
          <w:szCs w:val="20"/>
          <w:color w:val="auto"/>
        </w:rPr>
      </w:pPr>
    </w:p>
    <w:p>
      <w:pPr>
        <w:jc w:val="both"/>
        <w:ind w:left="520"/>
        <w:spacing w:after="0"/>
        <w:tabs>
          <w:tab w:leader="none" w:pos="1780" w:val="left"/>
        </w:tabs>
        <w:rPr>
          <w:sz w:val="20"/>
          <w:szCs w:val="20"/>
          <w:color w:val="auto"/>
        </w:rPr>
      </w:pPr>
      <w:r>
        <w:rPr>
          <w:rFonts w:ascii="Times New Roman" w:cs="Times New Roman" w:eastAsia="Times New Roman" w:hAnsi="Times New Roman"/>
          <w:sz w:val="20"/>
          <w:szCs w:val="20"/>
          <w:color w:val="auto"/>
        </w:rPr>
        <w:t>17,452</w:t>
      </w:r>
      <w:r>
        <w:rPr>
          <w:sz w:val="20"/>
          <w:szCs w:val="20"/>
          <w:color w:val="auto"/>
        </w:rPr>
        <w:tab/>
      </w:r>
      <w:r>
        <w:rPr>
          <w:rFonts w:ascii="Times New Roman" w:cs="Times New Roman" w:eastAsia="Times New Roman" w:hAnsi="Times New Roman"/>
          <w:sz w:val="20"/>
          <w:szCs w:val="20"/>
          <w:color w:val="auto"/>
        </w:rPr>
        <w:t>13,511</w:t>
      </w:r>
    </w:p>
    <w:p>
      <w:pPr>
        <w:spacing w:after="0" w:line="70" w:lineRule="exact"/>
        <w:rPr>
          <w:sz w:val="20"/>
          <w:szCs w:val="20"/>
          <w:color w:val="auto"/>
        </w:rPr>
      </w:pPr>
    </w:p>
    <w:p>
      <w:pPr>
        <w:jc w:val="both"/>
        <w:ind w:left="620"/>
        <w:spacing w:after="0"/>
        <w:tabs>
          <w:tab w:leader="none" w:pos="1880" w:val="left"/>
        </w:tabs>
        <w:rPr>
          <w:sz w:val="20"/>
          <w:szCs w:val="20"/>
          <w:color w:val="auto"/>
        </w:rPr>
      </w:pPr>
      <w:r>
        <w:rPr>
          <w:rFonts w:ascii="Times New Roman" w:cs="Times New Roman" w:eastAsia="Times New Roman" w:hAnsi="Times New Roman"/>
          <w:sz w:val="20"/>
          <w:szCs w:val="20"/>
          <w:color w:val="auto"/>
        </w:rPr>
        <w:t>1,416</w:t>
      </w:r>
      <w:r>
        <w:rPr>
          <w:sz w:val="20"/>
          <w:szCs w:val="20"/>
          <w:color w:val="auto"/>
        </w:rPr>
        <w:tab/>
      </w:r>
      <w:r>
        <w:rPr>
          <w:rFonts w:ascii="Times New Roman" w:cs="Times New Roman" w:eastAsia="Times New Roman" w:hAnsi="Times New Roman"/>
          <w:sz w:val="20"/>
          <w:szCs w:val="20"/>
          <w:color w:val="auto"/>
        </w:rPr>
        <w:t>1,388</w:t>
      </w:r>
    </w:p>
    <w:p>
      <w:pPr>
        <w:spacing w:after="0" w:line="70" w:lineRule="exact"/>
        <w:rPr>
          <w:sz w:val="20"/>
          <w:szCs w:val="20"/>
          <w:color w:val="auto"/>
        </w:rPr>
      </w:pPr>
    </w:p>
    <w:p>
      <w:pPr>
        <w:jc w:val="both"/>
        <w:ind w:left="520"/>
        <w:spacing w:after="0"/>
        <w:tabs>
          <w:tab w:leader="none" w:pos="1780" w:val="left"/>
        </w:tabs>
        <w:rPr>
          <w:sz w:val="20"/>
          <w:szCs w:val="20"/>
          <w:color w:val="auto"/>
        </w:rPr>
      </w:pPr>
      <w:r>
        <w:rPr>
          <w:rFonts w:ascii="Times New Roman" w:cs="Times New Roman" w:eastAsia="Times New Roman" w:hAnsi="Times New Roman"/>
          <w:sz w:val="20"/>
          <w:szCs w:val="20"/>
          <w:color w:val="auto"/>
        </w:rPr>
        <w:t>23,456</w:t>
      </w:r>
      <w:r>
        <w:rPr>
          <w:sz w:val="20"/>
          <w:szCs w:val="20"/>
          <w:color w:val="auto"/>
        </w:rPr>
        <w:tab/>
      </w:r>
      <w:r>
        <w:rPr>
          <w:rFonts w:ascii="Times New Roman" w:cs="Times New Roman" w:eastAsia="Times New Roman" w:hAnsi="Times New Roman"/>
          <w:sz w:val="20"/>
          <w:szCs w:val="20"/>
          <w:color w:val="auto"/>
        </w:rPr>
        <w:t>21,178</w:t>
      </w:r>
    </w:p>
    <w:p>
      <w:pPr>
        <w:spacing w:after="0" w:line="70" w:lineRule="exact"/>
        <w:rPr>
          <w:sz w:val="20"/>
          <w:szCs w:val="20"/>
          <w:color w:val="auto"/>
        </w:rPr>
      </w:pPr>
    </w:p>
    <w:p>
      <w:pPr>
        <w:jc w:val="both"/>
        <w:ind w:left="520"/>
        <w:spacing w:after="0"/>
        <w:tabs>
          <w:tab w:leader="none" w:pos="1780" w:val="left"/>
        </w:tabs>
        <w:rPr>
          <w:sz w:val="20"/>
          <w:szCs w:val="20"/>
          <w:color w:val="auto"/>
        </w:rPr>
      </w:pPr>
      <w:r>
        <w:rPr>
          <w:rFonts w:ascii="Times New Roman" w:cs="Times New Roman" w:eastAsia="Times New Roman" w:hAnsi="Times New Roman"/>
          <w:sz w:val="20"/>
          <w:szCs w:val="20"/>
          <w:color w:val="auto"/>
        </w:rPr>
        <w:t>36,065</w:t>
      </w:r>
      <w:r>
        <w:rPr>
          <w:sz w:val="20"/>
          <w:szCs w:val="20"/>
          <w:color w:val="auto"/>
        </w:rPr>
        <w:tab/>
      </w:r>
      <w:r>
        <w:rPr>
          <w:rFonts w:ascii="Times New Roman" w:cs="Times New Roman" w:eastAsia="Times New Roman" w:hAnsi="Times New Roman"/>
          <w:sz w:val="20"/>
          <w:szCs w:val="20"/>
          <w:color w:val="auto"/>
        </w:rPr>
        <w:t>35,171</w:t>
      </w:r>
    </w:p>
    <w:p>
      <w:pPr>
        <w:spacing w:after="0" w:line="70" w:lineRule="exact"/>
        <w:rPr>
          <w:sz w:val="20"/>
          <w:szCs w:val="20"/>
          <w:color w:val="auto"/>
        </w:rPr>
      </w:pPr>
    </w:p>
    <w:p>
      <w:pPr>
        <w:jc w:val="both"/>
        <w:ind w:left="620"/>
        <w:spacing w:after="0"/>
        <w:tabs>
          <w:tab w:leader="none" w:pos="1880" w:val="left"/>
        </w:tabs>
        <w:rPr>
          <w:sz w:val="20"/>
          <w:szCs w:val="20"/>
          <w:color w:val="auto"/>
        </w:rPr>
      </w:pPr>
      <w:r>
        <w:rPr>
          <w:rFonts w:ascii="Times New Roman" w:cs="Times New Roman" w:eastAsia="Times New Roman" w:hAnsi="Times New Roman"/>
          <w:sz w:val="20"/>
          <w:szCs w:val="20"/>
          <w:color w:val="auto"/>
        </w:rPr>
        <w:t>1,511</w:t>
      </w:r>
      <w:r>
        <w:rPr>
          <w:sz w:val="20"/>
          <w:szCs w:val="20"/>
          <w:color w:val="auto"/>
        </w:rPr>
        <w:tab/>
      </w:r>
      <w:r>
        <w:rPr>
          <w:rFonts w:ascii="Times New Roman" w:cs="Times New Roman" w:eastAsia="Times New Roman" w:hAnsi="Times New Roman"/>
          <w:sz w:val="20"/>
          <w:szCs w:val="20"/>
          <w:color w:val="auto"/>
        </w:rPr>
        <w:t>2,871</w:t>
      </w:r>
    </w:p>
    <w:p>
      <w:pPr>
        <w:spacing w:after="0" w:line="70" w:lineRule="exact"/>
        <w:rPr>
          <w:sz w:val="20"/>
          <w:szCs w:val="20"/>
          <w:color w:val="auto"/>
        </w:rPr>
      </w:pPr>
    </w:p>
    <w:p>
      <w:pPr>
        <w:ind w:left="2140" w:hanging="1269"/>
        <w:spacing w:after="0"/>
        <w:tabs>
          <w:tab w:leader="none" w:pos="21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w:t>
      </w:r>
    </w:p>
    <w:p>
      <w:pPr>
        <w:spacing w:after="0" w:line="70" w:lineRule="exact"/>
        <w:rPr>
          <w:rFonts w:ascii="Times New Roman" w:cs="Times New Roman" w:eastAsia="Times New Roman" w:hAnsi="Times New Roman"/>
          <w:sz w:val="20"/>
          <w:szCs w:val="20"/>
          <w:color w:val="auto"/>
        </w:rPr>
      </w:pPr>
    </w:p>
    <w:p>
      <w:pPr>
        <w:ind w:left="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61,050</w:t>
      </w:r>
      <w:r>
        <w:rPr>
          <w:rFonts w:ascii="Times New Roman" w:cs="Times New Roman" w:eastAsia="Times New Roman" w:hAnsi="Times New Roman"/>
          <w:sz w:val="19"/>
          <w:szCs w:val="19"/>
          <w:color w:val="auto"/>
        </w:rPr>
        <w:t>59,250</w:t>
      </w:r>
    </w:p>
    <w:p>
      <w:pPr>
        <w:spacing w:after="0" w:line="200" w:lineRule="exact"/>
        <w:rPr>
          <w:sz w:val="20"/>
          <w:szCs w:val="20"/>
          <w:color w:val="auto"/>
        </w:rPr>
      </w:pPr>
    </w:p>
    <w:p>
      <w:pPr>
        <w:sectPr>
          <w:pgSz w:w="12240" w:h="15840" w:orient="portrait"/>
          <w:cols w:equalWidth="0" w:num="2">
            <w:col w:w="6780" w:space="720"/>
            <w:col w:w="2420"/>
          </w:cols>
          <w:pgMar w:left="1180" w:top="651" w:right="1140" w:bottom="0"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Commitments and contingencies (Note 6)</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0"/>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STOCKHOLDERS’ EQUITY</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Preferred stock, $0.0001 par value; 5,000,000 shares authorized; no shares issued and</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outstanding</w:t>
            </w: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4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Common stock, $0.0001 par value; 100,000,000 shares authorized; 40,693,299 and</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60"/>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34,731,577 shares issued and outstanding, respectively</w:t>
            </w: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569,477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455,172</w:t>
            </w:r>
          </w:p>
        </w:tc>
        <w:tc>
          <w:tcPr>
            <w:tcW w:w="0" w:type="dxa"/>
            <w:vAlign w:val="bottom"/>
          </w:tcPr>
          <w:p>
            <w:pPr>
              <w:spacing w:after="0"/>
              <w:rPr>
                <w:sz w:val="1"/>
                <w:szCs w:val="1"/>
                <w:color w:val="auto"/>
              </w:rPr>
            </w:pPr>
          </w:p>
        </w:tc>
      </w:tr>
      <w:tr>
        <w:trPr>
          <w:trHeight w:val="300"/>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0" w:type="dxa"/>
            <w:vAlign w:val="bottom"/>
          </w:tcPr>
          <w:p>
            <w:pPr>
              <w:spacing w:after="0"/>
              <w:rPr>
                <w:sz w:val="1"/>
                <w:szCs w:val="1"/>
                <w:color w:val="auto"/>
              </w:rPr>
            </w:pPr>
          </w:p>
        </w:tc>
      </w:tr>
      <w:tr>
        <w:trPr>
          <w:trHeight w:val="303"/>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Accumulated deficit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(400,441)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(357,105)</w:t>
            </w:r>
          </w:p>
        </w:tc>
        <w:tc>
          <w:tcPr>
            <w:tcW w:w="0" w:type="dxa"/>
            <w:vAlign w:val="bottom"/>
          </w:tcPr>
          <w:p>
            <w:pPr>
              <w:spacing w:after="0"/>
              <w:rPr>
                <w:sz w:val="1"/>
                <w:szCs w:val="1"/>
                <w:color w:val="auto"/>
              </w:rPr>
            </w:pPr>
          </w:p>
        </w:tc>
      </w:tr>
      <w:tr>
        <w:trPr>
          <w:trHeight w:val="280"/>
        </w:trPr>
        <w:tc>
          <w:tcPr>
            <w:tcW w:w="74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169,375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98,302</w:t>
            </w:r>
          </w:p>
        </w:tc>
        <w:tc>
          <w:tcPr>
            <w:tcW w:w="0" w:type="dxa"/>
            <w:vAlign w:val="bottom"/>
          </w:tcPr>
          <w:p>
            <w:pPr>
              <w:spacing w:after="0"/>
              <w:rPr>
                <w:sz w:val="1"/>
                <w:szCs w:val="1"/>
                <w:color w:val="auto"/>
              </w:rPr>
            </w:pPr>
          </w:p>
        </w:tc>
      </w:tr>
      <w:tr>
        <w:trPr>
          <w:trHeight w:val="260"/>
        </w:trPr>
        <w:tc>
          <w:tcPr>
            <w:tcW w:w="7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230,425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157,552</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920"/>
          </w:cols>
          <w:pgMar w:left="1180" w:top="651"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920"/>
          </w:cols>
          <w:pgMar w:left="1180" w:top="651" w:right="1140" w:bottom="0" w:gutter="0" w:footer="0" w:header="0"/>
          <w:type w:val="continuous"/>
        </w:sectPr>
      </w:pPr>
    </w:p>
    <w:bookmarkStart w:id="79" w:name="page80"/>
    <w:bookmarkEnd w:id="79"/>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95"/>
        </w:trPr>
        <w:tc>
          <w:tcPr>
            <w:tcW w:w="7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138,886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106,409</w:t>
            </w:r>
          </w:p>
        </w:tc>
        <w:tc>
          <w:tcPr>
            <w:tcW w:w="0" w:type="dxa"/>
            <w:vAlign w:val="bottom"/>
          </w:tcPr>
          <w:p>
            <w:pPr>
              <w:spacing w:after="0"/>
              <w:rPr>
                <w:sz w:val="1"/>
                <w:szCs w:val="1"/>
                <w:color w:val="auto"/>
              </w:rPr>
            </w:pPr>
          </w:p>
        </w:tc>
      </w:tr>
      <w:tr>
        <w:trPr>
          <w:trHeight w:val="303"/>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29,466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15,705</w:t>
            </w:r>
          </w:p>
        </w:tc>
        <w:tc>
          <w:tcPr>
            <w:tcW w:w="0" w:type="dxa"/>
            <w:vAlign w:val="bottom"/>
          </w:tcPr>
          <w:p>
            <w:pPr>
              <w:spacing w:after="0"/>
              <w:rPr>
                <w:sz w:val="1"/>
                <w:szCs w:val="1"/>
                <w:color w:val="auto"/>
              </w:rPr>
            </w:pPr>
          </w:p>
        </w:tc>
      </w:tr>
      <w:tr>
        <w:trPr>
          <w:trHeight w:val="280"/>
        </w:trPr>
        <w:tc>
          <w:tcPr>
            <w:tcW w:w="74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109,420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90,704</w:t>
            </w:r>
          </w:p>
        </w:tc>
        <w:tc>
          <w:tcPr>
            <w:tcW w:w="0" w:type="dxa"/>
            <w:vAlign w:val="bottom"/>
          </w:tcPr>
          <w:p>
            <w:pPr>
              <w:spacing w:after="0"/>
              <w:rPr>
                <w:sz w:val="1"/>
                <w:szCs w:val="1"/>
                <w:color w:val="auto"/>
              </w:rPr>
            </w:pPr>
          </w:p>
        </w:tc>
      </w:tr>
      <w:tr>
        <w:trPr>
          <w:trHeight w:val="264"/>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74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Sales and marketing</w:t>
            </w:r>
          </w:p>
        </w:tc>
        <w:tc>
          <w:tcPr>
            <w:tcW w:w="1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110,254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107,726</w:t>
            </w:r>
          </w:p>
        </w:tc>
        <w:tc>
          <w:tcPr>
            <w:tcW w:w="0" w:type="dxa"/>
            <w:vAlign w:val="bottom"/>
          </w:tcPr>
          <w:p>
            <w:pPr>
              <w:spacing w:after="0"/>
              <w:rPr>
                <w:sz w:val="1"/>
                <w:szCs w:val="1"/>
                <w:color w:val="auto"/>
              </w:rPr>
            </w:pPr>
          </w:p>
        </w:tc>
      </w:tr>
      <w:tr>
        <w:trPr>
          <w:trHeight w:val="300"/>
        </w:trPr>
        <w:tc>
          <w:tcPr>
            <w:tcW w:w="74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15,028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13,627</w:t>
            </w:r>
          </w:p>
        </w:tc>
        <w:tc>
          <w:tcPr>
            <w:tcW w:w="0" w:type="dxa"/>
            <w:vAlign w:val="bottom"/>
          </w:tcPr>
          <w:p>
            <w:pPr>
              <w:spacing w:after="0"/>
              <w:rPr>
                <w:sz w:val="1"/>
                <w:szCs w:val="1"/>
                <w:color w:val="auto"/>
              </w:rPr>
            </w:pPr>
          </w:p>
        </w:tc>
      </w:tr>
      <w:tr>
        <w:trPr>
          <w:trHeight w:val="303"/>
        </w:trPr>
        <w:tc>
          <w:tcPr>
            <w:tcW w:w="74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31,069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28,960</w:t>
            </w:r>
          </w:p>
        </w:tc>
        <w:tc>
          <w:tcPr>
            <w:tcW w:w="0" w:type="dxa"/>
            <w:vAlign w:val="bottom"/>
          </w:tcPr>
          <w:p>
            <w:pPr>
              <w:spacing w:after="0"/>
              <w:rPr>
                <w:sz w:val="1"/>
                <w:szCs w:val="1"/>
                <w:color w:val="auto"/>
              </w:rPr>
            </w:pPr>
          </w:p>
        </w:tc>
      </w:tr>
      <w:tr>
        <w:trPr>
          <w:trHeight w:val="28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156,351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150,313</w:t>
            </w:r>
          </w:p>
        </w:tc>
        <w:tc>
          <w:tcPr>
            <w:tcW w:w="0" w:type="dxa"/>
            <w:vAlign w:val="bottom"/>
          </w:tcPr>
          <w:p>
            <w:pPr>
              <w:spacing w:after="0"/>
              <w:rPr>
                <w:sz w:val="1"/>
                <w:szCs w:val="1"/>
                <w:color w:val="auto"/>
              </w:rPr>
            </w:pPr>
          </w:p>
        </w:tc>
      </w:tr>
      <w:tr>
        <w:trPr>
          <w:trHeight w:val="27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(59,609)</w:t>
            </w:r>
          </w:p>
        </w:tc>
        <w:tc>
          <w:tcPr>
            <w:tcW w:w="0" w:type="dxa"/>
            <w:vAlign w:val="bottom"/>
          </w:tcPr>
          <w:p>
            <w:pPr>
              <w:spacing w:after="0"/>
              <w:rPr>
                <w:sz w:val="1"/>
                <w:szCs w:val="1"/>
                <w:color w:val="auto"/>
              </w:rPr>
            </w:pPr>
          </w:p>
        </w:tc>
      </w:tr>
      <w:tr>
        <w:trPr>
          <w:trHeight w:val="28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other income (expense), net:</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4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Interest income</w:t>
            </w:r>
          </w:p>
        </w:tc>
        <w:tc>
          <w:tcPr>
            <w:tcW w:w="1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w:t>
            </w:r>
          </w:p>
        </w:tc>
        <w:tc>
          <w:tcPr>
            <w:tcW w:w="0" w:type="dxa"/>
            <w:vAlign w:val="bottom"/>
          </w:tcPr>
          <w:p>
            <w:pPr>
              <w:spacing w:after="0"/>
              <w:rPr>
                <w:sz w:val="1"/>
                <w:szCs w:val="1"/>
                <w:color w:val="auto"/>
              </w:rPr>
            </w:pPr>
          </w:p>
        </w:tc>
      </w:tr>
      <w:tr>
        <w:trPr>
          <w:trHeight w:val="300"/>
        </w:trPr>
        <w:tc>
          <w:tcPr>
            <w:tcW w:w="74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(2,819)</w:t>
            </w:r>
          </w:p>
        </w:tc>
        <w:tc>
          <w:tcPr>
            <w:tcW w:w="0" w:type="dxa"/>
            <w:vAlign w:val="bottom"/>
          </w:tcPr>
          <w:p>
            <w:pPr>
              <w:spacing w:after="0"/>
              <w:rPr>
                <w:sz w:val="1"/>
                <w:szCs w:val="1"/>
                <w:color w:val="auto"/>
              </w:rPr>
            </w:pPr>
          </w:p>
        </w:tc>
      </w:tr>
      <w:tr>
        <w:trPr>
          <w:trHeight w:val="303"/>
        </w:trPr>
        <w:tc>
          <w:tcPr>
            <w:tcW w:w="74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141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27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(61,256)</w:t>
            </w:r>
          </w:p>
        </w:tc>
        <w:tc>
          <w:tcPr>
            <w:tcW w:w="0" w:type="dxa"/>
            <w:vAlign w:val="bottom"/>
          </w:tcPr>
          <w:p>
            <w:pPr>
              <w:spacing w:after="0"/>
              <w:rPr>
                <w:sz w:val="1"/>
                <w:szCs w:val="1"/>
                <w:color w:val="auto"/>
              </w:rPr>
            </w:pPr>
          </w:p>
        </w:tc>
      </w:tr>
      <w:tr>
        <w:trPr>
          <w:trHeight w:val="28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4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Unrealized gain (loss) of marketable securities</w:t>
            </w:r>
          </w:p>
        </w:tc>
        <w:tc>
          <w:tcPr>
            <w:tcW w:w="1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303"/>
        </w:trPr>
        <w:tc>
          <w:tcPr>
            <w:tcW w:w="74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Changes in foreign currency translation</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60"/>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(43,233)</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(61,376)</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748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number of common shares used to compute basic and diluted net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7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38,427,419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34,201,824</w:t>
            </w:r>
          </w:p>
        </w:tc>
        <w:tc>
          <w:tcPr>
            <w:tcW w:w="0" w:type="dxa"/>
            <w:vAlign w:val="bottom"/>
          </w:tcPr>
          <w:p>
            <w:pPr>
              <w:spacing w:after="0"/>
              <w:rPr>
                <w:sz w:val="1"/>
                <w:szCs w:val="1"/>
                <w:color w:val="auto"/>
              </w:rPr>
            </w:pPr>
          </w:p>
        </w:tc>
      </w:tr>
      <w:tr>
        <w:trPr>
          <w:trHeight w:val="236"/>
        </w:trPr>
        <w:tc>
          <w:tcPr>
            <w:tcW w:w="7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per share</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-4317365</wp:posOffset>
            </wp:positionV>
            <wp:extent cx="6419850" cy="4337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6419850" cy="4337050"/>
                    </a:xfrm>
                    <a:prstGeom prst="rect">
                      <a:avLst/>
                    </a:prstGeom>
                    <a:noFill/>
                  </pic:spPr>
                </pic:pic>
              </a:graphicData>
            </a:graphic>
          </wp:anchor>
        </w:drawing>
      </w:r>
    </w:p>
    <w:p>
      <w:pPr>
        <w:spacing w:after="0" w:line="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940"/>
          </w:cols>
          <w:pgMar w:left="1200" w:top="65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940"/>
          </w:cols>
          <w:pgMar w:left="1200" w:top="651" w:right="1100" w:bottom="0" w:gutter="0" w:footer="0" w:header="0"/>
          <w:type w:val="continuous"/>
        </w:sectPr>
      </w:pPr>
    </w:p>
    <w:bookmarkStart w:id="80" w:name="page81"/>
    <w:bookmarkEnd w:id="8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2340" w:type="dxa"/>
            <w:vAlign w:val="bottom"/>
            <w:gridSpan w:val="4"/>
            <w:vMerge w:val="restart"/>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61"/>
              <w:spacing w:after="0" w:line="180"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21"/>
              <w:spacing w:after="0" w:line="163" w:lineRule="exact"/>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4"/>
                <w:szCs w:val="14"/>
                <w:color w:val="auto"/>
              </w:rPr>
            </w:pPr>
          </w:p>
        </w:tc>
        <w:tc>
          <w:tcPr>
            <w:tcW w:w="132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4"/>
                <w:szCs w:val="14"/>
                <w:color w:val="auto"/>
              </w:rPr>
            </w:pPr>
          </w:p>
        </w:tc>
        <w:tc>
          <w:tcPr>
            <w:tcW w:w="1200" w:type="dxa"/>
            <w:vAlign w:val="bottom"/>
            <w:gridSpan w:val="2"/>
          </w:tcPr>
          <w:p>
            <w:pPr>
              <w:jc w:val="right"/>
              <w:ind w:right="1"/>
              <w:spacing w:after="0" w:line="163"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4"/>
                <w:szCs w:val="14"/>
                <w:color w:val="auto"/>
              </w:rPr>
            </w:pPr>
          </w:p>
        </w:tc>
        <w:tc>
          <w:tcPr>
            <w:tcW w:w="1200" w:type="dxa"/>
            <w:vAlign w:val="bottom"/>
            <w:gridSpan w:val="2"/>
          </w:tcPr>
          <w:p>
            <w:pPr>
              <w:ind w:left="60"/>
              <w:spacing w:after="0" w:line="163"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5"/>
        </w:trPr>
        <w:tc>
          <w:tcPr>
            <w:tcW w:w="63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Balances as of December 31, 2021</w:t>
            </w:r>
          </w:p>
        </w:tc>
        <w:tc>
          <w:tcPr>
            <w:tcW w:w="11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37"/>
        </w:trPr>
        <w:tc>
          <w:tcPr>
            <w:tcW w:w="6320" w:type="dxa"/>
            <w:vAlign w:val="bottom"/>
            <w:vMerge w:val="continue"/>
          </w:tcPr>
          <w:p>
            <w:pPr>
              <w:spacing w:after="0"/>
              <w:rPr>
                <w:sz w:val="20"/>
                <w:szCs w:val="20"/>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33,674,085</w:t>
            </w:r>
          </w:p>
        </w:tc>
        <w:tc>
          <w:tcPr>
            <w:tcW w:w="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429,914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352</w:t>
            </w:r>
          </w:p>
        </w:tc>
        <w:tc>
          <w:tcPr>
            <w:tcW w:w="80" w:type="dxa"/>
            <w:vAlign w:val="bottom"/>
          </w:tcPr>
          <w:p>
            <w:pPr>
              <w:spacing w:after="0"/>
              <w:rPr>
                <w:sz w:val="20"/>
                <w:szCs w:val="20"/>
                <w:color w:val="auto"/>
              </w:rPr>
            </w:pPr>
          </w:p>
        </w:tc>
        <w:tc>
          <w:tcPr>
            <w:tcW w:w="240" w:type="dxa"/>
            <w:vAlign w:val="bottom"/>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(295,849)</w:t>
            </w:r>
          </w:p>
        </w:tc>
        <w:tc>
          <w:tcPr>
            <w:tcW w:w="6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134,420</w:t>
            </w:r>
          </w:p>
        </w:tc>
        <w:tc>
          <w:tcPr>
            <w:tcW w:w="0" w:type="dxa"/>
            <w:vAlign w:val="bottom"/>
          </w:tcPr>
          <w:p>
            <w:pPr>
              <w:spacing w:after="0"/>
              <w:rPr>
                <w:sz w:val="1"/>
                <w:szCs w:val="1"/>
                <w:color w:val="auto"/>
              </w:rPr>
            </w:pPr>
          </w:p>
        </w:tc>
      </w:tr>
      <w:tr>
        <w:trPr>
          <w:trHeight w:val="200"/>
        </w:trPr>
        <w:tc>
          <w:tcPr>
            <w:tcW w:w="63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Issuance of common stock upon exercise of stock options, net of shares</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withheld</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80,571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379</w:t>
            </w: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related to employee stock purchase plan</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170,717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1,818</w:t>
            </w: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upon vesting of restricted stock units</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806,204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23,061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23,061</w:t>
            </w: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Net unrealized loss on marketable securities</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63"/>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(61,256)</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(61,256)</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Balances as of December 31, 2022</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34,731,577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455,172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(357,105)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98,302</w:t>
            </w:r>
          </w:p>
        </w:tc>
        <w:tc>
          <w:tcPr>
            <w:tcW w:w="0" w:type="dxa"/>
            <w:vAlign w:val="bottom"/>
          </w:tcPr>
          <w:p>
            <w:pPr>
              <w:spacing w:after="0"/>
              <w:rPr>
                <w:sz w:val="1"/>
                <w:szCs w:val="1"/>
                <w:color w:val="auto"/>
              </w:rPr>
            </w:pPr>
          </w:p>
        </w:tc>
      </w:tr>
      <w:tr>
        <w:trPr>
          <w:trHeight w:val="203"/>
        </w:trPr>
        <w:tc>
          <w:tcPr>
            <w:tcW w:w="63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Issuance of common stock from public offerings, net of underwriting</w:t>
            </w: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4,068,497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83,671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83,672</w:t>
            </w:r>
          </w:p>
        </w:tc>
        <w:tc>
          <w:tcPr>
            <w:tcW w:w="0" w:type="dxa"/>
            <w:vAlign w:val="bottom"/>
          </w:tcPr>
          <w:p>
            <w:pPr>
              <w:spacing w:after="0"/>
              <w:rPr>
                <w:sz w:val="1"/>
                <w:szCs w:val="1"/>
                <w:color w:val="auto"/>
              </w:rPr>
            </w:pPr>
          </w:p>
        </w:tc>
      </w:tr>
      <w:tr>
        <w:trPr>
          <w:trHeight w:val="26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discounts, commissions and offering costs</w:t>
            </w: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upon exercise of stock options, net of shares</w:t>
            </w: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698,627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4,386</w:t>
            </w:r>
          </w:p>
        </w:tc>
        <w:tc>
          <w:tcPr>
            <w:tcW w:w="0" w:type="dxa"/>
            <w:vAlign w:val="bottom"/>
          </w:tcPr>
          <w:p>
            <w:pPr>
              <w:spacing w:after="0"/>
              <w:rPr>
                <w:sz w:val="1"/>
                <w:szCs w:val="1"/>
                <w:color w:val="auto"/>
              </w:rPr>
            </w:pPr>
          </w:p>
        </w:tc>
      </w:tr>
      <w:tr>
        <w:trPr>
          <w:trHeight w:val="26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withheld</w:t>
            </w: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related to employee stock purchase plan</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178,918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2,191</w:t>
            </w:r>
          </w:p>
        </w:tc>
        <w:tc>
          <w:tcPr>
            <w:tcW w:w="0" w:type="dxa"/>
            <w:vAlign w:val="bottom"/>
          </w:tcPr>
          <w:p>
            <w:pPr>
              <w:spacing w:after="0"/>
              <w:rPr>
                <w:sz w:val="1"/>
                <w:szCs w:val="1"/>
                <w:color w:val="auto"/>
              </w:rPr>
            </w:pPr>
          </w:p>
        </w:tc>
      </w:tr>
      <w:tr>
        <w:trPr>
          <w:trHeight w:val="29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upon vesting of restricted stock units</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993,077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upon exercise of warrant, net of shares withheld</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22,603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24,057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24,057</w:t>
            </w: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Net unrealized gain on marketable securities</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166</w:t>
            </w:r>
          </w:p>
        </w:tc>
        <w:tc>
          <w:tcPr>
            <w:tcW w:w="0" w:type="dxa"/>
            <w:vAlign w:val="bottom"/>
          </w:tcPr>
          <w:p>
            <w:pPr>
              <w:spacing w:after="0"/>
              <w:rPr>
                <w:sz w:val="1"/>
                <w:szCs w:val="1"/>
                <w:color w:val="auto"/>
              </w:rPr>
            </w:pPr>
          </w:p>
        </w:tc>
      </w:tr>
      <w:tr>
        <w:trPr>
          <w:trHeight w:val="263"/>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(43,336)</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(43,336)</w:t>
            </w:r>
          </w:p>
        </w:tc>
        <w:tc>
          <w:tcPr>
            <w:tcW w:w="0" w:type="dxa"/>
            <w:vAlign w:val="bottom"/>
          </w:tcPr>
          <w:p>
            <w:pPr>
              <w:spacing w:after="0"/>
              <w:rPr>
                <w:sz w:val="1"/>
                <w:szCs w:val="1"/>
                <w:color w:val="auto"/>
              </w:rPr>
            </w:pPr>
          </w:p>
        </w:tc>
      </w:tr>
      <w:tr>
        <w:trPr>
          <w:trHeight w:val="215"/>
        </w:trPr>
        <w:tc>
          <w:tcPr>
            <w:tcW w:w="632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Balances as of December 31, 2023</w:t>
            </w:r>
          </w:p>
        </w:tc>
        <w:tc>
          <w:tcPr>
            <w:tcW w:w="1140" w:type="dxa"/>
            <w:vAlign w:val="bottom"/>
          </w:tcPr>
          <w:p>
            <w:pPr>
              <w:jc w:val="right"/>
              <w:ind w:right="1"/>
              <w:spacing w:after="0" w:line="215" w:lineRule="exact"/>
              <w:rPr>
                <w:sz w:val="20"/>
                <w:szCs w:val="20"/>
                <w:color w:val="auto"/>
              </w:rPr>
            </w:pPr>
            <w:r>
              <w:rPr>
                <w:rFonts w:ascii="Times New Roman" w:cs="Times New Roman" w:eastAsia="Times New Roman" w:hAnsi="Times New Roman"/>
                <w:sz w:val="20"/>
                <w:szCs w:val="20"/>
                <w:b w:val="1"/>
                <w:bCs w:val="1"/>
                <w:color w:val="auto"/>
              </w:rPr>
              <w:t>40,693,299</w:t>
            </w:r>
          </w:p>
        </w:tc>
        <w:tc>
          <w:tcPr>
            <w:tcW w:w="6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4</w:t>
            </w:r>
          </w:p>
        </w:tc>
        <w:tc>
          <w:tcPr>
            <w:tcW w:w="2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569,477</w:t>
            </w:r>
          </w:p>
        </w:tc>
        <w:tc>
          <w:tcPr>
            <w:tcW w:w="22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335</w:t>
            </w:r>
          </w:p>
        </w:tc>
        <w:tc>
          <w:tcPr>
            <w:tcW w:w="320" w:type="dxa"/>
            <w:vAlign w:val="bottom"/>
            <w:gridSpan w:val="2"/>
          </w:tcPr>
          <w:p>
            <w:pPr>
              <w:jc w:val="right"/>
              <w:ind w:right="5"/>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(400,441)</w:t>
            </w:r>
          </w:p>
        </w:tc>
        <w:tc>
          <w:tcPr>
            <w:tcW w:w="300" w:type="dxa"/>
            <w:vAlign w:val="bottom"/>
            <w:gridSpan w:val="2"/>
          </w:tcPr>
          <w:p>
            <w:pPr>
              <w:ind w:left="120"/>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ind w:right="1"/>
              <w:spacing w:after="0" w:line="215" w:lineRule="exact"/>
              <w:rPr>
                <w:sz w:val="20"/>
                <w:szCs w:val="20"/>
                <w:color w:val="auto"/>
              </w:rPr>
            </w:pPr>
            <w:r>
              <w:rPr>
                <w:rFonts w:ascii="Times New Roman" w:cs="Times New Roman" w:eastAsia="Times New Roman" w:hAnsi="Times New Roman"/>
                <w:sz w:val="20"/>
                <w:szCs w:val="20"/>
                <w:b w:val="1"/>
                <w:bCs w:val="1"/>
                <w:color w:val="auto"/>
              </w:rPr>
              <w:t>169,375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-3602990</wp:posOffset>
            </wp:positionV>
            <wp:extent cx="8877300" cy="3622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8877300" cy="3622675"/>
                    </a:xfrm>
                    <a:prstGeom prst="rect">
                      <a:avLst/>
                    </a:prstGeom>
                    <a:noFill/>
                  </pic:spPr>
                </pic:pic>
              </a:graphicData>
            </a:graphic>
          </wp:anchor>
        </w:drawing>
      </w:r>
    </w:p>
    <w:p>
      <w:pPr>
        <w:spacing w:after="0" w:line="1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840" w:h="12240" w:orient="landscape"/>
          <w:cols w:equalWidth="0" w:num="1">
            <w:col w:w="13880"/>
          </w:cols>
          <w:pgMar w:left="920" w:top="78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79</w:t>
      </w:r>
    </w:p>
    <w:p>
      <w:pPr>
        <w:sectPr>
          <w:pgSz w:w="15840" w:h="12240" w:orient="landscape"/>
          <w:cols w:equalWidth="0" w:num="1">
            <w:col w:w="13880"/>
          </w:cols>
          <w:pgMar w:left="920" w:top="786" w:right="1040" w:bottom="0" w:gutter="0" w:footer="0" w:header="0"/>
          <w:type w:val="continuous"/>
        </w:sectPr>
      </w:pPr>
    </w:p>
    <w:bookmarkStart w:id="81" w:name="page82"/>
    <w:bookmarkEnd w:id="81"/>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35"/>
        </w:trPr>
        <w:tc>
          <w:tcPr>
            <w:tcW w:w="7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1"/>
        </w:trPr>
        <w:tc>
          <w:tcPr>
            <w:tcW w:w="7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(61,256)</w:t>
            </w:r>
          </w:p>
        </w:tc>
        <w:tc>
          <w:tcPr>
            <w:tcW w:w="0" w:type="dxa"/>
            <w:vAlign w:val="bottom"/>
          </w:tcPr>
          <w:p>
            <w:pPr>
              <w:spacing w:after="0"/>
              <w:rPr>
                <w:sz w:val="1"/>
                <w:szCs w:val="1"/>
                <w:color w:val="auto"/>
              </w:rPr>
            </w:pPr>
          </w:p>
        </w:tc>
      </w:tr>
      <w:tr>
        <w:trPr>
          <w:trHeight w:val="250"/>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0"/>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23,061</w:t>
            </w:r>
          </w:p>
        </w:tc>
        <w:tc>
          <w:tcPr>
            <w:tcW w:w="0" w:type="dxa"/>
            <w:vAlign w:val="bottom"/>
          </w:tcPr>
          <w:p>
            <w:pPr>
              <w:spacing w:after="0"/>
              <w:rPr>
                <w:sz w:val="1"/>
                <w:szCs w:val="1"/>
                <w:color w:val="auto"/>
              </w:rPr>
            </w:pPr>
          </w:p>
        </w:tc>
      </w:tr>
      <w:tr>
        <w:trPr>
          <w:trHeight w:val="300"/>
        </w:trPr>
        <w:tc>
          <w:tcPr>
            <w:tcW w:w="72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0" w:type="dxa"/>
            <w:vAlign w:val="bottom"/>
          </w:tcPr>
          <w:p>
            <w:pPr>
              <w:spacing w:after="0"/>
              <w:rPr>
                <w:sz w:val="1"/>
                <w:szCs w:val="1"/>
                <w:color w:val="auto"/>
              </w:rPr>
            </w:pPr>
          </w:p>
        </w:tc>
      </w:tr>
      <w:tr>
        <w:trPr>
          <w:trHeight w:val="300"/>
        </w:trPr>
        <w:tc>
          <w:tcPr>
            <w:tcW w:w="72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receivable credit losses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300"/>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Inventory reserve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300"/>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Accretion (amortization) of discount and premium on marketable securities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300"/>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85"/>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50"/>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(6,479)</w:t>
            </w:r>
          </w:p>
        </w:tc>
        <w:tc>
          <w:tcPr>
            <w:tcW w:w="0" w:type="dxa"/>
            <w:vAlign w:val="bottom"/>
          </w:tcPr>
          <w:p>
            <w:pPr>
              <w:spacing w:after="0"/>
              <w:rPr>
                <w:sz w:val="1"/>
                <w:szCs w:val="1"/>
                <w:color w:val="auto"/>
              </w:rPr>
            </w:pPr>
          </w:p>
        </w:tc>
      </w:tr>
      <w:tr>
        <w:trPr>
          <w:trHeight w:val="285"/>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0" w:type="dxa"/>
            <w:vAlign w:val="bottom"/>
          </w:tcPr>
          <w:p>
            <w:pPr>
              <w:spacing w:after="0"/>
              <w:rPr>
                <w:sz w:val="1"/>
                <w:szCs w:val="1"/>
                <w:color w:val="auto"/>
              </w:rPr>
            </w:pPr>
          </w:p>
        </w:tc>
      </w:tr>
      <w:tr>
        <w:trPr>
          <w:trHeight w:val="285"/>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85"/>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0" w:type="dxa"/>
            <w:vAlign w:val="bottom"/>
          </w:tcPr>
          <w:p>
            <w:pPr>
              <w:spacing w:after="0"/>
              <w:rPr>
                <w:sz w:val="1"/>
                <w:szCs w:val="1"/>
                <w:color w:val="auto"/>
              </w:rPr>
            </w:pPr>
          </w:p>
        </w:tc>
      </w:tr>
      <w:tr>
        <w:trPr>
          <w:trHeight w:val="291"/>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0" w:type="dxa"/>
            <w:vAlign w:val="bottom"/>
          </w:tcPr>
          <w:p>
            <w:pPr>
              <w:spacing w:after="0"/>
              <w:rPr>
                <w:sz w:val="1"/>
                <w:szCs w:val="1"/>
                <w:color w:val="auto"/>
              </w:rPr>
            </w:pPr>
          </w:p>
        </w:tc>
      </w:tr>
      <w:tr>
        <w:trPr>
          <w:trHeight w:val="265"/>
        </w:trPr>
        <w:tc>
          <w:tcPr>
            <w:tcW w:w="72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(41,655)</w:t>
            </w:r>
          </w:p>
        </w:tc>
        <w:tc>
          <w:tcPr>
            <w:tcW w:w="0" w:type="dxa"/>
            <w:vAlign w:val="bottom"/>
          </w:tcPr>
          <w:p>
            <w:pPr>
              <w:spacing w:after="0"/>
              <w:rPr>
                <w:sz w:val="1"/>
                <w:szCs w:val="1"/>
                <w:color w:val="auto"/>
              </w:rPr>
            </w:pPr>
          </w:p>
        </w:tc>
      </w:tr>
      <w:tr>
        <w:trPr>
          <w:trHeight w:val="221"/>
        </w:trPr>
        <w:tc>
          <w:tcPr>
            <w:tcW w:w="7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126,200</w:t>
            </w:r>
          </w:p>
        </w:tc>
        <w:tc>
          <w:tcPr>
            <w:tcW w:w="0" w:type="dxa"/>
            <w:vAlign w:val="bottom"/>
          </w:tcPr>
          <w:p>
            <w:pPr>
              <w:spacing w:after="0"/>
              <w:rPr>
                <w:sz w:val="1"/>
                <w:szCs w:val="1"/>
                <w:color w:val="auto"/>
              </w:rPr>
            </w:pPr>
          </w:p>
        </w:tc>
      </w:tr>
      <w:tr>
        <w:trPr>
          <w:trHeight w:val="285"/>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(119,508)</w:t>
            </w:r>
          </w:p>
        </w:tc>
        <w:tc>
          <w:tcPr>
            <w:tcW w:w="0" w:type="dxa"/>
            <w:vAlign w:val="bottom"/>
          </w:tcPr>
          <w:p>
            <w:pPr>
              <w:spacing w:after="0"/>
              <w:rPr>
                <w:sz w:val="1"/>
                <w:szCs w:val="1"/>
                <w:color w:val="auto"/>
              </w:rPr>
            </w:pPr>
          </w:p>
        </w:tc>
      </w:tr>
      <w:tr>
        <w:trPr>
          <w:trHeight w:val="291"/>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(9,507)</w:t>
            </w:r>
          </w:p>
        </w:tc>
        <w:tc>
          <w:tcPr>
            <w:tcW w:w="0" w:type="dxa"/>
            <w:vAlign w:val="bottom"/>
          </w:tcPr>
          <w:p>
            <w:pPr>
              <w:spacing w:after="0"/>
              <w:rPr>
                <w:sz w:val="1"/>
                <w:szCs w:val="1"/>
                <w:color w:val="auto"/>
              </w:rPr>
            </w:pPr>
          </w:p>
        </w:tc>
      </w:tr>
      <w:tr>
        <w:trPr>
          <w:trHeight w:val="265"/>
        </w:trPr>
        <w:tc>
          <w:tcPr>
            <w:tcW w:w="72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(59,798)</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0" w:type="dxa"/>
            <w:vAlign w:val="bottom"/>
          </w:tcPr>
          <w:p>
            <w:pPr>
              <w:spacing w:after="0"/>
              <w:rPr>
                <w:sz w:val="1"/>
                <w:szCs w:val="1"/>
                <w:color w:val="auto"/>
              </w:rPr>
            </w:pPr>
          </w:p>
        </w:tc>
      </w:tr>
      <w:tr>
        <w:trPr>
          <w:trHeight w:val="221"/>
        </w:trPr>
        <w:tc>
          <w:tcPr>
            <w:tcW w:w="7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follow-on public offering, net of underwriting discounts, commissions and offering costs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5"/>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debt financing</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5"/>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Repayments of debt financing</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5"/>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5"/>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the exercise of common stock options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91"/>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265"/>
        </w:trPr>
        <w:tc>
          <w:tcPr>
            <w:tcW w:w="72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90,933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0" w:type="dxa"/>
            <w:vAlign w:val="bottom"/>
          </w:tcPr>
          <w:p>
            <w:pPr>
              <w:spacing w:after="0"/>
              <w:rPr>
                <w:sz w:val="1"/>
                <w:szCs w:val="1"/>
                <w:color w:val="auto"/>
              </w:rPr>
            </w:pPr>
          </w:p>
        </w:tc>
      </w:tr>
      <w:tr>
        <w:trPr>
          <w:trHeight w:val="265"/>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59"/>
        </w:trPr>
        <w:tc>
          <w:tcPr>
            <w:tcW w:w="72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(42,702)</w:t>
            </w:r>
          </w:p>
        </w:tc>
        <w:tc>
          <w:tcPr>
            <w:tcW w:w="0" w:type="dxa"/>
            <w:vAlign w:val="bottom"/>
          </w:tcPr>
          <w:p>
            <w:pPr>
              <w:spacing w:after="0"/>
              <w:rPr>
                <w:sz w:val="1"/>
                <w:szCs w:val="1"/>
                <w:color w:val="auto"/>
              </w:rPr>
            </w:pPr>
          </w:p>
        </w:tc>
      </w:tr>
      <w:tr>
        <w:trPr>
          <w:trHeight w:val="248"/>
        </w:trPr>
        <w:tc>
          <w:tcPr>
            <w:tcW w:w="7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9"/>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year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63,419</w:t>
            </w:r>
          </w:p>
        </w:tc>
        <w:tc>
          <w:tcPr>
            <w:tcW w:w="0" w:type="dxa"/>
            <w:vAlign w:val="bottom"/>
          </w:tcPr>
          <w:p>
            <w:pPr>
              <w:spacing w:after="0"/>
              <w:rPr>
                <w:sz w:val="1"/>
                <w:szCs w:val="1"/>
                <w:color w:val="auto"/>
              </w:rPr>
            </w:pPr>
          </w:p>
        </w:tc>
      </w:tr>
      <w:tr>
        <w:trPr>
          <w:trHeight w:val="245"/>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End of year</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20,717</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48"/>
        </w:trPr>
        <w:tc>
          <w:tcPr>
            <w:tcW w:w="7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information</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-7145655</wp:posOffset>
            </wp:positionV>
            <wp:extent cx="6372225" cy="7169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6372225" cy="7169150"/>
                    </a:xfrm>
                    <a:prstGeom prst="rect">
                      <a:avLst/>
                    </a:prstGeom>
                    <a:noFill/>
                  </pic:spPr>
                </pic:pic>
              </a:graphicData>
            </a:graphic>
          </wp:anchor>
        </w:drawing>
      </w:r>
    </w:p>
    <w:p>
      <w:pPr>
        <w:spacing w:after="0" w:line="2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680"/>
          </w:cols>
          <w:pgMar w:left="1420" w:top="651"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680"/>
          </w:cols>
          <w:pgMar w:left="1420" w:top="651" w:right="1140" w:bottom="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The Company and Nature of Business</w:t>
      </w:r>
    </w:p>
    <w:p>
      <w:pPr>
        <w:spacing w:after="0" w:line="137"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20"/>
          <w:szCs w:val="20"/>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 introduced its first generation iFuse implant in 2009 in the United States, in 2010 in certain countries in the European Union, and in 2015 in certain countries in the rest of the world. The second generation iFuse implant, iFuse 3-D, was introduced in 2017 followed by iFuse-TORQ in 2021 and iFuse Bedrock Granite in 2022.</w:t>
      </w:r>
    </w:p>
    <w:p>
      <w:pPr>
        <w:spacing w:after="0" w:line="88" w:lineRule="exact"/>
        <w:rPr>
          <w:sz w:val="20"/>
          <w:szCs w:val="20"/>
          <w:color w:val="auto"/>
        </w:rPr>
      </w:pPr>
    </w:p>
    <w:p>
      <w:pPr>
        <w:jc w:val="both"/>
        <w:ind w:firstLine="450"/>
        <w:spacing w:after="0" w:line="241" w:lineRule="auto"/>
        <w:rPr>
          <w:sz w:val="20"/>
          <w:szCs w:val="20"/>
          <w:color w:val="auto"/>
        </w:rPr>
      </w:pPr>
      <w:r>
        <w:rPr>
          <w:rFonts w:ascii="Times New Roman" w:cs="Times New Roman" w:eastAsia="Times New Roman" w:hAnsi="Times New Roman"/>
          <w:sz w:val="20"/>
          <w:szCs w:val="20"/>
          <w:color w:val="auto"/>
        </w:rPr>
        <w:t>In May 2023, the Company received a total of $83.7 million of net proceeds after deducting the underwriting discounts and commissions from the offering of 3,775,000 shares of the Company’s common stock and the exercise of underwriter's option to purchase from the Company an additional 566,250 shares of the Company's common stock, at a public offering price of $22.00 per share. Of these shares, 272,753 shares were offered by a selling stockholder, and the Company did not receive any proceeds from the sale by the selling stockholder.</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Risks and Uncertainties</w:t>
      </w:r>
    </w:p>
    <w:p>
      <w:pPr>
        <w:spacing w:after="0" w:line="259" w:lineRule="exact"/>
        <w:rPr>
          <w:sz w:val="20"/>
          <w:szCs w:val="20"/>
          <w:color w:val="auto"/>
        </w:rPr>
      </w:pPr>
    </w:p>
    <w:p>
      <w:pPr>
        <w:jc w:val="both"/>
        <w:ind w:firstLine="495"/>
        <w:spacing w:after="0" w:line="239" w:lineRule="auto"/>
        <w:rPr>
          <w:sz w:val="20"/>
          <w:szCs w:val="20"/>
          <w:color w:val="auto"/>
        </w:rPr>
      </w:pPr>
      <w:r>
        <w:rPr>
          <w:rFonts w:ascii="Times New Roman" w:cs="Times New Roman" w:eastAsia="Times New Roman" w:hAnsi="Times New Roman"/>
          <w:sz w:val="20"/>
          <w:szCs w:val="20"/>
          <w:color w:val="auto"/>
        </w:rPr>
        <w:t>The Company is subject to uncertainties related to liquidity, the ability to meet covenants and access to funding for its capital needs as the financial service industry has experienced disruptions characterized by the bankruptcy, failure, collapse or sale of various financial institutions. The Company’s cash and cash equivalents are primarily invested in deposits and money market accounts with two major financial institutions in the U.S. Deposits in these banks may exceed the federally insured limits or any other insurance provided on such deposits, if any. The Company had accounts with Silicon Valley Bank (“SVB”). On March 10, 2023, California regulators shut down SVB and the FDIC was appointed as SVB’s receiver. On March 26, 2023, the FDIC announced that it had entered into a purchase and assumption agreement with First-Citizens Bank &amp; Trust Company (“First-Citizens”) under which all</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deposits of the former Silicon Valley Bank were assumed by First-Citizens. First-Citizens acquired the rights as lender under the Company’s Loan and Security Agreement as amended. To date, the Company has not experienced any losses on its deposits of cash, cash equivalents and marketable securities and continues to have access to these funds. As such the Company's future results of operations and liquidity could be adversely impacted by a variety of factors including those discussed in the section entitled "Risk Factors" in this report. As of the date of issuance of these consolidated financial statements, the extent to which the current macroeconomic environment may materially impact the Company's financial condition, liquidity, or results of operations remains uncertain.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Principles of Consolidation</w:t>
      </w:r>
    </w:p>
    <w:p>
      <w:pPr>
        <w:spacing w:after="0" w:line="199"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generally accepted accounting principles in the United States of America (“U.S. GAAP”). The consolidated financial statements include the Company's accounts, as well as those of the Company's wholly-owned international subsidiaries. All inter-company accounts and transactions have been eliminated.</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9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spacing w:after="0" w:line="1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 of prior year presentation</w:t>
      </w:r>
    </w:p>
    <w:p>
      <w:pPr>
        <w:spacing w:after="0" w:line="199"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Certain prior year amounts have been reclassified for consistency with the current year presentation. These reclassifications are limited to the consolidated statements of cash flows and have no effect on the reported results of operations.</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259" w:lineRule="exact"/>
        <w:rPr>
          <w:sz w:val="20"/>
          <w:szCs w:val="20"/>
          <w:color w:val="auto"/>
        </w:rPr>
      </w:pPr>
    </w:p>
    <w:p>
      <w:pPr>
        <w:jc w:val="both"/>
        <w:ind w:firstLine="505"/>
        <w:spacing w:after="0" w:line="266" w:lineRule="auto"/>
        <w:rPr>
          <w:sz w:val="20"/>
          <w:szCs w:val="20"/>
          <w:color w:val="auto"/>
        </w:rPr>
      </w:pPr>
      <w:r>
        <w:rPr>
          <w:rFonts w:ascii="Times New Roman" w:cs="Times New Roman" w:eastAsia="Times New Roman" w:hAnsi="Times New Roman"/>
          <w:sz w:val="20"/>
          <w:szCs w:val="20"/>
          <w:color w:val="auto"/>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w:t>
      </w:r>
    </w:p>
    <w:p>
      <w:pPr>
        <w:sectPr>
          <w:pgSz w:w="12240" w:h="15840" w:orient="portrait"/>
          <w:cols w:equalWidth="0" w:num="1">
            <w:col w:w="10800"/>
          </w:cols>
          <w:pgMar w:left="720" w:top="201" w:right="72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800"/>
          </w:cols>
          <w:pgMar w:left="720" w:top="201" w:right="720" w:bottom="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managers who are held accountable for operations, operating results or plans for levels or components below the consolidated unit level. Accordingly, the Company has determined that it has a single reportable and operating segment structure.</w:t>
      </w:r>
    </w:p>
    <w:p>
      <w:pPr>
        <w:spacing w:after="0" w:line="121"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The Company derives substantially all of its revenue from sales to customers in the United States Revenue by geography is based on billing address of the customer. International revenue accounted for less than 10% of the total revenue during the periods presented. Long-lived assets held outside the United States are immaterial. Following table summarizes the Company's revenue by geography:</w:t>
      </w:r>
    </w:p>
    <w:p>
      <w:pPr>
        <w:spacing w:after="0" w:line="337"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7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12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74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7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gridSpan w:val="4"/>
          </w:tcPr>
          <w:p>
            <w:pPr>
              <w:jc w:val="right"/>
              <w:ind w:right="543"/>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302"/>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130,621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98,751</w:t>
            </w:r>
          </w:p>
        </w:tc>
      </w:tr>
      <w:tr>
        <w:trPr>
          <w:trHeight w:val="303"/>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8,265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7,658</w:t>
            </w:r>
          </w:p>
        </w:tc>
      </w:tr>
      <w:tr>
        <w:trPr>
          <w:trHeight w:val="260"/>
        </w:trPr>
        <w:tc>
          <w:tcPr>
            <w:tcW w:w="74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138,886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106,409</w:t>
            </w:r>
          </w:p>
        </w:tc>
      </w:tr>
      <w:tr>
        <w:trPr>
          <w:trHeight w:val="20"/>
        </w:trPr>
        <w:tc>
          <w:tcPr>
            <w:tcW w:w="7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-602615</wp:posOffset>
            </wp:positionV>
            <wp:extent cx="6372225" cy="622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6372225" cy="622300"/>
                    </a:xfrm>
                    <a:prstGeom prst="rect">
                      <a:avLst/>
                    </a:prstGeom>
                    <a:noFill/>
                  </pic:spPr>
                </pic:pic>
              </a:graphicData>
            </a:graphic>
          </wp:anchor>
        </w:drawing>
      </w:r>
    </w:p>
    <w:p>
      <w:pPr>
        <w:spacing w:after="0" w:line="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199"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from foreign currency translation are recorded as a component of accumulated other comprehensive income (loss). Gains and losses from foreign currency transactions are recognized as a component of other income (expense), net.</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99"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a concentration of credit risk consist of cash and marketable securities. The Company’s cash and marketable securities are deposited with financial institutions in the United States and in Europe. The majority of the Company’s cash and marketable securities are deposited with a single financial institution in the United States Deposits in this institution exceed the amount of insurance provided on such deposits. The Company has not experienced any net losses on its deposits of cash and marketable securities.</w:t>
      </w:r>
    </w:p>
    <w:p>
      <w:pPr>
        <w:spacing w:after="0" w:line="144" w:lineRule="exact"/>
        <w:rPr>
          <w:sz w:val="20"/>
          <w:szCs w:val="20"/>
          <w:color w:val="auto"/>
        </w:rPr>
      </w:pPr>
    </w:p>
    <w:p>
      <w:pPr>
        <w:jc w:val="both"/>
        <w:ind w:firstLine="495"/>
        <w:spacing w:after="0" w:line="281" w:lineRule="auto"/>
        <w:rPr>
          <w:sz w:val="20"/>
          <w:szCs w:val="20"/>
          <w:color w:val="auto"/>
        </w:rPr>
      </w:pPr>
      <w:r>
        <w:rPr>
          <w:rFonts w:ascii="Times New Roman" w:cs="Times New Roman" w:eastAsia="Times New Roman" w:hAnsi="Times New Roman"/>
          <w:sz w:val="20"/>
          <w:szCs w:val="20"/>
          <w:color w:val="auto"/>
        </w:rPr>
        <w:t>The Company’s revenue and accounts receivable are spread across a large number of customers, primarily in the United States, and no customer accounts for more than 10% of total revenue or gross accounts receivable in any period presented.</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99"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Company's marketable securities are classified as Level 1 or Level 2 of the fair value hierarchy as defined below. The carrying value of the Company’s long-term debt also approximates fair value based on management’s estimation that a current interest rate would not differ materially from the stated rate.</w:t>
      </w:r>
    </w:p>
    <w:p>
      <w:pPr>
        <w:spacing w:after="0" w:line="144"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20"/>
          <w:szCs w:val="20"/>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148" w:lineRule="exact"/>
        <w:rPr>
          <w:sz w:val="20"/>
          <w:szCs w:val="20"/>
          <w:color w:val="auto"/>
        </w:rPr>
      </w:pPr>
    </w:p>
    <w:p>
      <w:pPr>
        <w:jc w:val="both"/>
        <w:ind w:firstLine="495"/>
        <w:spacing w:after="0" w:line="281" w:lineRule="auto"/>
        <w:rPr>
          <w:sz w:val="20"/>
          <w:szCs w:val="20"/>
          <w:color w:val="auto"/>
        </w:rPr>
      </w:pPr>
      <w:r>
        <w:rPr>
          <w:rFonts w:ascii="Times New Roman" w:cs="Times New Roman" w:eastAsia="Times New Roman" w:hAnsi="Times New Roman"/>
          <w:sz w:val="20"/>
          <w:szCs w:val="20"/>
          <w:color w:val="auto"/>
        </w:rPr>
        <w:t>Level 1: Quoted prices (unadjusted) in active market that are accessible at measurement date for assets or liabilities. The fair value hierarchy gives the highest priority to Level 1 inputs.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Level 2: Observable prices that are based on inputs not quoted on active markets, but corroborated by market data.</w:t>
      </w:r>
    </w:p>
    <w:p>
      <w:pPr>
        <w:spacing w:after="0" w:line="190" w:lineRule="exact"/>
        <w:rPr>
          <w:sz w:val="20"/>
          <w:szCs w:val="20"/>
          <w:color w:val="auto"/>
        </w:rPr>
      </w:pPr>
    </w:p>
    <w:p>
      <w:pPr>
        <w:jc w:val="both"/>
        <w:ind w:firstLine="495"/>
        <w:spacing w:after="0" w:line="281" w:lineRule="auto"/>
        <w:rPr>
          <w:sz w:val="20"/>
          <w:szCs w:val="20"/>
          <w:color w:val="auto"/>
        </w:rPr>
      </w:pPr>
      <w:r>
        <w:rPr>
          <w:rFonts w:ascii="Times New Roman" w:cs="Times New Roman" w:eastAsia="Times New Roman" w:hAnsi="Times New Roman"/>
          <w:sz w:val="20"/>
          <w:szCs w:val="20"/>
          <w:color w:val="auto"/>
        </w:rPr>
        <w:t>Level 3: Unobservable inputs are used when little or no market data is available. The fair value hierarchy gives the lowest priority to Level 3 inputs.</w:t>
      </w:r>
    </w:p>
    <w:p>
      <w:pPr>
        <w:spacing w:after="0" w:line="121"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ectPr>
          <w:pgSz w:w="12240" w:h="15840" w:orient="portrait"/>
          <w:cols w:equalWidth="0" w:num="1">
            <w:col w:w="10800"/>
          </w:cols>
          <w:pgMar w:left="720" w:top="201" w:right="720" w:bottom="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800"/>
          </w:cols>
          <w:pgMar w:left="720" w:top="201" w:right="720" w:bottom="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99" w:lineRule="exact"/>
        <w:rPr>
          <w:sz w:val="20"/>
          <w:szCs w:val="20"/>
          <w:color w:val="auto"/>
        </w:rPr>
      </w:pPr>
    </w:p>
    <w:p>
      <w:pPr>
        <w:jc w:val="both"/>
        <w:ind w:firstLine="495"/>
        <w:spacing w:after="0" w:line="281" w:lineRule="auto"/>
        <w:rPr>
          <w:sz w:val="20"/>
          <w:szCs w:val="20"/>
          <w:color w:val="auto"/>
        </w:rPr>
      </w:pPr>
      <w:r>
        <w:rPr>
          <w:rFonts w:ascii="Times New Roman" w:cs="Times New Roman" w:eastAsia="Times New Roman" w:hAnsi="Times New Roman"/>
          <w:sz w:val="20"/>
          <w:szCs w:val="20"/>
          <w:color w:val="auto"/>
        </w:rPr>
        <w:t>The Company considers all highly liquid investments with remaining maturities at the date of purchase of three months or less to be cash equivalents.</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99"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20"/>
          <w:szCs w:val="20"/>
          <w:color w:val="auto"/>
        </w:rPr>
        <w:t>The Company's marketable securities primarily consist of investments in money market funds, U.S. treasury securities, U.S. agency bonds, corporate bonds and commercial paper. All of the Company's marketable securities are available-for-sale debt securities and are classified based on their maturities. Marketable securities with remaining maturities at the date of purchase of three months or less are classified as cash equivalents. Short term investments are securities that original or remaining maturity is greater than three months and not more than twelve months. Long-term investments are securities that original or remaining maturity is more than twelve months. All marketable securities are recorded at their estimated fair value. When the fair value of a security is below its amortized cost, the amortized cost will be reduced to its fair value if it is more likely than not that the Company will be required to sell the potentially impaired security before recovery of its amortized cost basis, or the Company has the intention to sell the security. If neither of these conditions are met, the Company determines whether the impairment is due to credit losses by comparing the present value of the expected cash flows of the security with its amortized cost basis. The amount of impairment recognized is limited to the excess of the amortized cost over the fair value of the security. An allowance for credit losses for the excess of amortized cost over the expected cash flows is recorded in other income, net in the consolidated statements of operations. Impairment losses that are not credit-related are included in accumulated other comprehensive income (loss) in stockholders’ equity.</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and Allowance for Credit Losses</w:t>
      </w:r>
    </w:p>
    <w:p>
      <w:pPr>
        <w:spacing w:after="0" w:line="196"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20"/>
          <w:szCs w:val="20"/>
          <w:color w:val="auto"/>
        </w:rPr>
        <w:t>Trade accounts receivable are recorded at the invoiced amount, net of allowances for credit losses for any potential uncollectible amounts. The allowance for credit losses is based on our assessment of the collectability of accounts. Management regularly reviews the adequacy of the allowance for credit losses on a collective basis by considering the age of each outstanding invoice, each customer’s expected ability to pay and collection history, current market conditions, and reasonable and supportable forecasts of future economic conditions to determine whether the allowance is appropriate. Accounts receivable are written-off and charged against an allowance for credit losses when the Company has exhausted collection efforts without success.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movement in the allowance for credit losses was as follows:</w:t>
      </w:r>
    </w:p>
    <w:p>
      <w:pPr>
        <w:spacing w:after="0" w:line="283" w:lineRule="exact"/>
        <w:rPr>
          <w:sz w:val="20"/>
          <w:szCs w:val="20"/>
          <w:color w:val="auto"/>
        </w:rPr>
      </w:pPr>
    </w:p>
    <w:tbl>
      <w:tblPr>
        <w:tblLayout w:type="fixed"/>
        <w:tblInd w:w="540" w:type="dxa"/>
        <w:tblCellMar>
          <w:top w:w="0" w:type="dxa"/>
          <w:left w:w="0" w:type="dxa"/>
          <w:bottom w:w="0" w:type="dxa"/>
          <w:right w:w="0" w:type="dxa"/>
        </w:tblCellMar>
      </w:tblPr>
      <w:tr>
        <w:trPr>
          <w:trHeight w:val="243"/>
        </w:trPr>
        <w:tc>
          <w:tcPr>
            <w:tcW w:w="5940" w:type="dxa"/>
            <w:vAlign w:val="bottom"/>
          </w:tcPr>
          <w:p>
            <w:pPr>
              <w:spacing w:after="0"/>
              <w:rPr>
                <w:sz w:val="21"/>
                <w:szCs w:val="21"/>
                <w:color w:val="auto"/>
              </w:rPr>
            </w:pPr>
          </w:p>
        </w:tc>
        <w:tc>
          <w:tcPr>
            <w:tcW w:w="3260" w:type="dxa"/>
            <w:vAlign w:val="bottom"/>
            <w:tcBorders>
              <w:bottom w:val="single" w:sz="8" w:color="auto"/>
            </w:tcBorders>
            <w:gridSpan w:val="4"/>
          </w:tcPr>
          <w:p>
            <w:pPr>
              <w:jc w:val="right"/>
              <w:ind w:right="26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1"/>
                <w:szCs w:val="21"/>
                <w:color w:val="auto"/>
              </w:rPr>
            </w:pPr>
          </w:p>
        </w:tc>
      </w:tr>
      <w:tr>
        <w:trPr>
          <w:trHeight w:val="265"/>
        </w:trPr>
        <w:tc>
          <w:tcPr>
            <w:tcW w:w="5940" w:type="dxa"/>
            <w:vAlign w:val="bottom"/>
          </w:tcPr>
          <w:p>
            <w:pPr>
              <w:spacing w:after="0"/>
              <w:rPr>
                <w:sz w:val="23"/>
                <w:szCs w:val="23"/>
                <w:color w:val="auto"/>
              </w:rPr>
            </w:pPr>
          </w:p>
        </w:tc>
        <w:tc>
          <w:tcPr>
            <w:tcW w:w="12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3"/>
                <w:szCs w:val="23"/>
                <w:color w:val="auto"/>
              </w:rPr>
            </w:pPr>
          </w:p>
        </w:tc>
      </w:tr>
      <w:tr>
        <w:trPr>
          <w:trHeight w:val="280"/>
        </w:trPr>
        <w:tc>
          <w:tcPr>
            <w:tcW w:w="5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0" w:type="dxa"/>
            <w:vAlign w:val="bottom"/>
            <w:gridSpan w:val="3"/>
          </w:tcPr>
          <w:p>
            <w:pPr>
              <w:jc w:val="right"/>
              <w:ind w:right="665"/>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24"/>
                <w:szCs w:val="24"/>
                <w:color w:val="auto"/>
              </w:rPr>
            </w:pPr>
          </w:p>
        </w:tc>
      </w:tr>
      <w:tr>
        <w:trPr>
          <w:trHeight w:val="277"/>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1260" w:type="dxa"/>
            <w:vAlign w:val="bottom"/>
            <w:tcBorders>
              <w:top w:val="single" w:sz="8" w:color="auto"/>
            </w:tcBorders>
          </w:tcPr>
          <w:p>
            <w:pPr>
              <w:jc w:val="right"/>
              <w:ind w:right="1005"/>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80" w:type="dxa"/>
            <w:vAlign w:val="bottom"/>
          </w:tcPr>
          <w:p>
            <w:pPr>
              <w:spacing w:after="0"/>
              <w:rPr>
                <w:sz w:val="24"/>
                <w:szCs w:val="24"/>
                <w:color w:val="auto"/>
              </w:rPr>
            </w:pPr>
          </w:p>
        </w:tc>
        <w:tc>
          <w:tcPr>
            <w:tcW w:w="1260" w:type="dxa"/>
            <w:vAlign w:val="bottom"/>
            <w:tcBorders>
              <w:top w:val="single" w:sz="8" w:color="auto"/>
            </w:tcBorders>
          </w:tcPr>
          <w:p>
            <w:pPr>
              <w:jc w:val="right"/>
              <w:ind w:right="1025"/>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w:t>
            </w:r>
          </w:p>
        </w:tc>
      </w:tr>
      <w:tr>
        <w:trPr>
          <w:trHeight w:val="300"/>
        </w:trPr>
        <w:tc>
          <w:tcPr>
            <w:tcW w:w="5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Provision</w:t>
            </w:r>
          </w:p>
        </w:tc>
        <w:tc>
          <w:tcPr>
            <w:tcW w:w="1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303"/>
        </w:trPr>
        <w:tc>
          <w:tcPr>
            <w:tcW w:w="5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Write-offs</w:t>
            </w: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6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w:t>
            </w:r>
          </w:p>
        </w:tc>
        <w:tc>
          <w:tcPr>
            <w:tcW w:w="1260" w:type="dxa"/>
            <w:vAlign w:val="bottom"/>
          </w:tcPr>
          <w:p>
            <w:pPr>
              <w:jc w:val="right"/>
              <w:ind w:right="1005"/>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w:t>
            </w:r>
          </w:p>
        </w:tc>
        <w:tc>
          <w:tcPr>
            <w:tcW w:w="1340" w:type="dxa"/>
            <w:vAlign w:val="bottom"/>
            <w:gridSpan w:val="2"/>
          </w:tcPr>
          <w:p>
            <w:pPr>
              <w:jc w:val="right"/>
              <w:ind w:right="1025"/>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r>
      <w:tr>
        <w:trPr>
          <w:trHeight w:val="20"/>
        </w:trPr>
        <w:tc>
          <w:tcPr>
            <w:tcW w:w="59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-793115</wp:posOffset>
            </wp:positionV>
            <wp:extent cx="6257925" cy="812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6257925" cy="812800"/>
                    </a:xfrm>
                    <a:prstGeom prst="rect">
                      <a:avLst/>
                    </a:prstGeom>
                    <a:noFill/>
                  </pic:spPr>
                </pic:pic>
              </a:graphicData>
            </a:graphic>
          </wp:anchor>
        </w:drawing>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199"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99" w:lineRule="exact"/>
        <w:rPr>
          <w:sz w:val="20"/>
          <w:szCs w:val="20"/>
          <w:color w:val="auto"/>
        </w:rPr>
      </w:pPr>
    </w:p>
    <w:p>
      <w:pPr>
        <w:jc w:val="both"/>
        <w:ind w:firstLine="495"/>
        <w:spacing w:after="0" w:line="281"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167005</wp:posOffset>
            </wp:positionV>
            <wp:extent cx="5549900" cy="787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5549900" cy="787400"/>
                    </a:xfrm>
                    <a:prstGeom prst="rect">
                      <a:avLst/>
                    </a:prstGeom>
                    <a:noFill/>
                  </pic:spPr>
                </pic:pic>
              </a:graphicData>
            </a:graphic>
          </wp:anchor>
        </w:drawing>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27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Computer and office equipment</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7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6"/>
              </w:rPr>
              <w:t>– 5 years</w:t>
            </w:r>
          </w:p>
        </w:tc>
      </w:tr>
      <w:tr>
        <w:trPr>
          <w:trHeight w:val="300"/>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Instrument trays</w:t>
            </w:r>
          </w:p>
        </w:tc>
        <w:tc>
          <w:tcPr>
            <w:tcW w:w="264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 years</w:t>
            </w:r>
          </w:p>
        </w:tc>
      </w:tr>
      <w:tr>
        <w:trPr>
          <w:trHeight w:val="300"/>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7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6"/>
              </w:rPr>
              <w:t>– 5 years</w:t>
            </w:r>
          </w:p>
        </w:tc>
      </w:tr>
      <w:tr>
        <w:trPr>
          <w:trHeight w:val="300"/>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64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7 years</w:t>
            </w:r>
          </w:p>
        </w:tc>
      </w:tr>
    </w:tbl>
    <w:p>
      <w:pPr>
        <w:spacing w:after="0" w:line="131" w:lineRule="exact"/>
        <w:rPr>
          <w:sz w:val="20"/>
          <w:szCs w:val="20"/>
          <w:color w:val="auto"/>
        </w:rPr>
      </w:pPr>
    </w:p>
    <w:p>
      <w:pPr>
        <w:ind w:firstLine="495"/>
        <w:spacing w:after="0" w:line="281" w:lineRule="auto"/>
        <w:rPr>
          <w:sz w:val="20"/>
          <w:szCs w:val="20"/>
          <w:color w:val="auto"/>
        </w:rPr>
      </w:pPr>
      <w:r>
        <w:rPr>
          <w:rFonts w:ascii="Times New Roman" w:cs="Times New Roman" w:eastAsia="Times New Roman" w:hAnsi="Times New Roman"/>
          <w:sz w:val="20"/>
          <w:szCs w:val="20"/>
          <w:color w:val="auto"/>
        </w:rPr>
        <w:t>Construction in progress includes assets that have not yet been placed into service including the cost of individual components of an instrument tray. Once an instrument tray is placed into service, the Company transfers its carrying value into surgical equipment</w:t>
      </w:r>
    </w:p>
    <w:p>
      <w:pPr>
        <w:sectPr>
          <w:pgSz w:w="12240" w:h="15840" w:orient="portrait"/>
          <w:cols w:equalWidth="0" w:num="1">
            <w:col w:w="10800"/>
          </w:cols>
          <w:pgMar w:left="720" w:top="201" w:right="720" w:bottom="0"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800"/>
          </w:cols>
          <w:pgMar w:left="720" w:top="201" w:right="720" w:bottom="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and instrument trays and begins depreciating the cost of the instrument tray over its useful life. Leasehold improvements are amortized over the lesser of their useful lives or the life of the lease. Upon the sale or retirement of these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99"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20"/>
          <w:szCs w:val="20"/>
          <w:color w:val="auto"/>
        </w:rPr>
        <w:t>The Company reviews long-lived assets for impairment whenever events or changes in circumstances indicate that the carrying amount of the assets (or asset group) may not be fully recoverable. Whenever events or changes in circumstances suggest that the carrying amount of long-lived assets may not be recoverable, the Company estimates the future cash flows expected to be generated by the assets (or asset group) from its use or eventual disposition. If the sum of the expected future cash flows is less than the carrying amount of those assets, the Company recognizes an impairment loss based on the excess of the carrying amount over the fair value of the assets. Significant management judgment is required in the grouping of long-lived assets and forecasts of future operating results that are used in the discounted cash flow method of valuation. For the years ended December 31, 2023 and 2022, the Company has not experienced impairment losses on its long-lived assets.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99"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The classification of leases is evaluated at commencement and, as necessary, at modification. Operating leases are included in operating lease right-of-use assets and operating lease liabilities on the consolidated balance sheets. The Company does not have any material finance leases in any of the periods presented.</w:t>
      </w:r>
    </w:p>
    <w:p>
      <w:pPr>
        <w:spacing w:after="0" w:line="135"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Under Accounting Standards Update ("ASU") 2016-02, Leases Topic 842 ("Topic 842"), operating lease expense is recognized on a straight-line basis over the term of the lease. Variable lease payments are recognized as operating expenses in the period in which the obligation for those payments is incurred. Variable lease payments primarily include common area maintenance, utilities, real estate taxes and other operating costs that are passed on from the lessor in proportion to the space leased by the Company. The lease term represents the non-cancelable period of the lease. For certain leases, the Company has an option to extend the lease term. These renewal options are not considered in the remaining lease term unless it is reasonably certain that the Company will exercise such options.</w:t>
      </w:r>
    </w:p>
    <w:p>
      <w:pPr>
        <w:spacing w:after="0" w:line="150"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20"/>
          <w:szCs w:val="20"/>
          <w:color w:val="auto"/>
        </w:rPr>
        <w:t>The Company elected certain practical expedients under Topic 842 which are: (i) to not record leases with an initial term of twelve months or less on the balance sheet; (ii) to combine the lease and non-lease components in determining the lease liabilities and right-of-use assets, and (iii) to carry forward prior conclusions about lease identification and classification. The Company’s lease contracts do not provide an implicit borrowing rate; hence the Company determined the incremental borrowing rate based on information available at lease commencement to determine the present value of lease liability. The Company determines its incremental borrowing rate based on the rate of interest that the Company would have to pay to borrow on a collateralized basis over a similar term, an amount equal to the lease payments in a similar economic environment. The Company uses its headquarters in the United States ("parent entity")’s incremental borrowing rates as the treasury operations are managed centrally by the parent entity.</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99"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20"/>
          <w:szCs w:val="20"/>
          <w:color w:val="auto"/>
        </w:rPr>
        <w:t>The Company’s revenue is derived from the sale of its products to medical groups and hospitals through its direct sales force and third-party sales agents and resellers throughout the United States and Europe. The Company receives payment for its implants consumed during the surgery and does not receive additional or separate consideration for the use of the instrument tray furnished by the Company for the physicians’s use. The Company identifies the instrument trays as a lease component and the implants as a non-lease component in its arrangements with its customers. The Company determines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w:t>
      </w:r>
    </w:p>
    <w:p>
      <w:pPr>
        <w:spacing w:after="0" w:line="153"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20"/>
          <w:szCs w:val="20"/>
          <w:color w:val="auto"/>
        </w:rPr>
        <w:t>In accordance with ASC 606, the Company recognizes revenue when control is transferred to the customer, in an amount that reflects the consideration the Company expects to be entitled to in exchange for the goods or services. Under the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third-party sales agents and to certain hospital or medical facilities where the products are ordered in advance of a procedure. The performance obligation is the delivery of the products and therefore, revenue is recognized upon shipment to the customers, net of rebates and price discounts. The Company accounts for rebates and price discounts as a reduction to revenue,</w:t>
      </w:r>
    </w:p>
    <w:p>
      <w:pPr>
        <w:sectPr>
          <w:pgSz w:w="12240" w:h="15840" w:orient="portrait"/>
          <w:cols w:equalWidth="0" w:num="1">
            <w:col w:w="10800"/>
          </w:cols>
          <w:pgMar w:left="720" w:top="201" w:right="720" w:bottom="0" w:gutter="0" w:footer="0" w:header="0"/>
        </w:sectPr>
      </w:pP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800"/>
          </w:cols>
          <w:pgMar w:left="720" w:top="201" w:right="720" w:bottom="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calculated based on the terms agreed to with the customer. Sales prices are specified in either the customer contract or agreed price list,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third-party sales agents, which include standard terms that do not allow for payment contingent on resale of the product, obtaining financing, or other terms that could impact the distributor’s payment obligation. The Company's standard payment terms are generally net 30 to 90 days.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Shipping and Handling Costs</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Shipping and handling costs are treated as fulfillment costs, which are expensed as incurred and are included in cost of goods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sold.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Costs to Obtain Customer Contracts</w:t>
      </w:r>
    </w:p>
    <w:p>
      <w:pPr>
        <w:spacing w:after="0" w:line="25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Sales commissions and related expenses are considered incremental and recoverable costs of acquiring customer contracts. The Company’s sales commissions paid to its sales representatives are generally based on the surgeries performed. The Company applied the practical expedient that permits an entity to expense the cost to obtain a contract as incurred when the expected amortization is one year or less. The period of benefit is concurrent with when the Company recognizes its revenue and as such, the Company recognizes sales commissions as expense when incurred.</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Warranty</w:t>
      </w:r>
    </w:p>
    <w:p>
      <w:pPr>
        <w:spacing w:after="0" w:line="199"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20"/>
          <w:szCs w:val="20"/>
          <w:color w:val="auto"/>
        </w:rPr>
        <w:t>The Company has a warranty program that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 warranty is not priced or sold separately and is intended to safeguard the customer against defects and it does not provide incremental service to the customer. As such, it is considered an assurance type warranty and is not accounted as a service type warranty, which could represent a separate performance obligation. The Company accounts for these one-time credits as sales reserves and is included in accrued liabilities and other in the consolidated balance sheets. Sales and warranty reserves from the warranty program were immaterial as of December 31, 2023 and 2022.</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99"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Research and development costs are charged to operations as incurred and consist of costs incurred by the Company for the development of the Company’s product which primarily include: (1) employee-related expenses, including salaries, benefits, travel and stock-based compensation expense; (2) external research and development expenses; and (3) other expenses, which include direct and allocated expenses for facilities and other costs.</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Advertising Expenditures</w:t>
      </w:r>
    </w:p>
    <w:p>
      <w:pPr>
        <w:spacing w:after="0" w:line="199" w:lineRule="exact"/>
        <w:rPr>
          <w:sz w:val="20"/>
          <w:szCs w:val="20"/>
          <w:color w:val="auto"/>
        </w:rPr>
      </w:pPr>
    </w:p>
    <w:p>
      <w:pPr>
        <w:jc w:val="both"/>
        <w:ind w:firstLine="495"/>
        <w:spacing w:after="0" w:line="309" w:lineRule="auto"/>
        <w:rPr>
          <w:sz w:val="20"/>
          <w:szCs w:val="20"/>
          <w:color w:val="auto"/>
        </w:rPr>
      </w:pPr>
      <w:r>
        <w:rPr>
          <w:rFonts w:ascii="Times New Roman" w:cs="Times New Roman" w:eastAsia="Times New Roman" w:hAnsi="Times New Roman"/>
          <w:sz w:val="19"/>
          <w:szCs w:val="19"/>
          <w:color w:val="auto"/>
        </w:rPr>
        <w:t>The cost of advertising is expensed as incurred and is included under sales and marketing expense in the consolidated statements of operations. Advertising expenses were $1.1 million and $1.6 million for the years ended December 31, 2023 and 2022, respectively.</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Loss Contingency</w:t>
      </w:r>
    </w:p>
    <w:p>
      <w:pPr>
        <w:spacing w:after="0" w:line="25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The Company is subject to various potential loss contingencies arising in the ordinary course of business. From time to time, the Company may be involved in certain proceedings, legal actions and claims. Such matters are subject to many uncertainties, and the outcomes of these matters are not within the Company's control and may not be known for prolonged periods of time. In some actions, the claimants may seek damages, as well as other relief, including injunctions which may prohibit the Company to engage in certain activities, which, if granted, could require significant expenditures and/or result in lost revenues. The Company records a liability in the consolidated financial statements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ectPr>
          <w:pgSz w:w="12240" w:h="15840" w:orient="portrait"/>
          <w:cols w:equalWidth="0" w:num="1">
            <w:col w:w="10800"/>
          </w:cols>
          <w:pgMar w:left="720" w:top="201" w:right="72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800"/>
          </w:cols>
          <w:pgMar w:left="720" w:top="201" w:right="720" w:bottom="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9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The Company applies the fair value recognition provisions of stock-based compensation.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 The Company uses historical data to estimate pre-vesting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21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The Company estimates the grant date fair value of stock options using the Black-Scholes option valuation model. The model requires management to make a number of assumptions including expected volatility, expected term, risk-free interest rate and expected dividends. A number of these assumptions are subjective, and their determination generally require judgment.</w:t>
      </w:r>
    </w:p>
    <w:p>
      <w:pPr>
        <w:spacing w:after="0" w:line="132" w:lineRule="exact"/>
        <w:rPr>
          <w:sz w:val="20"/>
          <w:szCs w:val="20"/>
          <w:color w:val="auto"/>
        </w:rPr>
      </w:pPr>
    </w:p>
    <w:p>
      <w:pPr>
        <w:jc w:val="both"/>
        <w:ind w:left="460" w:hanging="370"/>
        <w:spacing w:after="0" w:line="268" w:lineRule="auto"/>
        <w:tabs>
          <w:tab w:leader="none" w:pos="460" w:val="left"/>
        </w:tabs>
        <w:numPr>
          <w:ilvl w:val="0"/>
          <w:numId w:val="3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Expected Term - </w:t>
      </w:r>
      <w:r>
        <w:rPr>
          <w:rFonts w:ascii="Times New Roman" w:cs="Times New Roman" w:eastAsia="Times New Roman" w:hAnsi="Times New Roman"/>
          <w:sz w:val="20"/>
          <w:szCs w:val="20"/>
          <w:color w:val="auto"/>
        </w:rPr>
        <w:t>The expected term represents the period that the share-based awards are expected to be outstanding.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uses the simplified method to determine the expected term as permitted by the guidance. The simplified method is calculated as the average of the time to vesting and the contractual life of the options.</w:t>
      </w:r>
    </w:p>
    <w:p>
      <w:pPr>
        <w:spacing w:after="0" w:line="129" w:lineRule="exact"/>
        <w:rPr>
          <w:rFonts w:ascii="Times New Roman" w:cs="Times New Roman" w:eastAsia="Times New Roman" w:hAnsi="Times New Roman"/>
          <w:sz w:val="20"/>
          <w:szCs w:val="20"/>
          <w:b w:val="1"/>
          <w:bCs w:val="1"/>
          <w:i w:val="1"/>
          <w:iCs w:val="1"/>
          <w:color w:val="auto"/>
        </w:rPr>
      </w:pPr>
    </w:p>
    <w:p>
      <w:pPr>
        <w:ind w:left="460" w:hanging="370"/>
        <w:spacing w:after="0" w:line="286" w:lineRule="auto"/>
        <w:tabs>
          <w:tab w:leader="none" w:pos="460" w:val="left"/>
        </w:tabs>
        <w:numPr>
          <w:ilvl w:val="0"/>
          <w:numId w:val="3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Expected Volatility - </w:t>
      </w:r>
      <w:r>
        <w:rPr>
          <w:rFonts w:ascii="Times New Roman" w:cs="Times New Roman" w:eastAsia="Times New Roman" w:hAnsi="Times New Roman"/>
          <w:sz w:val="20"/>
          <w:szCs w:val="20"/>
          <w:color w:val="auto"/>
        </w:rPr>
        <w:t>The expected volatility is measured using the historical daily changes in the market price of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common stock over a period consistent with the expected term.</w:t>
      </w:r>
    </w:p>
    <w:p>
      <w:pPr>
        <w:spacing w:after="0" w:line="111" w:lineRule="exact"/>
        <w:rPr>
          <w:rFonts w:ascii="Times New Roman" w:cs="Times New Roman" w:eastAsia="Times New Roman" w:hAnsi="Times New Roman"/>
          <w:sz w:val="20"/>
          <w:szCs w:val="20"/>
          <w:b w:val="1"/>
          <w:bCs w:val="1"/>
          <w:i w:val="1"/>
          <w:iCs w:val="1"/>
          <w:color w:val="auto"/>
        </w:rPr>
      </w:pPr>
    </w:p>
    <w:p>
      <w:pPr>
        <w:ind w:left="460" w:hanging="370"/>
        <w:spacing w:after="0" w:line="286" w:lineRule="auto"/>
        <w:tabs>
          <w:tab w:leader="none" w:pos="460" w:val="left"/>
        </w:tabs>
        <w:numPr>
          <w:ilvl w:val="0"/>
          <w:numId w:val="3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Risk-Free Interest Rate - </w:t>
      </w:r>
      <w:r>
        <w:rPr>
          <w:rFonts w:ascii="Times New Roman" w:cs="Times New Roman" w:eastAsia="Times New Roman" w:hAnsi="Times New Roman"/>
          <w:sz w:val="20"/>
          <w:szCs w:val="20"/>
          <w:color w:val="auto"/>
        </w:rPr>
        <w:t>The risk-free interest rate is based on the U.S. Treasury zero coupon issued in effect at the time of grant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periods corresponding with the expected term of the option.</w:t>
      </w:r>
    </w:p>
    <w:p>
      <w:pPr>
        <w:spacing w:after="0" w:line="111" w:lineRule="exact"/>
        <w:rPr>
          <w:rFonts w:ascii="Times New Roman" w:cs="Times New Roman" w:eastAsia="Times New Roman" w:hAnsi="Times New Roman"/>
          <w:sz w:val="20"/>
          <w:szCs w:val="20"/>
          <w:b w:val="1"/>
          <w:bCs w:val="1"/>
          <w:i w:val="1"/>
          <w:iCs w:val="1"/>
          <w:color w:val="auto"/>
        </w:rPr>
      </w:pPr>
    </w:p>
    <w:p>
      <w:pPr>
        <w:ind w:left="460" w:hanging="370"/>
        <w:spacing w:after="0" w:line="286" w:lineRule="auto"/>
        <w:tabs>
          <w:tab w:leader="none" w:pos="460" w:val="left"/>
        </w:tabs>
        <w:numPr>
          <w:ilvl w:val="0"/>
          <w:numId w:val="3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Dividend Yield - </w:t>
      </w:r>
      <w:r>
        <w:rPr>
          <w:rFonts w:ascii="Times New Roman" w:cs="Times New Roman" w:eastAsia="Times New Roman" w:hAnsi="Times New Roman"/>
          <w:sz w:val="20"/>
          <w:szCs w:val="20"/>
          <w:color w:val="auto"/>
        </w:rPr>
        <w:t>The Company has not paid any dividends and has no current plans to pay dividends on its common stock.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such, the Company uses expected dividend yield of zero.</w:t>
      </w:r>
    </w:p>
    <w:p>
      <w:pPr>
        <w:spacing w:after="0" w:line="176"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The fair value of the restricted stock unit (“RSU”) grant is based on the market price of the Company’s common stock on the date of grant.</w:t>
      </w:r>
    </w:p>
    <w:p>
      <w:pPr>
        <w:spacing w:after="0" w:line="12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The Company grants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For these awards that are subject to market-related performance, the fair value is determined based on the number of shares granted and a Monte Carlo valuation model, which incorporates the probability of the achievement of the market-related performance goals as part of the grant date fair value. If such performance goals are not ultimately met, the expense is not reversed. Stock-based compensation expense is recognized ratably over the requisite service period.</w:t>
      </w:r>
    </w:p>
    <w:p>
      <w:pPr>
        <w:spacing w:after="0" w:line="150"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In the event the underlying terms of stock awards are modified on which stock-based compensation was granted, additional expense is recognized for any modification that increases the total fair value of the share-based payment arrangement at the modification date.</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9"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203"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The Company recognizes uncertain tax positions when it meets a more-likely-than-not threshold. The Company recognizes potential accrued interest and penalties related to unrecognized tax benefits as income tax expense.</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 of Common Stock</w:t>
      </w:r>
    </w:p>
    <w:p>
      <w:pPr>
        <w:spacing w:after="0" w:line="19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common stock options, restricted stock units, ESPP purchase rights and warrants are considered to be potentially dilutive securities. Because the Company has reported a net loss in all periods presented, common stock options, restricted stock units, ESPP purchase rights and warrants are anti-dilutive and therefore diluted net loss per common share is the same as basic net loss per common share for those periods.</w:t>
      </w:r>
    </w:p>
    <w:p>
      <w:pPr>
        <w:sectPr>
          <w:pgSz w:w="12240" w:h="15840" w:orient="portrait"/>
          <w:cols w:equalWidth="0" w:num="1">
            <w:col w:w="10800"/>
          </w:cols>
          <w:pgMar w:left="720" w:top="20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800"/>
          </w:cols>
          <w:pgMar w:left="720" w:top="201" w:right="720" w:bottom="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199"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Comprehensive loss represents changes in the stockholders’ equity except those resulting from distributions to stockholders. The Company’s unrealized foreign currency translation income (losses) and unrealized gains (losses) on marketable securities represent the two components of other comprehensive income that are excluded from the reported net loss for each of the reporting periods and has been presented in the consolidated statements of operations and comprehensive loss.</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199"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20"/>
          <w:szCs w:val="20"/>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equity section of the consolidated balance sheet. The Company determined that the warrants for shares of common stock issued in connection with its prior debt arrangements are required to be classified in equity. Warrants classified as equity are recorded as additional paid-in capital on the consolidated balance sheet and no further adjustments to their valuation are made.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Standards Not Yet Adopted</w:t>
      </w:r>
    </w:p>
    <w:p>
      <w:pPr>
        <w:spacing w:after="0" w:line="19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In October 2023, the Financial Accounting Standards Board ("FASB") issued ASU 2023-06, Disclosure Agreements - Codification Amendments in Response to the SEC’s Disclosure Update and Simplification Initiative ("ASU 2023-06"). This amendment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impacts of the amendment on its disclosures.</w:t>
      </w:r>
    </w:p>
    <w:p>
      <w:pPr>
        <w:spacing w:after="0" w:line="210"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In November 2023, the FASB issued ASU 2023-07, Segment Reporting (Topic 280): Improvements to Reportable Segment Disclosures. ASU 2023-07 requires companies with a single reportable segment to provide all existing segment disclosures, as well as requires incremental segment information to be disclosed. The guidance is effective for fiscal years beginning after December 15, 2023 on a retrospective basis, and interim periods within fiscal years beginning after December 15, 2024. Early adoption is permitted. The Company is currently evaluating the guidance to determine the impact on its disclosures.</w:t>
      </w:r>
    </w:p>
    <w:p>
      <w:pPr>
        <w:spacing w:after="0" w:line="204"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Improvements to Income Tax Disclosures ("ASU 2023-09"). ASU 2023-09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and for interim periods for fiscal years beginning after December 15, 2025. The Company is currently evaluating the impacts of ASU 2023-09 on its disclosures.</w:t>
      </w:r>
    </w:p>
    <w:p>
      <w:pPr>
        <w:sectPr>
          <w:pgSz w:w="12240" w:h="15840" w:orient="portrait"/>
          <w:cols w:equalWidth="0" w:num="1">
            <w:col w:w="10800"/>
          </w:cols>
          <w:pgMar w:left="720" w:top="20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800"/>
          </w:cols>
          <w:pgMar w:left="720" w:top="201" w:right="720" w:bottom="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Marketable Securities</w:t>
      </w:r>
    </w:p>
    <w:p>
      <w:pPr>
        <w:spacing w:after="0" w:line="257"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All of the Company's marketable securities were available-for-sale debt securities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table below summarizes the marketable securities:</w: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4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36"/>
        </w:trPr>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40" w:type="dxa"/>
            <w:vAlign w:val="bottom"/>
          </w:tcPr>
          <w:p>
            <w:pPr>
              <w:spacing w:after="0"/>
              <w:rPr>
                <w:sz w:val="20"/>
                <w:szCs w:val="20"/>
                <w:color w:val="auto"/>
              </w:rPr>
            </w:pPr>
          </w:p>
        </w:tc>
      </w:tr>
      <w:tr>
        <w:trPr>
          <w:trHeight w:val="239"/>
        </w:trPr>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0" w:type="dxa"/>
            <w:vAlign w:val="bottom"/>
          </w:tcPr>
          <w:p>
            <w:pPr>
              <w:spacing w:after="0"/>
              <w:rPr>
                <w:sz w:val="20"/>
                <w:szCs w:val="20"/>
                <w:color w:val="auto"/>
              </w:rPr>
            </w:pPr>
          </w:p>
        </w:tc>
      </w:tr>
      <w:tr>
        <w:trPr>
          <w:trHeight w:val="275"/>
        </w:trPr>
        <w:tc>
          <w:tcPr>
            <w:tcW w:w="4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6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05"/>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Money market funds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23,331</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gridSpan w:val="2"/>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23,331</w:t>
            </w:r>
          </w:p>
        </w:tc>
        <w:tc>
          <w:tcPr>
            <w:tcW w:w="40" w:type="dxa"/>
            <w:vAlign w:val="bottom"/>
          </w:tcPr>
          <w:p>
            <w:pPr>
              <w:spacing w:after="0"/>
              <w:rPr>
                <w:sz w:val="24"/>
                <w:szCs w:val="24"/>
                <w:color w:val="auto"/>
              </w:rPr>
            </w:pPr>
          </w:p>
        </w:tc>
      </w:tr>
      <w:tr>
        <w:trPr>
          <w:trHeight w:val="280"/>
        </w:trPr>
        <w:tc>
          <w:tcPr>
            <w:tcW w:w="49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Cash equivalents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23,331</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23,331</w:t>
            </w:r>
          </w:p>
        </w:tc>
        <w:tc>
          <w:tcPr>
            <w:tcW w:w="40" w:type="dxa"/>
            <w:vAlign w:val="bottom"/>
          </w:tcPr>
          <w:p>
            <w:pPr>
              <w:spacing w:after="0"/>
              <w:rPr>
                <w:sz w:val="24"/>
                <w:szCs w:val="24"/>
                <w:color w:val="auto"/>
              </w:rPr>
            </w:pPr>
          </w:p>
        </w:tc>
      </w:tr>
      <w:tr>
        <w:trPr>
          <w:trHeight w:val="502"/>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U.S. treasury securities</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129,695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129,762</w:t>
            </w:r>
          </w:p>
        </w:tc>
        <w:tc>
          <w:tcPr>
            <w:tcW w:w="40" w:type="dxa"/>
            <w:vAlign w:val="bottom"/>
          </w:tcPr>
          <w:p>
            <w:pPr>
              <w:spacing w:after="0"/>
              <w:rPr>
                <w:sz w:val="24"/>
                <w:szCs w:val="24"/>
                <w:color w:val="auto"/>
              </w:rPr>
            </w:pPr>
          </w:p>
        </w:tc>
      </w:tr>
      <w:tr>
        <w:trPr>
          <w:trHeight w:val="303"/>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U.S. agency bonds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2,988</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2,986</w:t>
            </w:r>
          </w:p>
        </w:tc>
        <w:tc>
          <w:tcPr>
            <w:tcW w:w="40" w:type="dxa"/>
            <w:vAlign w:val="bottom"/>
          </w:tcPr>
          <w:p>
            <w:pPr>
              <w:spacing w:after="0"/>
              <w:rPr>
                <w:sz w:val="24"/>
                <w:szCs w:val="24"/>
                <w:color w:val="auto"/>
              </w:rPr>
            </w:pPr>
          </w:p>
        </w:tc>
      </w:tr>
      <w:tr>
        <w:trPr>
          <w:trHeight w:val="280"/>
        </w:trPr>
        <w:tc>
          <w:tcPr>
            <w:tcW w:w="49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Short-term investments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132,683</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132,748</w:t>
            </w:r>
          </w:p>
        </w:tc>
        <w:tc>
          <w:tcPr>
            <w:tcW w:w="40" w:type="dxa"/>
            <w:vAlign w:val="bottom"/>
          </w:tcPr>
          <w:p>
            <w:pPr>
              <w:spacing w:after="0"/>
              <w:rPr>
                <w:sz w:val="24"/>
                <w:szCs w:val="24"/>
                <w:color w:val="auto"/>
              </w:rPr>
            </w:pPr>
          </w:p>
        </w:tc>
      </w:tr>
      <w:tr>
        <w:trPr>
          <w:trHeight w:val="260"/>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156,014</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40" w:type="dxa"/>
            <w:vAlign w:val="bottom"/>
            <w:gridSpan w:val="2"/>
          </w:tcPr>
          <w:p>
            <w:pPr>
              <w:spacing w:after="0"/>
              <w:rPr>
                <w:sz w:val="22"/>
                <w:szCs w:val="22"/>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156,079</w:t>
            </w:r>
          </w:p>
        </w:tc>
        <w:tc>
          <w:tcPr>
            <w:tcW w:w="40" w:type="dxa"/>
            <w:vAlign w:val="bottom"/>
          </w:tcPr>
          <w:p>
            <w:pPr>
              <w:spacing w:after="0"/>
              <w:rPr>
                <w:sz w:val="22"/>
                <w:szCs w:val="22"/>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0"/>
        </w:trPr>
        <w:tc>
          <w:tcPr>
            <w:tcW w:w="49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81"/>
        </w:trPr>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40" w:type="dxa"/>
            <w:vAlign w:val="bottom"/>
          </w:tcPr>
          <w:p>
            <w:pPr>
              <w:spacing w:after="0"/>
              <w:rPr>
                <w:sz w:val="24"/>
                <w:szCs w:val="24"/>
                <w:color w:val="auto"/>
              </w:rPr>
            </w:pPr>
          </w:p>
        </w:tc>
      </w:tr>
      <w:tr>
        <w:trPr>
          <w:trHeight w:val="239"/>
        </w:trPr>
        <w:tc>
          <w:tcPr>
            <w:tcW w:w="49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40" w:type="dxa"/>
            <w:vAlign w:val="bottom"/>
            <w:tcBorders>
              <w:bottom w:val="single" w:sz="8" w:color="auto"/>
            </w:tcBorders>
          </w:tcPr>
          <w:p>
            <w:pPr>
              <w:spacing w:after="0"/>
              <w:rPr>
                <w:sz w:val="20"/>
                <w:szCs w:val="20"/>
                <w:color w:val="auto"/>
              </w:rPr>
            </w:pPr>
          </w:p>
        </w:tc>
      </w:tr>
      <w:tr>
        <w:trPr>
          <w:trHeight w:val="260"/>
        </w:trPr>
        <w:tc>
          <w:tcPr>
            <w:tcW w:w="4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05"/>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8,002</w:t>
            </w:r>
          </w:p>
        </w:tc>
        <w:tc>
          <w:tcPr>
            <w:tcW w:w="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140" w:type="dxa"/>
            <w:vAlign w:val="bottom"/>
            <w:gridSpan w:val="2"/>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8,002</w:t>
            </w:r>
          </w:p>
        </w:tc>
        <w:tc>
          <w:tcPr>
            <w:tcW w:w="40" w:type="dxa"/>
            <w:vAlign w:val="bottom"/>
            <w:tcBorders>
              <w:bottom w:val="single" w:sz="8" w:color="auto"/>
            </w:tcBorders>
          </w:tcPr>
          <w:p>
            <w:pPr>
              <w:spacing w:after="0"/>
              <w:rPr>
                <w:sz w:val="24"/>
                <w:szCs w:val="24"/>
                <w:color w:val="auto"/>
              </w:rPr>
            </w:pPr>
          </w:p>
        </w:tc>
      </w:tr>
      <w:tr>
        <w:trPr>
          <w:trHeight w:val="280"/>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equivalents</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8,002</w:t>
            </w:r>
          </w:p>
        </w:tc>
        <w:tc>
          <w:tcPr>
            <w:tcW w:w="40" w:type="dxa"/>
            <w:vAlign w:val="bottom"/>
            <w:tcBorders>
              <w:bottom w:val="single" w:sz="8" w:color="auto"/>
            </w:tcBorders>
          </w:tcPr>
          <w:p>
            <w:pPr>
              <w:spacing w:after="0"/>
              <w:rPr>
                <w:sz w:val="24"/>
                <w:szCs w:val="24"/>
                <w:color w:val="auto"/>
              </w:rPr>
            </w:pPr>
          </w:p>
        </w:tc>
      </w:tr>
      <w:tr>
        <w:trPr>
          <w:trHeight w:val="442"/>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48,636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48,535</w:t>
            </w:r>
          </w:p>
        </w:tc>
        <w:tc>
          <w:tcPr>
            <w:tcW w:w="40" w:type="dxa"/>
            <w:vAlign w:val="bottom"/>
          </w:tcPr>
          <w:p>
            <w:pPr>
              <w:spacing w:after="0"/>
              <w:rPr>
                <w:sz w:val="24"/>
                <w:szCs w:val="24"/>
                <w:color w:val="auto"/>
              </w:rPr>
            </w:pPr>
          </w:p>
        </w:tc>
      </w:tr>
      <w:tr>
        <w:trPr>
          <w:trHeight w:val="30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agency bonds</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2,921</w:t>
            </w:r>
          </w:p>
        </w:tc>
        <w:tc>
          <w:tcPr>
            <w:tcW w:w="40" w:type="dxa"/>
            <w:vAlign w:val="bottom"/>
          </w:tcPr>
          <w:p>
            <w:pPr>
              <w:spacing w:after="0"/>
              <w:rPr>
                <w:sz w:val="24"/>
                <w:szCs w:val="24"/>
                <w:color w:val="auto"/>
              </w:rPr>
            </w:pPr>
          </w:p>
        </w:tc>
      </w:tr>
      <w:tr>
        <w:trPr>
          <w:trHeight w:val="30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2,911</w:t>
            </w:r>
          </w:p>
        </w:tc>
        <w:tc>
          <w:tcPr>
            <w:tcW w:w="40" w:type="dxa"/>
            <w:vAlign w:val="bottom"/>
          </w:tcPr>
          <w:p>
            <w:pPr>
              <w:spacing w:after="0"/>
              <w:rPr>
                <w:sz w:val="24"/>
                <w:szCs w:val="24"/>
                <w:color w:val="auto"/>
              </w:rPr>
            </w:pPr>
          </w:p>
        </w:tc>
      </w:tr>
      <w:tr>
        <w:trPr>
          <w:trHeight w:val="303"/>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22,206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22,206</w:t>
            </w:r>
          </w:p>
        </w:tc>
        <w:tc>
          <w:tcPr>
            <w:tcW w:w="40" w:type="dxa"/>
            <w:vAlign w:val="bottom"/>
            <w:tcBorders>
              <w:bottom w:val="single" w:sz="8" w:color="auto"/>
            </w:tcBorders>
          </w:tcPr>
          <w:p>
            <w:pPr>
              <w:spacing w:after="0"/>
              <w:rPr>
                <w:sz w:val="24"/>
                <w:szCs w:val="24"/>
                <w:color w:val="auto"/>
              </w:rPr>
            </w:pPr>
          </w:p>
        </w:tc>
      </w:tr>
      <w:tr>
        <w:trPr>
          <w:trHeight w:val="280"/>
        </w:trPr>
        <w:tc>
          <w:tcPr>
            <w:tcW w:w="4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Short-term investments</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76,674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76,573</w:t>
            </w:r>
          </w:p>
        </w:tc>
        <w:tc>
          <w:tcPr>
            <w:tcW w:w="40" w:type="dxa"/>
            <w:vAlign w:val="bottom"/>
            <w:tcBorders>
              <w:bottom w:val="single" w:sz="8" w:color="auto"/>
            </w:tcBorders>
          </w:tcPr>
          <w:p>
            <w:pPr>
              <w:spacing w:after="0"/>
              <w:rPr>
                <w:sz w:val="24"/>
                <w:szCs w:val="24"/>
                <w:color w:val="auto"/>
              </w:rPr>
            </w:pPr>
          </w:p>
        </w:tc>
      </w:tr>
      <w:tr>
        <w:trPr>
          <w:trHeight w:val="245"/>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84,676</w:t>
            </w:r>
          </w:p>
        </w:tc>
        <w:tc>
          <w:tcPr>
            <w:tcW w:w="4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84,575</w:t>
            </w:r>
          </w:p>
        </w:tc>
        <w:tc>
          <w:tcPr>
            <w:tcW w:w="40" w:type="dxa"/>
            <w:vAlign w:val="bottom"/>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-4044315</wp:posOffset>
            </wp:positionV>
            <wp:extent cx="6473825" cy="549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6473825" cy="54927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-3329940</wp:posOffset>
            </wp:positionV>
            <wp:extent cx="6473825" cy="215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6473825" cy="21590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-2948940</wp:posOffset>
            </wp:positionV>
            <wp:extent cx="6486525" cy="241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6486525" cy="24130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-1650365</wp:posOffset>
            </wp:positionV>
            <wp:extent cx="6521450" cy="215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6521450" cy="21590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-1164590</wp:posOffset>
            </wp:positionV>
            <wp:extent cx="6521450" cy="215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6521450" cy="21590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-783590</wp:posOffset>
            </wp:positionV>
            <wp:extent cx="6534150" cy="803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6534150" cy="803275"/>
                    </a:xfrm>
                    <a:prstGeom prst="rect">
                      <a:avLst/>
                    </a:prstGeom>
                    <a:noFill/>
                  </pic:spPr>
                </pic:pic>
              </a:graphicData>
            </a:graphic>
          </wp:anchor>
        </w:drawing>
      </w:r>
    </w:p>
    <w:p>
      <w:pPr>
        <w:spacing w:after="0" w:line="128" w:lineRule="exact"/>
        <w:rPr>
          <w:sz w:val="20"/>
          <w:szCs w:val="20"/>
          <w:color w:val="auto"/>
        </w:rPr>
      </w:pPr>
    </w:p>
    <w:p>
      <w:pPr>
        <w:jc w:val="both"/>
        <w:ind w:firstLine="592"/>
        <w:spacing w:after="0" w:line="255" w:lineRule="auto"/>
        <w:rPr>
          <w:sz w:val="20"/>
          <w:szCs w:val="20"/>
          <w:color w:val="auto"/>
        </w:rPr>
      </w:pPr>
      <w:r>
        <w:rPr>
          <w:rFonts w:ascii="Times New Roman" w:cs="Times New Roman" w:eastAsia="Times New Roman" w:hAnsi="Times New Roman"/>
          <w:sz w:val="20"/>
          <w:szCs w:val="20"/>
          <w:color w:val="auto"/>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As of December 31, 2023 and 2022,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consolidated balance sheets during the years ended December 31, 2023 and 2022.</w:t>
      </w:r>
    </w:p>
    <w:p>
      <w:pPr>
        <w:spacing w:after="0" w:line="210"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The Company elected to present accrued interest receivable separately from short-term and long-term investments on its consolidated balance sheets. Accrued interest receivable was $0.2 million as of December 31, 2023,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years ended December 31, 2023 and 2022.</w:t>
      </w:r>
    </w:p>
    <w:p>
      <w:pPr>
        <w:sectPr>
          <w:pgSz w:w="12240" w:h="15840" w:orient="portrait"/>
          <w:cols w:equalWidth="0" w:num="1">
            <w:col w:w="10800"/>
          </w:cols>
          <w:pgMar w:left="720" w:top="20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800"/>
          </w:cols>
          <w:pgMar w:left="720" w:top="201" w:right="720" w:bottom="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Measurement</w:t>
      </w:r>
    </w:p>
    <w:p>
      <w:pPr>
        <w:spacing w:after="0" w:line="257"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requires fair value hierarchy measurements and disclosures for the periods presented.</w:t>
      </w:r>
    </w:p>
    <w:p>
      <w:pPr>
        <w:spacing w:after="0" w:line="204" w:lineRule="exact"/>
        <w:rPr>
          <w:sz w:val="20"/>
          <w:szCs w:val="20"/>
          <w:color w:val="auto"/>
        </w:rPr>
      </w:pPr>
    </w:p>
    <w:p>
      <w:pPr>
        <w:jc w:val="both"/>
        <w:ind w:firstLine="495"/>
        <w:spacing w:after="0" w:line="281" w:lineRule="auto"/>
        <w:rPr>
          <w:sz w:val="20"/>
          <w:szCs w:val="20"/>
          <w:color w:val="auto"/>
        </w:rPr>
      </w:pPr>
      <w:r>
        <w:rPr>
          <w:rFonts w:ascii="Times New Roman" w:cs="Times New Roman" w:eastAsia="Times New Roman" w:hAnsi="Times New Roman"/>
          <w:sz w:val="20"/>
          <w:szCs w:val="20"/>
          <w:color w:val="auto"/>
        </w:rPr>
        <w:t>The table below summarizes the fair value of the Company’s marketable securities measured at fair value on a recurring basis based on the three-tier fair value hierarchy:</w:t>
      </w:r>
    </w:p>
    <w:p>
      <w:pPr>
        <w:spacing w:after="0" w:line="135" w:lineRule="exact"/>
        <w:rPr>
          <w:sz w:val="20"/>
          <w:szCs w:val="20"/>
          <w:color w:val="auto"/>
        </w:rPr>
      </w:pPr>
    </w:p>
    <w:tbl>
      <w:tblPr>
        <w:tblLayout w:type="fixed"/>
        <w:tblInd w:w="480" w:type="dxa"/>
        <w:tblCellMar>
          <w:top w:w="0" w:type="dxa"/>
          <w:left w:w="0" w:type="dxa"/>
          <w:bottom w:w="0" w:type="dxa"/>
          <w:right w:w="0" w:type="dxa"/>
        </w:tblCellMar>
      </w:tblPr>
      <w:tr>
        <w:trPr>
          <w:trHeight w:val="243"/>
        </w:trPr>
        <w:tc>
          <w:tcPr>
            <w:tcW w:w="4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65"/>
        </w:trPr>
        <w:tc>
          <w:tcPr>
            <w:tcW w:w="49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0"/>
        </w:trPr>
        <w:tc>
          <w:tcPr>
            <w:tcW w:w="4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5"/>
        </w:trPr>
        <w:tc>
          <w:tcPr>
            <w:tcW w:w="4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Marketable securities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8"/>
        </w:trPr>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Money market funds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667"/>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23,331</w:t>
            </w:r>
          </w:p>
        </w:tc>
      </w:tr>
      <w:tr>
        <w:trPr>
          <w:trHeight w:val="283"/>
        </w:trPr>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treasury securities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129,762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129,762</w:t>
            </w:r>
          </w:p>
        </w:tc>
      </w:tr>
      <w:tr>
        <w:trPr>
          <w:trHeight w:val="288"/>
        </w:trPr>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agency bonds</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2,986</w:t>
            </w: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2,986</w:t>
            </w:r>
          </w:p>
        </w:tc>
      </w:tr>
      <w:tr>
        <w:trPr>
          <w:trHeight w:val="260"/>
        </w:trPr>
        <w:tc>
          <w:tcPr>
            <w:tcW w:w="49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153,093</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2,986</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667"/>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156,079</w:t>
            </w: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90"/>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5"/>
        </w:trPr>
        <w:tc>
          <w:tcPr>
            <w:tcW w:w="49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5"/>
        </w:trPr>
        <w:tc>
          <w:tcPr>
            <w:tcW w:w="4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85"/>
        </w:trPr>
        <w:tc>
          <w:tcPr>
            <w:tcW w:w="4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Marketable securities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Money market funds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667"/>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8,002</w:t>
            </w:r>
          </w:p>
        </w:tc>
      </w:tr>
      <w:tr>
        <w:trPr>
          <w:trHeight w:val="315"/>
        </w:trPr>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treasury securities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48,535</w:t>
            </w:r>
          </w:p>
        </w:tc>
      </w:tr>
      <w:tr>
        <w:trPr>
          <w:trHeight w:val="285"/>
        </w:trPr>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agency bonds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2,921</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2,921</w:t>
            </w:r>
          </w:p>
        </w:tc>
      </w:tr>
      <w:tr>
        <w:trPr>
          <w:trHeight w:val="300"/>
        </w:trPr>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Corporate bonds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2,911</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2,911</w:t>
            </w:r>
          </w:p>
        </w:tc>
      </w:tr>
      <w:tr>
        <w:trPr>
          <w:trHeight w:val="303"/>
        </w:trPr>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Commercial paper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22,206</w:t>
            </w: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22,206</w:t>
            </w:r>
          </w:p>
        </w:tc>
      </w:tr>
      <w:tr>
        <w:trPr>
          <w:trHeight w:val="260"/>
        </w:trPr>
        <w:tc>
          <w:tcPr>
            <w:tcW w:w="49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28,038</w:t>
            </w:r>
          </w:p>
        </w:tc>
        <w:tc>
          <w:tcPr>
            <w:tcW w:w="980" w:type="dxa"/>
            <w:vAlign w:val="bottom"/>
            <w:gridSpan w:val="2"/>
          </w:tcPr>
          <w:p>
            <w:pPr>
              <w:jc w:val="right"/>
              <w:ind w:right="667"/>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84,575</w:t>
            </w: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-3041015</wp:posOffset>
            </wp:positionV>
            <wp:extent cx="6388100" cy="206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extLst>
                    </a:blip>
                    <a:srcRect/>
                    <a:stretch>
                      <a:fillRect/>
                    </a:stretch>
                  </pic:blipFill>
                  <pic:spPr bwMode="auto">
                    <a:xfrm>
                      <a:off x="0" y="0"/>
                      <a:ext cx="6388100" cy="20637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-1355090</wp:posOffset>
            </wp:positionV>
            <wp:extent cx="6388100" cy="206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extLst>
                    </a:blip>
                    <a:srcRect/>
                    <a:stretch>
                      <a:fillRect/>
                    </a:stretch>
                  </pic:blipFill>
                  <pic:spPr bwMode="auto">
                    <a:xfrm>
                      <a:off x="0" y="0"/>
                      <a:ext cx="6388100" cy="20637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-983615</wp:posOffset>
            </wp:positionV>
            <wp:extent cx="6388100" cy="2254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5">
                      <a:extLst>
                        <a:ext uri="{28A0092B-C50C-407E-A947-70E740481C1C}"/>
                      </a:extLst>
                    </a:blip>
                    <a:srcRect/>
                    <a:stretch>
                      <a:fillRect/>
                    </a:stretch>
                  </pic:blipFill>
                  <pic:spPr bwMode="auto">
                    <a:xfrm>
                      <a:off x="0" y="0"/>
                      <a:ext cx="6388100" cy="22542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-2679065</wp:posOffset>
            </wp:positionV>
            <wp:extent cx="6400800" cy="6032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extLst>
                    </a:blip>
                    <a:srcRect/>
                    <a:stretch>
                      <a:fillRect/>
                    </a:stretch>
                  </pic:blipFill>
                  <pic:spPr bwMode="auto">
                    <a:xfrm>
                      <a:off x="0" y="0"/>
                      <a:ext cx="6400800" cy="60325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-602615</wp:posOffset>
            </wp:positionV>
            <wp:extent cx="6400800" cy="622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extLst>
                    </a:blip>
                    <a:srcRect/>
                    <a:stretch>
                      <a:fillRect/>
                    </a:stretch>
                  </pic:blipFill>
                  <pic:spPr bwMode="auto">
                    <a:xfrm>
                      <a:off x="0" y="0"/>
                      <a:ext cx="6400800" cy="6223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Balance Sheet Components</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30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As of December 31, 2023, inventory consisted of finished goods of $18.8 million and work-in-progress and components of $1.4 million. As of December 31, 2022, inventory consisted of finished goods of $15.6 million and work-in-progress and components of $1.7 million.</w:t>
      </w:r>
    </w:p>
    <w:p>
      <w:pPr>
        <w:sectPr>
          <w:pgSz w:w="12240" w:h="15840" w:orient="portrait"/>
          <w:cols w:equalWidth="0" w:num="1">
            <w:col w:w="10800"/>
          </w:cols>
          <w:pgMar w:left="720" w:top="20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800"/>
          </w:cols>
          <w:pgMar w:left="720" w:top="201" w:right="720" w:bottom="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r>
        <w:rPr>
          <w:rFonts w:ascii="Times New Roman" w:cs="Times New Roman" w:eastAsia="Times New Roman" w:hAnsi="Times New Roman"/>
          <w:sz w:val="20"/>
          <w:szCs w:val="20"/>
          <w:color w:val="auto"/>
        </w:rPr>
        <w:t>:</w:t>
      </w:r>
    </w:p>
    <w:p>
      <w:pPr>
        <w:spacing w:after="0" w:line="32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9"/>
        </w:trPr>
        <w:tc>
          <w:tcPr>
            <w:tcW w:w="7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7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80" w:type="dxa"/>
            <w:vAlign w:val="bottom"/>
            <w:gridSpan w:val="4"/>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302"/>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Instrument trays</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18,205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13,092</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1,828</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7,854</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Computer and office equipment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976</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1,631</w:t>
            </w:r>
          </w:p>
        </w:tc>
      </w:tr>
      <w:tr>
        <w:trPr>
          <w:trHeight w:val="303"/>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w:t>
            </w:r>
          </w:p>
        </w:tc>
      </w:tr>
      <w:tr>
        <w:trPr>
          <w:trHeight w:val="277"/>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25,771</w:t>
            </w:r>
          </w:p>
        </w:tc>
      </w:tr>
      <w:tr>
        <w:trPr>
          <w:trHeight w:val="303"/>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(15,246)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(10,207)</w:t>
            </w:r>
          </w:p>
        </w:tc>
      </w:tr>
      <w:tr>
        <w:trPr>
          <w:trHeight w:val="260"/>
        </w:trPr>
        <w:tc>
          <w:tcPr>
            <w:tcW w:w="740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15,564</w:t>
            </w:r>
          </w:p>
        </w:tc>
      </w:tr>
      <w:tr>
        <w:trPr>
          <w:trHeight w:val="20"/>
        </w:trPr>
        <w:tc>
          <w:tcPr>
            <w:tcW w:w="7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-1745615</wp:posOffset>
            </wp:positionV>
            <wp:extent cx="6359525" cy="215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8">
                      <a:extLst>
                        <a:ext uri="{28A0092B-C50C-407E-A947-70E740481C1C}"/>
                      </a:extLst>
                    </a:blip>
                    <a:srcRect/>
                    <a:stretch>
                      <a:fillRect/>
                    </a:stretch>
                  </pic:blipFill>
                  <pic:spPr bwMode="auto">
                    <a:xfrm>
                      <a:off x="0" y="0"/>
                      <a:ext cx="6359525" cy="21590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-1364615</wp:posOffset>
            </wp:positionV>
            <wp:extent cx="6372225" cy="138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extLst>
                        <a:ext uri="{28A0092B-C50C-407E-A947-70E740481C1C}"/>
                      </a:extLst>
                    </a:blip>
                    <a:srcRect/>
                    <a:stretch>
                      <a:fillRect/>
                    </a:stretch>
                  </pic:blipFill>
                  <pic:spPr bwMode="auto">
                    <a:xfrm>
                      <a:off x="0" y="0"/>
                      <a:ext cx="6372225" cy="1384300"/>
                    </a:xfrm>
                    <a:prstGeom prst="rect">
                      <a:avLst/>
                    </a:prstGeom>
                    <a:noFill/>
                  </pic:spPr>
                </pic:pic>
              </a:graphicData>
            </a:graphic>
          </wp:anchor>
        </w:drawing>
      </w:r>
    </w:p>
    <w:p>
      <w:pPr>
        <w:spacing w:after="0" w:line="128"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As of December 31, 2023, construction in progress pertains to cost of individual components of a custom instrument set used for surgical placement of the Company's products that have not yet been placed into service of $3.5 million and software costs of $0.4 million. Depreciation expense was $5.4 million and $3.4 million for the years ended December 31, 2023 and 2022,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Accrued Liabilities and Other</w:t>
      </w:r>
      <w:r>
        <w:rPr>
          <w:rFonts w:ascii="Times New Roman" w:cs="Times New Roman" w:eastAsia="Times New Roman" w:hAnsi="Times New Roman"/>
          <w:sz w:val="20"/>
          <w:szCs w:val="20"/>
          <w:color w:val="auto"/>
        </w:rPr>
        <w:t>:</w:t>
      </w: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9"/>
        </w:trPr>
        <w:tc>
          <w:tcPr>
            <w:tcW w:w="7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7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80" w:type="dxa"/>
            <w:vAlign w:val="bottom"/>
            <w:gridSpan w:val="4"/>
          </w:tcPr>
          <w:p>
            <w:pPr>
              <w:jc w:val="right"/>
              <w:ind w:right="562"/>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302"/>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 and related expenses</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13,464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11,365</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Accrued royalty</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Accrued professional services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r>
      <w:tr>
        <w:trPr>
          <w:trHeight w:val="303"/>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Others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973</w:t>
            </w:r>
          </w:p>
        </w:tc>
      </w:tr>
      <w:tr>
        <w:trPr>
          <w:trHeight w:val="260"/>
        </w:trPr>
        <w:tc>
          <w:tcPr>
            <w:tcW w:w="740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17,452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13,511</w:t>
            </w:r>
          </w:p>
        </w:tc>
      </w:tr>
      <w:tr>
        <w:trPr>
          <w:trHeight w:val="20"/>
        </w:trPr>
        <w:tc>
          <w:tcPr>
            <w:tcW w:w="7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-983615</wp:posOffset>
            </wp:positionV>
            <wp:extent cx="6372225" cy="1003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extLst>
                        <a:ext uri="{28A0092B-C50C-407E-A947-70E740481C1C}"/>
                      </a:extLst>
                    </a:blip>
                    <a:srcRect/>
                    <a:stretch>
                      <a:fillRect/>
                    </a:stretch>
                  </pic:blipFill>
                  <pic:spPr bwMode="auto">
                    <a:xfrm>
                      <a:off x="0" y="0"/>
                      <a:ext cx="6372225" cy="10033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Commitments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199"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The Company has a non-cancelable operating lease for an office building space, located in Santa Clara, California which expires in May 2025 and a building used for research and development and warehouse space in Santa Clara, California which expires in October 2026. The Company also has a non-cancelable operating lease for its office building spaces in Gallarate, Italy which expires in August 2027.</w:t>
      </w:r>
    </w:p>
    <w:p>
      <w:pPr>
        <w:spacing w:after="0" w:line="143" w:lineRule="exact"/>
        <w:rPr>
          <w:sz w:val="20"/>
          <w:szCs w:val="20"/>
          <w:color w:val="auto"/>
        </w:rPr>
      </w:pPr>
    </w:p>
    <w:p>
      <w:pPr>
        <w:jc w:val="both"/>
        <w:ind w:firstLine="495"/>
        <w:spacing w:after="0" w:line="281" w:lineRule="auto"/>
        <w:rPr>
          <w:sz w:val="20"/>
          <w:szCs w:val="20"/>
          <w:color w:val="auto"/>
        </w:rPr>
      </w:pPr>
      <w:r>
        <w:rPr>
          <w:rFonts w:ascii="Times New Roman" w:cs="Times New Roman" w:eastAsia="Times New Roman" w:hAnsi="Times New Roman"/>
          <w:sz w:val="20"/>
          <w:szCs w:val="20"/>
          <w:color w:val="auto"/>
        </w:rPr>
        <w:t>The Company also leases vehicles under operating lease arrangements for certain of its personnel in Europe which expire at various times throughout 2022 to 2026.</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Supplemental information related to lease expense and valuation of the lease assets and lease liabilities are as follows:</w:t>
      </w:r>
    </w:p>
    <w:p>
      <w:pPr>
        <w:sectPr>
          <w:pgSz w:w="12240" w:h="15840" w:orient="portrait"/>
          <w:cols w:equalWidth="0" w:num="1">
            <w:col w:w="10800"/>
          </w:cols>
          <w:pgMar w:left="720" w:top="20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800"/>
          </w:cols>
          <w:pgMar w:left="720" w:top="201" w:right="720" w:bottom="0" w:gutter="0" w:footer="0" w:header="0"/>
          <w:type w:val="continuous"/>
        </w:sectPr>
      </w:pPr>
    </w:p>
    <w:bookmarkStart w:id="92" w:name="page93"/>
    <w:bookmarkEnd w:id="92"/>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4"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7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83"/>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7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5"/>
        </w:trPr>
        <w:tc>
          <w:tcPr>
            <w:tcW w:w="7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60" w:type="dxa"/>
            <w:vAlign w:val="bottom"/>
            <w:gridSpan w:val="4"/>
          </w:tcPr>
          <w:p>
            <w:pPr>
              <w:jc w:val="right"/>
              <w:ind w:right="78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302"/>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1,552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1,599</w:t>
            </w:r>
          </w:p>
        </w:tc>
        <w:tc>
          <w:tcPr>
            <w:tcW w:w="0" w:type="dxa"/>
            <w:vAlign w:val="bottom"/>
          </w:tcPr>
          <w:p>
            <w:pPr>
              <w:spacing w:after="0"/>
              <w:rPr>
                <w:sz w:val="1"/>
                <w:szCs w:val="1"/>
                <w:color w:val="auto"/>
              </w:rPr>
            </w:pPr>
          </w:p>
        </w:tc>
      </w:tr>
      <w:tr>
        <w:trPr>
          <w:trHeight w:val="303"/>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expense</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465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461</w:t>
            </w:r>
          </w:p>
        </w:tc>
        <w:tc>
          <w:tcPr>
            <w:tcW w:w="0" w:type="dxa"/>
            <w:vAlign w:val="bottom"/>
          </w:tcPr>
          <w:p>
            <w:pPr>
              <w:spacing w:after="0"/>
              <w:rPr>
                <w:sz w:val="1"/>
                <w:szCs w:val="1"/>
                <w:color w:val="auto"/>
              </w:rPr>
            </w:pPr>
          </w:p>
        </w:tc>
      </w:tr>
      <w:tr>
        <w:trPr>
          <w:trHeight w:val="260"/>
        </w:trPr>
        <w:tc>
          <w:tcPr>
            <w:tcW w:w="7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lease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2,017</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2,060</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operating lease liabilities</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12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1,632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1,600</w:t>
            </w:r>
          </w:p>
        </w:tc>
        <w:tc>
          <w:tcPr>
            <w:tcW w:w="0" w:type="dxa"/>
            <w:vAlign w:val="bottom"/>
          </w:tcPr>
          <w:p>
            <w:pPr>
              <w:spacing w:after="0"/>
              <w:rPr>
                <w:sz w:val="1"/>
                <w:szCs w:val="1"/>
                <w:color w:val="auto"/>
              </w:rPr>
            </w:pPr>
          </w:p>
        </w:tc>
      </w:tr>
      <w:tr>
        <w:trPr>
          <w:trHeight w:val="30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Leased assets obtained in exchange for new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127</w:t>
            </w:r>
          </w:p>
        </w:tc>
        <w:tc>
          <w:tcPr>
            <w:tcW w:w="0" w:type="dxa"/>
            <w:vAlign w:val="bottom"/>
          </w:tcPr>
          <w:p>
            <w:pPr>
              <w:spacing w:after="0"/>
              <w:rPr>
                <w:sz w:val="1"/>
                <w:szCs w:val="1"/>
                <w:color w:val="auto"/>
              </w:rPr>
            </w:pPr>
          </w:p>
        </w:tc>
      </w:tr>
      <w:tr>
        <w:trPr>
          <w:trHeight w:val="60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remaining lease term (in years)</w:t>
            </w:r>
          </w:p>
        </w:tc>
        <w:tc>
          <w:tcPr>
            <w:tcW w:w="180" w:type="dxa"/>
            <w:vAlign w:val="bottom"/>
          </w:tcPr>
          <w:p>
            <w:pPr>
              <w:spacing w:after="0"/>
              <w:rPr>
                <w:sz w:val="24"/>
                <w:szCs w:val="24"/>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2.20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3.05</w:t>
            </w:r>
          </w:p>
        </w:tc>
        <w:tc>
          <w:tcPr>
            <w:tcW w:w="0" w:type="dxa"/>
            <w:vAlign w:val="bottom"/>
          </w:tcPr>
          <w:p>
            <w:pPr>
              <w:spacing w:after="0"/>
              <w:rPr>
                <w:sz w:val="1"/>
                <w:szCs w:val="1"/>
                <w:color w:val="auto"/>
              </w:rPr>
            </w:pPr>
          </w:p>
        </w:tc>
      </w:tr>
      <w:tr>
        <w:trPr>
          <w:trHeight w:val="30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180" w:type="dxa"/>
            <w:vAlign w:val="bottom"/>
          </w:tcPr>
          <w:p>
            <w:pPr>
              <w:spacing w:after="0"/>
              <w:rPr>
                <w:sz w:val="24"/>
                <w:szCs w:val="24"/>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5.87%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-1908810</wp:posOffset>
            </wp:positionV>
            <wp:extent cx="6467475" cy="1930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extLst>
                    </a:blip>
                    <a:srcRect/>
                    <a:stretch>
                      <a:fillRect/>
                    </a:stretch>
                  </pic:blipFill>
                  <pic:spPr bwMode="auto">
                    <a:xfrm>
                      <a:off x="0" y="0"/>
                      <a:ext cx="6467475" cy="19304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Future minimum lease payments under non-cancelable operating leases as of December 31, 2023 was as follows:</w:t>
      </w:r>
    </w:p>
    <w:p>
      <w:pPr>
        <w:spacing w:after="0" w:line="302" w:lineRule="exact"/>
        <w:rPr>
          <w:sz w:val="20"/>
          <w:szCs w:val="20"/>
          <w:color w:val="auto"/>
        </w:rPr>
      </w:pPr>
    </w:p>
    <w:tbl>
      <w:tblPr>
        <w:tblLayout w:type="fixed"/>
        <w:tblInd w:w="540" w:type="dxa"/>
        <w:tblCellMar>
          <w:top w:w="0" w:type="dxa"/>
          <w:left w:w="0" w:type="dxa"/>
          <w:bottom w:w="0" w:type="dxa"/>
          <w:right w:w="0" w:type="dxa"/>
        </w:tblCellMar>
      </w:tblPr>
      <w:tr>
        <w:trPr>
          <w:trHeight w:val="264"/>
        </w:trPr>
        <w:tc>
          <w:tcPr>
            <w:tcW w:w="76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Year Ending December 31,</w:t>
            </w:r>
          </w:p>
        </w:tc>
        <w:tc>
          <w:tcPr>
            <w:tcW w:w="20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302"/>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w:t>
            </w:r>
          </w:p>
        </w:tc>
      </w:tr>
      <w:tr>
        <w:trPr>
          <w:trHeight w:val="30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w:t>
            </w:r>
          </w:p>
        </w:tc>
      </w:tr>
      <w:tr>
        <w:trPr>
          <w:trHeight w:val="30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w:t>
            </w:r>
          </w:p>
        </w:tc>
      </w:tr>
      <w:tr>
        <w:trPr>
          <w:trHeight w:val="30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30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lease payments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3,118</w:t>
            </w:r>
          </w:p>
        </w:tc>
      </w:tr>
      <w:tr>
        <w:trPr>
          <w:trHeight w:val="28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r>
      <w:tr>
        <w:trPr>
          <w:trHeight w:val="26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2,927</w:t>
            </w: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-1745615</wp:posOffset>
            </wp:positionV>
            <wp:extent cx="5857875" cy="1930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extLst>
                        <a:ext uri="{28A0092B-C50C-407E-A947-70E740481C1C}"/>
                      </a:extLst>
                    </a:blip>
                    <a:srcRect/>
                    <a:stretch>
                      <a:fillRect/>
                    </a:stretch>
                  </pic:blipFill>
                  <pic:spPr bwMode="auto">
                    <a:xfrm>
                      <a:off x="0" y="0"/>
                      <a:ext cx="5857875" cy="193040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2023, the Company had no operating lease liabilities that had not commenced.</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Purchase Commitments and Obligations</w:t>
      </w:r>
    </w:p>
    <w:p>
      <w:pPr>
        <w:spacing w:after="0" w:line="199" w:lineRule="exact"/>
        <w:rPr>
          <w:sz w:val="20"/>
          <w:szCs w:val="20"/>
          <w:color w:val="auto"/>
        </w:rPr>
      </w:pPr>
    </w:p>
    <w:p>
      <w:pPr>
        <w:jc w:val="both"/>
        <w:ind w:right="40" w:firstLine="495"/>
        <w:spacing w:after="0" w:line="258" w:lineRule="auto"/>
        <w:rPr>
          <w:sz w:val="20"/>
          <w:szCs w:val="20"/>
          <w:color w:val="auto"/>
        </w:rPr>
      </w:pPr>
      <w:r>
        <w:rPr>
          <w:rFonts w:ascii="Times New Roman" w:cs="Times New Roman" w:eastAsia="Times New Roman" w:hAnsi="Times New Roman"/>
          <w:sz w:val="20"/>
          <w:szCs w:val="20"/>
          <w:color w:val="auto"/>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$0.4 million and $0.8 million as of December 31, 2023 and 2022, respectively.</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Indemnification</w:t>
      </w:r>
    </w:p>
    <w:p>
      <w:pPr>
        <w:spacing w:after="0" w:line="199" w:lineRule="exact"/>
        <w:rPr>
          <w:sz w:val="20"/>
          <w:szCs w:val="20"/>
          <w:color w:val="auto"/>
        </w:rPr>
      </w:pPr>
    </w:p>
    <w:p>
      <w:pPr>
        <w:jc w:val="both"/>
        <w:ind w:right="40" w:firstLine="495"/>
        <w:spacing w:after="0" w:line="256" w:lineRule="auto"/>
        <w:rPr>
          <w:sz w:val="20"/>
          <w:szCs w:val="20"/>
          <w:color w:val="auto"/>
        </w:rPr>
      </w:pPr>
      <w:r>
        <w:rPr>
          <w:rFonts w:ascii="Times New Roman" w:cs="Times New Roman" w:eastAsia="Times New Roman" w:hAnsi="Times New Roman"/>
          <w:sz w:val="20"/>
          <w:szCs w:val="20"/>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256" w:lineRule="exact"/>
        <w:rPr>
          <w:sz w:val="20"/>
          <w:szCs w:val="20"/>
          <w:color w:val="auto"/>
        </w:rPr>
      </w:pPr>
    </w:p>
    <w:p>
      <w:pPr>
        <w:jc w:val="both"/>
        <w:ind w:right="40" w:firstLine="495"/>
        <w:spacing w:after="0" w:line="266" w:lineRule="auto"/>
        <w:rPr>
          <w:sz w:val="20"/>
          <w:szCs w:val="20"/>
          <w:color w:val="auto"/>
        </w:rPr>
      </w:pPr>
      <w:r>
        <w:rPr>
          <w:rFonts w:ascii="Times New Roman" w:cs="Times New Roman" w:eastAsia="Times New Roman" w:hAnsi="Times New Roman"/>
          <w:sz w:val="20"/>
          <w:szCs w:val="20"/>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95" w:lineRule="exact"/>
        <w:rPr>
          <w:sz w:val="20"/>
          <w:szCs w:val="20"/>
          <w:color w:val="auto"/>
        </w:rPr>
      </w:pPr>
    </w:p>
    <w:p>
      <w:pPr>
        <w:jc w:val="both"/>
        <w:ind w:right="40" w:firstLine="540"/>
        <w:spacing w:after="0" w:line="281" w:lineRule="auto"/>
        <w:rPr>
          <w:sz w:val="20"/>
          <w:szCs w:val="20"/>
          <w:color w:val="auto"/>
        </w:rPr>
      </w:pPr>
      <w:r>
        <w:rPr>
          <w:rFonts w:ascii="Times New Roman" w:cs="Times New Roman" w:eastAsia="Times New Roman" w:hAnsi="Times New Roman"/>
          <w:sz w:val="20"/>
          <w:szCs w:val="20"/>
          <w:color w:val="auto"/>
        </w:rPr>
        <w:t>The Company has not incurred costs to defend lawsuits or settle claims related to these indemnification agreements. No liability associated with such indemnifications has been recorded to date.</w:t>
      </w:r>
    </w:p>
    <w:p>
      <w:pPr>
        <w:sectPr>
          <w:pgSz w:w="12240" w:h="15840" w:orient="portrait"/>
          <w:cols w:equalWidth="0" w:num="1">
            <w:col w:w="10840"/>
          </w:cols>
          <w:pgMar w:left="720" w:top="201" w:right="680" w:bottom="0" w:gutter="0" w:footer="0" w:header="0"/>
        </w:sectPr>
      </w:pPr>
    </w:p>
    <w:p>
      <w:pPr>
        <w:spacing w:after="0" w:line="1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840"/>
          </w:cols>
          <w:pgMar w:left="720" w:top="201" w:right="680" w:bottom="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Legal Contingencies</w:t>
      </w:r>
    </w:p>
    <w:p>
      <w:pPr>
        <w:spacing w:after="0" w:line="199"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w:t>
      </w:r>
    </w:p>
    <w:p>
      <w:pPr>
        <w:spacing w:after="0" w:line="128" w:lineRule="exact"/>
        <w:rPr>
          <w:sz w:val="20"/>
          <w:szCs w:val="20"/>
          <w:color w:val="auto"/>
        </w:rPr>
      </w:pPr>
    </w:p>
    <w:p>
      <w:pPr>
        <w:ind w:left="540" w:right="9340" w:hanging="540"/>
        <w:spacing w:after="0" w:line="531" w:lineRule="auto"/>
        <w:tabs>
          <w:tab w:leader="none" w:pos="200"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Borrowings </w:t>
      </w:r>
      <w:r>
        <w:rPr>
          <w:rFonts w:ascii="Times New Roman" w:cs="Times New Roman" w:eastAsia="Times New Roman" w:hAnsi="Times New Roman"/>
          <w:sz w:val="19"/>
          <w:szCs w:val="19"/>
          <w:b w:val="1"/>
          <w:bCs w:val="1"/>
          <w:i w:val="1"/>
          <w:iCs w:val="1"/>
          <w:color w:val="auto"/>
        </w:rPr>
        <w:t>Term Loan</w:t>
      </w:r>
    </w:p>
    <w:p>
      <w:pPr>
        <w:ind w:left="5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The following table summarizes the outstanding borrowings from the term loan as of the periods presented:</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7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5"/>
        </w:trPr>
        <w:tc>
          <w:tcPr>
            <w:tcW w:w="7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80" w:type="dxa"/>
            <w:vAlign w:val="bottom"/>
            <w:gridSpan w:val="4"/>
          </w:tcPr>
          <w:p>
            <w:pPr>
              <w:jc w:val="right"/>
              <w:ind w:right="56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302"/>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Principal outstanding and final fee</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36,720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35,700</w:t>
            </w:r>
          </w:p>
        </w:tc>
        <w:tc>
          <w:tcPr>
            <w:tcW w:w="0" w:type="dxa"/>
            <w:vAlign w:val="bottom"/>
          </w:tcPr>
          <w:p>
            <w:pPr>
              <w:spacing w:after="0"/>
              <w:rPr>
                <w:sz w:val="1"/>
                <w:szCs w:val="1"/>
                <w:color w:val="auto"/>
              </w:rPr>
            </w:pP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Less: Unamortized debt issuance costs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303"/>
        </w:trPr>
        <w:tc>
          <w:tcPr>
            <w:tcW w:w="74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Unaccreted value of final fee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0" w:type="dxa"/>
            <w:vAlign w:val="bottom"/>
          </w:tcPr>
          <w:p>
            <w:pPr>
              <w:spacing w:after="0"/>
              <w:rPr>
                <w:sz w:val="1"/>
                <w:szCs w:val="1"/>
                <w:color w:val="auto"/>
              </w:rPr>
            </w:pPr>
          </w:p>
        </w:tc>
      </w:tr>
      <w:tr>
        <w:trPr>
          <w:trHeight w:val="26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debt, net of debt issuance costs and unaccreted value of final fee</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36,065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35,171</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Classified as: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74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Long-term borrowings</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36,065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35,171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-1174115</wp:posOffset>
            </wp:positionV>
            <wp:extent cx="6372225" cy="1193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a:extLst>
                        <a:ext uri="{28A0092B-C50C-407E-A947-70E740481C1C}"/>
                      </a:extLst>
                    </a:blip>
                    <a:srcRect/>
                    <a:stretch>
                      <a:fillRect/>
                    </a:stretch>
                  </pic:blipFill>
                  <pic:spPr bwMode="auto">
                    <a:xfrm>
                      <a:off x="0" y="0"/>
                      <a:ext cx="6372225" cy="1193800"/>
                    </a:xfrm>
                    <a:prstGeom prst="rect">
                      <a:avLst/>
                    </a:prstGeom>
                    <a:noFill/>
                  </pic:spPr>
                </pic:pic>
              </a:graphicData>
            </a:graphic>
          </wp:anchor>
        </w:drawing>
      </w:r>
    </w:p>
    <w:p>
      <w:pPr>
        <w:spacing w:after="0" w:line="168"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The outstanding debt is related to a term loan pursuant to the Loan and Security Agreement dated August 12, 2021 entered into by the Company with Silicon Valley Bank (“SVB”). Pursuant the agreement, SVB provided a term loan in the aggregate principal amount of $35.0 million to the Company (the “Original Term Loan”).</w:t>
      </w:r>
    </w:p>
    <w:p>
      <w:pPr>
        <w:spacing w:after="0" w:line="367" w:lineRule="exact"/>
        <w:rPr>
          <w:sz w:val="20"/>
          <w:szCs w:val="20"/>
          <w:color w:val="auto"/>
        </w:rPr>
      </w:pPr>
    </w:p>
    <w:p>
      <w:pPr>
        <w:jc w:val="both"/>
        <w:ind w:firstLine="495"/>
        <w:spacing w:after="0" w:line="239" w:lineRule="auto"/>
        <w:rPr>
          <w:sz w:val="20"/>
          <w:szCs w:val="20"/>
          <w:color w:val="auto"/>
        </w:rPr>
      </w:pPr>
      <w:r>
        <w:rPr>
          <w:rFonts w:ascii="Times New Roman" w:cs="Times New Roman" w:eastAsia="Times New Roman" w:hAnsi="Times New Roman"/>
          <w:sz w:val="20"/>
          <w:szCs w:val="20"/>
          <w:color w:val="auto"/>
        </w:rPr>
        <w:t>On January 6, 2023, the Company entered into a First Amendment to Loan and Security Agreement (the “Amendment”) with SVB, which amended the Company's Original Term Loan pursuant to which the Company had a new term loan facility in an aggregate principal amount of $35.0 million (the “Original Loan Agreement” and with the Amendment, collectively the “Amended Loan Agreement”). Upon entry into the Amended Loan Agreement, the Company borrowed $36.0 million pursuant to a term loan (the "Term Loan"), which was substantially used to repay in full the $35.0 million term loan facility outstanding under the Original Loan Agreement and secured a revolving credit facility in an aggregate principal amount of up to $15.0 million (the “Revolving Line”). On March 14, 2023 all of SVB’s assets and liabilities, including all of SVB’s rights as the lender pursuant to the Amended</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Loan Agreement, were assigned to Silicon Valley Bridge Bank. On March 27, 2023, all of Silicon Valley Bridge Bank’s assets and liabilities were assigned and assumed by First-Citizens Bank &amp; Trust Company (“First-Citizens”). The Amended Loan Agreement also includes an uncommitted accordion term loan in an aggregate principal amount of up to $15.0 million, which accordion may be approved by First-Citizens solely in its discretion, upon the Company’s request. The Term Loan matures on December 1, 2027 (the “Term Loan Maturity Date”). Interest on the Term Loan will be payable monthly at a floating annual rate set at the greater of the prime rate as published in the Wall Street Journal plus 0.5% or 6.75%. Commencing on July 1, 2025, the Company will be required to make monthly principal Term Loan amortization payments. A final fee payment of 2% of the original principal amount of the Term Loan is due upon the earlier of the Term Loan Maturity Date, termination, acceleration by First-Citizens following an event of default, or prepayment of the Term Loan. The Company may elect to prepay the Term Loan in whole prior to the Term Loan Maturity Date subject to a prepayment fee equal to 2% of the principal amount of the Term Loan prepaid at such time. No prepayment fee would be due if the Term Loan is refinanced by First-Citizens. Pursuant to the terms of the Amended Loan Agreement, revolving loans may be borrowed, repaid and reborrowed until the maturity date, which will be July 6, 2025 (the “Revolving Line Maturity Date”). Borrowings under the Revolving Line are based on 80% of eligible domestic accounts receivable borrowing base. Interest on the outstanding balance of the Revolving Line will be payable monthly at a floating annual rate set at the greater of the prime rate as published in the Wall Street Journal or 6.25%. Interest on borrowings is due monthly and any principal balance is due on the Revolving Line Maturity Date, provided that when Revolving Line Advances are outstanding, in the event the Company does not maintain an adjusted quick ratio of at least 1.5 to 1.0, then falling below such threshold will allow First-Citizens to apply accounts receivable collections to outstanding Revolving Line borrowings. The Company will pay a total commitment fee of $187,500 on account of the Revolving Line payable in installments, but fully earned at close. The Company will also be required to pay a fee of $150,000 if it terminates the Amended Loan Agreement or Revolving Line prior to Revolving Line Maturity Date, or if First-Citizens terminates the Loan Agreement or the Revolving Line following an event of default. No termination fee would be due if the Revolving Line is replaced with a new facility with First-Citizens. No amounts were outstanding under the Revolving Line as of December 31, 2023.</w:t>
      </w:r>
    </w:p>
    <w:p>
      <w:pPr>
        <w:spacing w:after="0" w:line="161" w:lineRule="exact"/>
        <w:rPr>
          <w:sz w:val="20"/>
          <w:szCs w:val="20"/>
          <w:color w:val="auto"/>
        </w:rPr>
      </w:pPr>
    </w:p>
    <w:p>
      <w:pPr>
        <w:jc w:val="both"/>
        <w:ind w:firstLine="495"/>
        <w:spacing w:after="0" w:line="262" w:lineRule="auto"/>
        <w:rPr>
          <w:sz w:val="20"/>
          <w:szCs w:val="20"/>
          <w:color w:val="auto"/>
        </w:rPr>
      </w:pPr>
      <w:r>
        <w:rPr>
          <w:rFonts w:ascii="Times New Roman" w:cs="Times New Roman" w:eastAsia="Times New Roman" w:hAnsi="Times New Roman"/>
          <w:sz w:val="20"/>
          <w:szCs w:val="20"/>
          <w:color w:val="auto"/>
        </w:rPr>
        <w:t>The Company accounted for the Amended Loan Agreement as a debt modification. Accordingly, the remaining unamortized debt issuance costs related to the Original Loan Agreement together with any lender fees incurred in connection with the entry of the</w:t>
      </w: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800"/>
          </w:cols>
          <w:pgMar w:left="720" w:top="201" w:right="720" w:bottom="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Amended Loan Agreement are amortized to interest expense using the straight-line method over the new term of the loan through December 2027.</w:t>
      </w:r>
    </w:p>
    <w:p>
      <w:pPr>
        <w:spacing w:after="0" w:line="81" w:lineRule="exact"/>
        <w:rPr>
          <w:sz w:val="20"/>
          <w:szCs w:val="20"/>
          <w:color w:val="auto"/>
        </w:rPr>
      </w:pPr>
    </w:p>
    <w:p>
      <w:pPr>
        <w:jc w:val="both"/>
        <w:ind w:firstLine="450"/>
        <w:spacing w:after="0" w:line="271" w:lineRule="auto"/>
        <w:rPr>
          <w:sz w:val="20"/>
          <w:szCs w:val="20"/>
          <w:color w:val="auto"/>
        </w:rPr>
      </w:pPr>
      <w:r>
        <w:rPr>
          <w:rFonts w:ascii="Times New Roman" w:cs="Times New Roman" w:eastAsia="Times New Roman" w:hAnsi="Times New Roman"/>
          <w:sz w:val="20"/>
          <w:szCs w:val="20"/>
          <w:color w:val="auto"/>
        </w:rPr>
        <w:t>The effective interest rate related to the First-Citizens Term Loan for the the years ended December 31, 2023 was 9.0%. The effective interest rate related to the Original Term Loan was 7.8% for the year ended December 31, 2022.</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table below summarizes the future principal and final fee payments under the Term Loan as of December 31, 2023:</w:t>
      </w:r>
    </w:p>
    <w:p>
      <w:pPr>
        <w:spacing w:after="0" w:line="298" w:lineRule="exact"/>
        <w:rPr>
          <w:sz w:val="20"/>
          <w:szCs w:val="20"/>
          <w:color w:val="auto"/>
        </w:rPr>
      </w:pPr>
    </w:p>
    <w:tbl>
      <w:tblPr>
        <w:tblLayout w:type="fixed"/>
        <w:tblInd w:w="1020" w:type="dxa"/>
        <w:tblCellMar>
          <w:top w:w="0" w:type="dxa"/>
          <w:left w:w="0" w:type="dxa"/>
          <w:bottom w:w="0" w:type="dxa"/>
          <w:right w:w="0" w:type="dxa"/>
        </w:tblCellMar>
      </w:tblPr>
      <w:tr>
        <w:trPr>
          <w:trHeight w:val="279"/>
        </w:trPr>
        <w:tc>
          <w:tcPr>
            <w:tcW w:w="7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Year ending December 31,</w:t>
            </w:r>
          </w:p>
        </w:tc>
        <w:tc>
          <w:tcPr>
            <w:tcW w:w="160" w:type="dxa"/>
            <w:vAlign w:val="bottom"/>
          </w:tcPr>
          <w:p>
            <w:pPr>
              <w:spacing w:after="0"/>
              <w:rPr>
                <w:sz w:val="24"/>
                <w:szCs w:val="24"/>
                <w:color w:val="auto"/>
              </w:rPr>
            </w:pP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302"/>
        </w:trPr>
        <w:tc>
          <w:tcPr>
            <w:tcW w:w="7420" w:type="dxa"/>
            <w:vAlign w:val="bottom"/>
          </w:tcPr>
          <w:p>
            <w:pPr>
              <w:jc w:val="right"/>
              <w:ind w:right="6740"/>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420" w:type="dxa"/>
            <w:vAlign w:val="bottom"/>
          </w:tcPr>
          <w:p>
            <w:pPr>
              <w:jc w:val="right"/>
              <w:ind w:right="6740"/>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8,400</w:t>
            </w:r>
          </w:p>
        </w:tc>
      </w:tr>
      <w:tr>
        <w:trPr>
          <w:trHeight w:val="300"/>
        </w:trPr>
        <w:tc>
          <w:tcPr>
            <w:tcW w:w="7420" w:type="dxa"/>
            <w:vAlign w:val="bottom"/>
          </w:tcPr>
          <w:p>
            <w:pPr>
              <w:jc w:val="right"/>
              <w:ind w:right="6740"/>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14,400</w:t>
            </w:r>
          </w:p>
        </w:tc>
      </w:tr>
      <w:tr>
        <w:trPr>
          <w:trHeight w:val="300"/>
        </w:trPr>
        <w:tc>
          <w:tcPr>
            <w:tcW w:w="7420" w:type="dxa"/>
            <w:vAlign w:val="bottom"/>
          </w:tcPr>
          <w:p>
            <w:pPr>
              <w:jc w:val="right"/>
              <w:ind w:right="6740"/>
              <w:spacing w:after="0"/>
              <w:rPr>
                <w:sz w:val="20"/>
                <w:szCs w:val="20"/>
                <w:color w:val="auto"/>
              </w:rPr>
            </w:pPr>
            <w:r>
              <w:rPr>
                <w:rFonts w:ascii="Times New Roman" w:cs="Times New Roman" w:eastAsia="Times New Roman" w:hAnsi="Times New Roman"/>
                <w:sz w:val="20"/>
                <w:szCs w:val="20"/>
                <w:color w:val="auto"/>
              </w:rPr>
              <w:t>2027</w:t>
            </w:r>
          </w:p>
        </w:tc>
        <w:tc>
          <w:tcPr>
            <w:tcW w:w="1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13,920</w:t>
            </w:r>
          </w:p>
        </w:tc>
      </w:tr>
      <w:tr>
        <w:trPr>
          <w:trHeight w:val="303"/>
        </w:trPr>
        <w:tc>
          <w:tcPr>
            <w:tcW w:w="7420" w:type="dxa"/>
            <w:vAlign w:val="bottom"/>
          </w:tcPr>
          <w:p>
            <w:pPr>
              <w:jc w:val="right"/>
              <w:ind w:right="6740"/>
              <w:spacing w:after="0"/>
              <w:rPr>
                <w:sz w:val="20"/>
                <w:szCs w:val="20"/>
                <w:color w:val="auto"/>
              </w:rPr>
            </w:pPr>
            <w:r>
              <w:rPr>
                <w:rFonts w:ascii="Times New Roman" w:cs="Times New Roman" w:eastAsia="Times New Roman" w:hAnsi="Times New Roman"/>
                <w:sz w:val="20"/>
                <w:szCs w:val="20"/>
                <w:color w:val="auto"/>
              </w:rPr>
              <w:t>2028</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Total principal and final fee payments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36,720</w:t>
            </w:r>
          </w:p>
        </w:tc>
      </w:tr>
      <w:tr>
        <w:trPr>
          <w:trHeight w:val="20"/>
        </w:trPr>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-1174115</wp:posOffset>
            </wp:positionV>
            <wp:extent cx="5715000" cy="1193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4">
                      <a:extLst>
                        <a:ext uri="{28A0092B-C50C-407E-A947-70E740481C1C}"/>
                      </a:extLst>
                    </a:blip>
                    <a:srcRect/>
                    <a:stretch>
                      <a:fillRect/>
                    </a:stretch>
                  </pic:blipFill>
                  <pic:spPr bwMode="auto">
                    <a:xfrm>
                      <a:off x="0" y="0"/>
                      <a:ext cx="5715000" cy="1193800"/>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Term Loan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December 31, 2023, the Company was in compliance with all debt covenants.</w:t>
      </w:r>
    </w:p>
    <w:p>
      <w:pPr>
        <w:spacing w:after="0" w:line="207" w:lineRule="exact"/>
        <w:rPr>
          <w:sz w:val="20"/>
          <w:szCs w:val="20"/>
          <w:color w:val="auto"/>
        </w:rPr>
      </w:pPr>
    </w:p>
    <w:p>
      <w:pPr>
        <w:jc w:val="both"/>
        <w:ind w:firstLine="720"/>
        <w:spacing w:after="0" w:line="271" w:lineRule="auto"/>
        <w:rPr>
          <w:sz w:val="20"/>
          <w:szCs w:val="20"/>
          <w:color w:val="auto"/>
        </w:rPr>
      </w:pPr>
      <w:r>
        <w:rPr>
          <w:rFonts w:ascii="Times New Roman" w:cs="Times New Roman" w:eastAsia="Times New Roman" w:hAnsi="Times New Roman"/>
          <w:sz w:val="20"/>
          <w:szCs w:val="20"/>
          <w:color w:val="auto"/>
        </w:rPr>
        <w:t>In January 2023, the Company's outstanding amount under the Original Term Loan was refinanced on a long-term basis and was accordingly classified as term note, non-current as of December 31,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Warrants</w:t>
      </w:r>
    </w:p>
    <w:p>
      <w:pPr>
        <w:spacing w:after="0" w:line="13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During the three months ended June 30, 2023, a warrant holder exercised warrants, and the Company issued 22,603 net shares of common stock through a cashless exercise of the warrants in accordance with the conversion terms. The table below summarizes common stock warrants issued and outstanding at December 31, 2023 and 2022:</w:t>
      </w:r>
    </w:p>
    <w:p>
      <w:pPr>
        <w:spacing w:after="0" w:line="27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0" w:type="dxa"/>
            <w:vAlign w:val="bottom"/>
          </w:tcPr>
          <w:p>
            <w:pPr>
              <w:spacing w:after="0"/>
              <w:rPr>
                <w:sz w:val="1"/>
                <w:szCs w:val="1"/>
                <w:color w:val="auto"/>
              </w:rPr>
            </w:pPr>
          </w:p>
        </w:tc>
      </w:tr>
      <w:tr>
        <w:trPr>
          <w:trHeight w:val="59"/>
        </w:trPr>
        <w:tc>
          <w:tcPr>
            <w:tcW w:w="10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2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80" w:type="dxa"/>
            <w:vAlign w:val="bottom"/>
            <w:vMerge w:val="restart"/>
          </w:tcPr>
          <w:p>
            <w:pPr>
              <w:spacing w:after="0"/>
              <w:rPr>
                <w:sz w:val="5"/>
                <w:szCs w:val="5"/>
                <w:color w:val="auto"/>
              </w:rPr>
            </w:pPr>
          </w:p>
        </w:tc>
        <w:tc>
          <w:tcPr>
            <w:tcW w:w="12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Price per</w:t>
            </w:r>
          </w:p>
        </w:tc>
        <w:tc>
          <w:tcPr>
            <w:tcW w:w="60" w:type="dxa"/>
            <w:vAlign w:val="bottom"/>
            <w:vMerge w:val="restart"/>
          </w:tcPr>
          <w:p>
            <w:pPr>
              <w:spacing w:after="0"/>
              <w:rPr>
                <w:sz w:val="5"/>
                <w:szCs w:val="5"/>
                <w:color w:val="auto"/>
              </w:rPr>
            </w:pPr>
          </w:p>
        </w:tc>
        <w:tc>
          <w:tcPr>
            <w:tcW w:w="1240" w:type="dxa"/>
            <w:vAlign w:val="bottom"/>
            <w:vMerge w:val="restart"/>
          </w:tcPr>
          <w:p>
            <w:pPr>
              <w:ind w:left="240"/>
              <w:spacing w:after="0" w:line="135" w:lineRule="exact"/>
              <w:rPr>
                <w:sz w:val="20"/>
                <w:szCs w:val="20"/>
                <w:color w:val="auto"/>
              </w:rPr>
            </w:pPr>
            <w:r>
              <w:rPr>
                <w:rFonts w:ascii="Times New Roman" w:cs="Times New Roman" w:eastAsia="Times New Roman" w:hAnsi="Times New Roman"/>
                <w:sz w:val="15"/>
                <w:szCs w:val="15"/>
                <w:b w:val="1"/>
                <w:bCs w:val="1"/>
                <w:color w:val="auto"/>
              </w:rPr>
              <w:t>Warrants</w:t>
            </w:r>
          </w:p>
        </w:tc>
        <w:tc>
          <w:tcPr>
            <w:tcW w:w="60" w:type="dxa"/>
            <w:vAlign w:val="bottom"/>
            <w:vMerge w:val="restart"/>
          </w:tcPr>
          <w:p>
            <w:pPr>
              <w:spacing w:after="0"/>
              <w:rPr>
                <w:sz w:val="5"/>
                <w:szCs w:val="5"/>
                <w:color w:val="auto"/>
              </w:rPr>
            </w:pPr>
          </w:p>
        </w:tc>
        <w:tc>
          <w:tcPr>
            <w:tcW w:w="1220" w:type="dxa"/>
            <w:vAlign w:val="bottom"/>
            <w:vMerge w:val="restart"/>
          </w:tcPr>
          <w:p>
            <w:pPr>
              <w:jc w:val="right"/>
              <w:ind w:right="185"/>
              <w:spacing w:after="0" w:line="135" w:lineRule="exact"/>
              <w:rPr>
                <w:sz w:val="20"/>
                <w:szCs w:val="20"/>
                <w:color w:val="auto"/>
              </w:rPr>
            </w:pPr>
            <w:r>
              <w:rPr>
                <w:rFonts w:ascii="Times New Roman" w:cs="Times New Roman" w:eastAsia="Times New Roman" w:hAnsi="Times New Roman"/>
                <w:sz w:val="15"/>
                <w:szCs w:val="15"/>
                <w:b w:val="1"/>
                <w:bCs w:val="1"/>
                <w:color w:val="auto"/>
              </w:rPr>
              <w:t>Warrant</w:t>
            </w:r>
          </w:p>
        </w:tc>
        <w:tc>
          <w:tcPr>
            <w:tcW w:w="60" w:type="dxa"/>
            <w:vAlign w:val="bottom"/>
            <w:vMerge w:val="restart"/>
          </w:tcPr>
          <w:p>
            <w:pPr>
              <w:spacing w:after="0"/>
              <w:rPr>
                <w:sz w:val="5"/>
                <w:szCs w:val="5"/>
                <w:color w:val="auto"/>
              </w:rPr>
            </w:pPr>
          </w:p>
        </w:tc>
        <w:tc>
          <w:tcPr>
            <w:tcW w:w="1280" w:type="dxa"/>
            <w:vAlign w:val="bottom"/>
            <w:vMerge w:val="restart"/>
          </w:tcPr>
          <w:p>
            <w:pPr>
              <w:ind w:left="300"/>
              <w:spacing w:after="0" w:line="135" w:lineRule="exact"/>
              <w:rPr>
                <w:sz w:val="20"/>
                <w:szCs w:val="20"/>
                <w:color w:val="auto"/>
              </w:rPr>
            </w:pPr>
            <w:r>
              <w:rPr>
                <w:rFonts w:ascii="Times New Roman" w:cs="Times New Roman" w:eastAsia="Times New Roman" w:hAnsi="Times New Roman"/>
                <w:sz w:val="15"/>
                <w:szCs w:val="15"/>
                <w:b w:val="1"/>
                <w:bCs w:val="1"/>
                <w:color w:val="auto"/>
              </w:rPr>
              <w:t>Warrant</w:t>
            </w:r>
          </w:p>
        </w:tc>
        <w:tc>
          <w:tcPr>
            <w:tcW w:w="60" w:type="dxa"/>
            <w:vAlign w:val="bottom"/>
            <w:vMerge w:val="restart"/>
          </w:tcPr>
          <w:p>
            <w:pPr>
              <w:spacing w:after="0"/>
              <w:rPr>
                <w:sz w:val="5"/>
                <w:szCs w:val="5"/>
                <w:color w:val="auto"/>
              </w:rPr>
            </w:pPr>
          </w:p>
        </w:tc>
        <w:tc>
          <w:tcPr>
            <w:tcW w:w="12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56"/>
        </w:trPr>
        <w:tc>
          <w:tcPr>
            <w:tcW w:w="1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Issuance</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0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60" w:type="dxa"/>
            <w:vAlign w:val="bottom"/>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Expired</w:t>
            </w:r>
          </w:p>
        </w:tc>
        <w:tc>
          <w:tcPr>
            <w:tcW w:w="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7"/>
        </w:trPr>
        <w:tc>
          <w:tcPr>
            <w:tcW w:w="106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rPr>
              <w:t>3/1/2017</w:t>
            </w:r>
          </w:p>
        </w:tc>
        <w:tc>
          <w:tcPr>
            <w:tcW w:w="142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auto"/>
              </w:rPr>
              <w:t>3/1/2027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1,388</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$5.94</w:t>
            </w:r>
          </w:p>
        </w:tc>
        <w:tc>
          <w:tcPr>
            <w:tcW w:w="6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1,388</w:t>
            </w:r>
          </w:p>
        </w:tc>
        <w:tc>
          <w:tcPr>
            <w:tcW w:w="0" w:type="dxa"/>
            <w:vAlign w:val="bottom"/>
          </w:tcPr>
          <w:p>
            <w:pPr>
              <w:spacing w:after="0"/>
              <w:rPr>
                <w:sz w:val="1"/>
                <w:szCs w:val="1"/>
                <w:color w:val="auto"/>
              </w:rPr>
            </w:pPr>
          </w:p>
        </w:tc>
      </w:tr>
      <w:tr>
        <w:trPr>
          <w:trHeight w:val="300"/>
        </w:trPr>
        <w:tc>
          <w:tcPr>
            <w:tcW w:w="106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rPr>
              <w:t>7/22/2013</w:t>
            </w:r>
          </w:p>
        </w:tc>
        <w:tc>
          <w:tcPr>
            <w:tcW w:w="142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auto"/>
                <w:w w:val="98"/>
              </w:rPr>
              <w:t>7/22/2023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32,983</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$9.10</w:t>
            </w:r>
          </w:p>
        </w:tc>
        <w:tc>
          <w:tcPr>
            <w:tcW w:w="6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(32,983)</w:t>
            </w:r>
          </w:p>
        </w:tc>
        <w:tc>
          <w:tcPr>
            <w:tcW w:w="60" w:type="dxa"/>
            <w:vAlign w:val="bottom"/>
          </w:tcPr>
          <w:p>
            <w:pPr>
              <w:spacing w:after="0"/>
              <w:rPr>
                <w:sz w:val="24"/>
                <w:szCs w:val="24"/>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5"/>
        </w:trPr>
        <w:tc>
          <w:tcPr>
            <w:tcW w:w="106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rPr>
              <w:t>11/26/2014</w:t>
            </w:r>
          </w:p>
        </w:tc>
        <w:tc>
          <w:tcPr>
            <w:tcW w:w="142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auto"/>
              </w:rPr>
              <w:t>11/26/2024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6,680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$16.47</w:t>
            </w:r>
          </w:p>
        </w:tc>
        <w:tc>
          <w:tcPr>
            <w:tcW w:w="6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6,680</w:t>
            </w:r>
          </w:p>
        </w:tc>
        <w:tc>
          <w:tcPr>
            <w:tcW w:w="0" w:type="dxa"/>
            <w:vAlign w:val="bottom"/>
          </w:tcPr>
          <w:p>
            <w:pPr>
              <w:spacing w:after="0"/>
              <w:rPr>
                <w:sz w:val="1"/>
                <w:szCs w:val="1"/>
                <w:color w:val="auto"/>
              </w:rPr>
            </w:pPr>
          </w:p>
        </w:tc>
      </w:tr>
      <w:tr>
        <w:trPr>
          <w:trHeight w:val="285"/>
        </w:trPr>
        <w:tc>
          <w:tcPr>
            <w:tcW w:w="106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rPr>
              <w:t>10/20/2015</w:t>
            </w:r>
          </w:p>
        </w:tc>
        <w:tc>
          <w:tcPr>
            <w:tcW w:w="142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auto"/>
              </w:rPr>
              <w:t>10/20/2025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41,650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$16.47</w:t>
            </w:r>
          </w:p>
        </w:tc>
        <w:tc>
          <w:tcPr>
            <w:tcW w:w="6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41,650</w:t>
            </w:r>
          </w:p>
        </w:tc>
        <w:tc>
          <w:tcPr>
            <w:tcW w:w="0" w:type="dxa"/>
            <w:vAlign w:val="bottom"/>
          </w:tcPr>
          <w:p>
            <w:pPr>
              <w:spacing w:after="0"/>
              <w:rPr>
                <w:sz w:val="1"/>
                <w:szCs w:val="1"/>
                <w:color w:val="auto"/>
              </w:rPr>
            </w:pPr>
          </w:p>
        </w:tc>
      </w:tr>
      <w:tr>
        <w:trPr>
          <w:trHeight w:val="315"/>
        </w:trPr>
        <w:tc>
          <w:tcPr>
            <w:tcW w:w="106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rPr>
              <w:t>11/9/2015</w:t>
            </w:r>
          </w:p>
        </w:tc>
        <w:tc>
          <w:tcPr>
            <w:tcW w:w="142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auto"/>
                <w:w w:val="98"/>
              </w:rPr>
              <w:t>11/9/2025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25,709</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$16.47</w:t>
            </w:r>
          </w:p>
        </w:tc>
        <w:tc>
          <w:tcPr>
            <w:tcW w:w="6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25,709</w:t>
            </w:r>
          </w:p>
        </w:tc>
        <w:tc>
          <w:tcPr>
            <w:tcW w:w="0" w:type="dxa"/>
            <w:vAlign w:val="bottom"/>
          </w:tcPr>
          <w:p>
            <w:pPr>
              <w:spacing w:after="0"/>
              <w:rPr>
                <w:sz w:val="1"/>
                <w:szCs w:val="1"/>
                <w:color w:val="auto"/>
              </w:rPr>
            </w:pPr>
          </w:p>
        </w:tc>
      </w:tr>
      <w:tr>
        <w:trPr>
          <w:trHeight w:val="303"/>
        </w:trPr>
        <w:tc>
          <w:tcPr>
            <w:tcW w:w="106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rPr>
              <w:t>12/22/2016</w:t>
            </w:r>
          </w:p>
        </w:tc>
        <w:tc>
          <w:tcPr>
            <w:tcW w:w="142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auto"/>
              </w:rPr>
              <w:t>12/22/2026</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9,712</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$10.03</w:t>
            </w:r>
          </w:p>
        </w:tc>
        <w:tc>
          <w:tcPr>
            <w:tcW w:w="60" w:type="dxa"/>
            <w:vAlign w:val="bottom"/>
          </w:tcPr>
          <w:p>
            <w:pPr>
              <w:spacing w:after="0"/>
              <w:rPr>
                <w:sz w:val="24"/>
                <w:szCs w:val="24"/>
                <w:color w:val="auto"/>
              </w:rPr>
            </w:pP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9,712</w:t>
            </w:r>
          </w:p>
        </w:tc>
        <w:tc>
          <w:tcPr>
            <w:tcW w:w="0" w:type="dxa"/>
            <w:vAlign w:val="bottom"/>
          </w:tcPr>
          <w:p>
            <w:pPr>
              <w:spacing w:after="0"/>
              <w:rPr>
                <w:sz w:val="1"/>
                <w:szCs w:val="1"/>
                <w:color w:val="auto"/>
              </w:rPr>
            </w:pPr>
          </w:p>
        </w:tc>
      </w:tr>
      <w:tr>
        <w:trPr>
          <w:trHeight w:val="260"/>
        </w:trPr>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118,122</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(32,983)</w:t>
            </w:r>
          </w:p>
        </w:tc>
        <w:tc>
          <w:tcPr>
            <w:tcW w:w="60" w:type="dxa"/>
            <w:vAlign w:val="bottom"/>
          </w:tcPr>
          <w:p>
            <w:pPr>
              <w:spacing w:after="0"/>
              <w:rPr>
                <w:sz w:val="22"/>
                <w:szCs w:val="22"/>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85,139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-1374140</wp:posOffset>
            </wp:positionV>
            <wp:extent cx="6521450" cy="2159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a:extLst>
                        <a:ext uri="{28A0092B-C50C-407E-A947-70E740481C1C}"/>
                      </a:extLst>
                    </a:blip>
                    <a:srcRect/>
                    <a:stretch>
                      <a:fillRect/>
                    </a:stretch>
                  </pic:blipFill>
                  <pic:spPr bwMode="auto">
                    <a:xfrm>
                      <a:off x="0" y="0"/>
                      <a:ext cx="6521450" cy="21590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-993140</wp:posOffset>
            </wp:positionV>
            <wp:extent cx="6534150" cy="10128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a:extLst>
                        <a:ext uri="{28A0092B-C50C-407E-A947-70E740481C1C}"/>
                      </a:extLst>
                    </a:blip>
                    <a:srcRect/>
                    <a:stretch>
                      <a:fillRect/>
                    </a:stretch>
                  </pic:blipFill>
                  <pic:spPr bwMode="auto">
                    <a:xfrm>
                      <a:off x="0" y="0"/>
                      <a:ext cx="6534150" cy="101282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Common and Preferred Stock</w:t>
      </w:r>
    </w:p>
    <w:p>
      <w:pPr>
        <w:spacing w:after="0" w:line="137"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The Company's certificate of incorporation as amended and restated in October 2018, authorizes the Company to issue 100,000,000 shares of common stock and 5,000,000 shares of preferred stock, each having a par value of $0.0001. Common stock issued and outstanding as of December 31, 2023 and 2022 were 40,693,299 shares and 34,731,577 shares, respectively. As of December 31, 2023 and 2022, there was no preferred stock issued and outstanding.</w:t>
      </w:r>
    </w:p>
    <w:p>
      <w:pPr>
        <w:spacing w:after="0" w:line="203"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The holders of common stock are entitled to receive dividends whenever funds are legally available, as, when, and if declared by the Board of Directors. There have been no dividends declared to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Stock-Based Compensation</w:t>
      </w:r>
    </w:p>
    <w:p>
      <w:pPr>
        <w:sectPr>
          <w:pgSz w:w="12240" w:h="15840" w:orient="portrait"/>
          <w:cols w:equalWidth="0" w:num="1">
            <w:col w:w="10800"/>
          </w:cols>
          <w:pgMar w:left="720" w:top="201" w:right="720" w:bottom="0" w:gutter="0" w:footer="0" w:header="0"/>
        </w:sect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800"/>
          </w:cols>
          <w:pgMar w:left="720" w:top="201" w:right="720" w:bottom="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2008 Stock Option Plan and 2018 Equity Incentive Plan</w:t>
      </w:r>
    </w:p>
    <w:p>
      <w:pPr>
        <w:spacing w:after="0" w:line="13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In April 2008, the Company adopted the 2008 Stock Option Plan (the “2008 SOP”), as amended, under which the Board of Directors may issue incentive and non-qualified stock options to employees, directors and consultants. In October 2018, the Company adopted the 2018 Equity Incentive Plan (the “2018 EIP”), which serves as the successor to the 2008 SOP, under which the Board of Directors may issue incentive and non-qualified stock options, RSUs and PSUs to employees, directors and consultants. No new options have been granted under the 2008 SOP since August 2018. Outstanding options under the 2008 SOP continue to be subject to the terms and conditions of that plan.</w:t>
      </w:r>
    </w:p>
    <w:p>
      <w:pPr>
        <w:spacing w:after="0" w:line="208"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The number of shares of common stock reserved for issuance under the 2018 EIP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As of December 31, 2023, a total of 4,454,432 shares of common stock are available for future grants under the 2018 EIP. On January 1, 2024, the total number of shares of common stock reserved for issuance under the 2018 EIP automatically increased by 2,034,664 shares.</w:t>
      </w:r>
    </w:p>
    <w:p>
      <w:pPr>
        <w:spacing w:after="0" w:line="208"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w:t>
      </w:r>
    </w:p>
    <w:p>
      <w:pPr>
        <w:spacing w:after="0" w:line="20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Options granted have a term of 10 years, except, options granted to individuals holding more than 10% of the outstanding shares have a term of five years. Options generally vest over a four-year period. RSUs granted under the 2018 EIP generally vest over two to four years based upon continued services and are settled at vesting in shares of the Company's common stock.</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table summarizes stock option activity for the years ended December 31, 2023 and 2022:</w:t>
      </w:r>
    </w:p>
    <w:p>
      <w:pPr>
        <w:sectPr>
          <w:pgSz w:w="12240" w:h="15840" w:orient="portrait"/>
          <w:cols w:equalWidth="0" w:num="1">
            <w:col w:w="10800"/>
          </w:cols>
          <w:pgMar w:left="720" w:top="20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Outstanding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-161925</wp:posOffset>
            </wp:positionV>
            <wp:extent cx="6788150" cy="2159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7">
                      <a:extLst>
                        <a:ext uri="{28A0092B-C50C-407E-A947-70E740481C1C}"/>
                      </a:extLst>
                    </a:blip>
                    <a:srcRect/>
                    <a:stretch>
                      <a:fillRect/>
                    </a:stretch>
                  </pic:blipFill>
                  <pic:spPr bwMode="auto">
                    <a:xfrm>
                      <a:off x="0" y="0"/>
                      <a:ext cx="6788150" cy="21590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23495</wp:posOffset>
            </wp:positionV>
            <wp:extent cx="6788150" cy="215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8">
                      <a:extLst>
                        <a:ext uri="{28A0092B-C50C-407E-A947-70E740481C1C}"/>
                      </a:extLst>
                    </a:blip>
                    <a:srcRect/>
                    <a:stretch>
                      <a:fillRect/>
                    </a:stretch>
                  </pic:blipFill>
                  <pic:spPr bwMode="auto">
                    <a:xfrm>
                      <a:off x="0" y="0"/>
                      <a:ext cx="6788150" cy="215900"/>
                    </a:xfrm>
                    <a:prstGeom prst="rect">
                      <a:avLst/>
                    </a:prstGeom>
                    <a:noFill/>
                  </pic:spPr>
                </pic:pic>
              </a:graphicData>
            </a:graphic>
          </wp:anchor>
        </w:drawing>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Canceled and forfeited</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Outstanding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17145</wp:posOffset>
            </wp:positionV>
            <wp:extent cx="6788150" cy="206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9">
                      <a:extLst>
                        <a:ext uri="{28A0092B-C50C-407E-A947-70E740481C1C}"/>
                      </a:extLst>
                    </a:blip>
                    <a:srcRect/>
                    <a:stretch>
                      <a:fillRect/>
                    </a:stretch>
                  </pic:blipFill>
                  <pic:spPr bwMode="auto">
                    <a:xfrm>
                      <a:off x="0" y="0"/>
                      <a:ext cx="6788150" cy="206375"/>
                    </a:xfrm>
                    <a:prstGeom prst="rect">
                      <a:avLst/>
                    </a:prstGeom>
                    <a:noFill/>
                  </pic:spPr>
                </pic:pic>
              </a:graphicData>
            </a:graphic>
          </wp:anchor>
        </w:drawing>
      </w: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Exercised</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Canceled and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13970</wp:posOffset>
            </wp:positionV>
            <wp:extent cx="6788150" cy="231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0">
                      <a:extLst>
                        <a:ext uri="{28A0092B-C50C-407E-A947-70E740481C1C}"/>
                      </a:extLst>
                    </a:blip>
                    <a:srcRect/>
                    <a:stretch>
                      <a:fillRect/>
                    </a:stretch>
                  </pic:blipFill>
                  <pic:spPr bwMode="auto">
                    <a:xfrm>
                      <a:off x="0" y="0"/>
                      <a:ext cx="6788150" cy="231775"/>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Outstanding as of December 31, 2023</w:t>
      </w:r>
    </w:p>
    <w:p>
      <w:pPr>
        <w:spacing w:after="0" w:line="55" w:lineRule="exact"/>
        <w:rPr>
          <w:sz w:val="20"/>
          <w:szCs w:val="20"/>
          <w:color w:val="auto"/>
        </w:rPr>
      </w:pPr>
    </w:p>
    <w:p>
      <w:pPr>
        <w:ind w:left="120"/>
        <w:spacing w:after="0" w:line="348" w:lineRule="auto"/>
        <w:rPr>
          <w:sz w:val="20"/>
          <w:szCs w:val="20"/>
          <w:color w:val="auto"/>
        </w:rPr>
      </w:pPr>
      <w:r>
        <w:rPr>
          <w:rFonts w:ascii="Times New Roman" w:cs="Times New Roman" w:eastAsia="Times New Roman" w:hAnsi="Times New Roman"/>
          <w:sz w:val="20"/>
          <w:szCs w:val="20"/>
          <w:b w:val="1"/>
          <w:bCs w:val="1"/>
          <w:color w:val="auto"/>
        </w:rPr>
        <w:t>Options vested and exercisable as of December 31, 2023 Options vested and expected to vest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-274320</wp:posOffset>
            </wp:positionV>
            <wp:extent cx="6788150" cy="266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1">
                      <a:extLst>
                        <a:ext uri="{28A0092B-C50C-407E-A947-70E740481C1C}"/>
                      </a:extLst>
                    </a:blip>
                    <a:srcRect/>
                    <a:stretch>
                      <a:fillRect/>
                    </a:stretch>
                  </pic:blipFill>
                  <pic:spPr bwMode="auto">
                    <a:xfrm>
                      <a:off x="0" y="0"/>
                      <a:ext cx="6788150" cy="266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Options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29210</wp:posOffset>
                </wp:positionV>
                <wp:extent cx="319087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0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pt" to="251.25pt,2.3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80"/>
        </w:trPr>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Value (in</w:t>
            </w:r>
          </w:p>
        </w:tc>
        <w:tc>
          <w:tcPr>
            <w:tcW w:w="0" w:type="dxa"/>
            <w:vAlign w:val="bottom"/>
          </w:tcPr>
          <w:p>
            <w:pPr>
              <w:spacing w:after="0"/>
              <w:rPr>
                <w:sz w:val="1"/>
                <w:szCs w:val="1"/>
                <w:color w:val="auto"/>
              </w:rPr>
            </w:pPr>
          </w:p>
        </w:tc>
      </w:tr>
      <w:tr>
        <w:trPr>
          <w:trHeight w:val="239"/>
        </w:trPr>
        <w:tc>
          <w:tcPr>
            <w:tcW w:w="1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6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77"/>
        </w:trPr>
        <w:tc>
          <w:tcPr>
            <w:tcW w:w="1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2,009,513</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$8.73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20"/>
          <w:szCs w:val="20"/>
          <w:color w:val="auto"/>
        </w:rPr>
        <w:t>(80,571)</w:t>
      </w:r>
      <w:r>
        <w:rPr>
          <w:sz w:val="20"/>
          <w:szCs w:val="20"/>
          <w:color w:val="auto"/>
        </w:rPr>
        <w:tab/>
      </w:r>
      <w:r>
        <w:rPr>
          <w:rFonts w:ascii="Times New Roman" w:cs="Times New Roman" w:eastAsia="Times New Roman" w:hAnsi="Times New Roman"/>
          <w:sz w:val="20"/>
          <w:szCs w:val="20"/>
          <w:color w:val="auto"/>
        </w:rPr>
        <w:t>$4.70</w:t>
      </w:r>
    </w:p>
    <w:p>
      <w:pPr>
        <w:spacing w:after="0" w:line="70" w:lineRule="exact"/>
        <w:rPr>
          <w:sz w:val="20"/>
          <w:szCs w:val="20"/>
          <w:color w:val="auto"/>
        </w:rPr>
      </w:pPr>
    </w:p>
    <w:p>
      <w:pPr>
        <w:ind w:left="500"/>
        <w:spacing w:after="0"/>
        <w:tabs>
          <w:tab w:leader="none" w:pos="1600" w:val="left"/>
        </w:tabs>
        <w:rPr>
          <w:sz w:val="20"/>
          <w:szCs w:val="20"/>
          <w:color w:val="auto"/>
        </w:rPr>
      </w:pPr>
      <w:r>
        <w:rPr>
          <w:rFonts w:ascii="Times New Roman" w:cs="Times New Roman" w:eastAsia="Times New Roman" w:hAnsi="Times New Roman"/>
          <w:sz w:val="20"/>
          <w:szCs w:val="20"/>
          <w:color w:val="auto"/>
        </w:rPr>
        <w:t>(25,601)</w:t>
      </w:r>
      <w:r>
        <w:rPr>
          <w:sz w:val="20"/>
          <w:szCs w:val="20"/>
          <w:color w:val="auto"/>
        </w:rPr>
        <w:tab/>
      </w:r>
      <w:r>
        <w:rPr>
          <w:rFonts w:ascii="Times New Roman" w:cs="Times New Roman" w:eastAsia="Times New Roman" w:hAnsi="Times New Roman"/>
          <w:sz w:val="20"/>
          <w:szCs w:val="20"/>
          <w:color w:val="auto"/>
        </w:rPr>
        <w:t>$15.05</w:t>
      </w:r>
    </w:p>
    <w:p>
      <w:pPr>
        <w:spacing w:after="0" w:line="70" w:lineRule="exact"/>
        <w:rPr>
          <w:sz w:val="20"/>
          <w:szCs w:val="20"/>
          <w:color w:val="auto"/>
        </w:rPr>
      </w:pPr>
    </w:p>
    <w:p>
      <w:pPr>
        <w:ind w:left="320"/>
        <w:spacing w:after="0"/>
        <w:tabs>
          <w:tab w:leader="none" w:pos="1640" w:val="left"/>
        </w:tabs>
        <w:rPr>
          <w:sz w:val="20"/>
          <w:szCs w:val="20"/>
          <w:color w:val="auto"/>
        </w:rPr>
      </w:pPr>
      <w:r>
        <w:rPr>
          <w:rFonts w:ascii="Times New Roman" w:cs="Times New Roman" w:eastAsia="Times New Roman" w:hAnsi="Times New Roman"/>
          <w:sz w:val="20"/>
          <w:szCs w:val="20"/>
          <w:color w:val="auto"/>
        </w:rPr>
        <w:t>1,903,341</w:t>
      </w:r>
      <w:r>
        <w:rPr>
          <w:sz w:val="20"/>
          <w:szCs w:val="20"/>
          <w:color w:val="auto"/>
        </w:rPr>
        <w:tab/>
      </w:r>
      <w:r>
        <w:rPr>
          <w:rFonts w:ascii="Times New Roman" w:cs="Times New Roman" w:eastAsia="Times New Roman" w:hAnsi="Times New Roman"/>
          <w:sz w:val="20"/>
          <w:szCs w:val="20"/>
          <w:color w:val="auto"/>
        </w:rPr>
        <w:t>$8.82</w:t>
      </w:r>
    </w:p>
    <w:p>
      <w:pPr>
        <w:spacing w:after="0" w:line="55" w:lineRule="exact"/>
        <w:rPr>
          <w:sz w:val="20"/>
          <w:szCs w:val="20"/>
          <w:color w:val="auto"/>
        </w:rPr>
      </w:pPr>
    </w:p>
    <w:p>
      <w:pPr>
        <w:ind w:left="400"/>
        <w:spacing w:after="0"/>
        <w:tabs>
          <w:tab w:leader="none" w:pos="1640" w:val="left"/>
        </w:tabs>
        <w:rPr>
          <w:sz w:val="20"/>
          <w:szCs w:val="20"/>
          <w:color w:val="auto"/>
        </w:rPr>
      </w:pPr>
      <w:r>
        <w:rPr>
          <w:rFonts w:ascii="Times New Roman" w:cs="Times New Roman" w:eastAsia="Times New Roman" w:hAnsi="Times New Roman"/>
          <w:sz w:val="20"/>
          <w:szCs w:val="20"/>
          <w:color w:val="auto"/>
        </w:rPr>
        <w:t>(698,627)</w:t>
      </w:r>
      <w:r>
        <w:rPr>
          <w:sz w:val="20"/>
          <w:szCs w:val="20"/>
          <w:color w:val="auto"/>
        </w:rPr>
        <w:tab/>
      </w:r>
      <w:r>
        <w:rPr>
          <w:rFonts w:ascii="Times New Roman" w:cs="Times New Roman" w:eastAsia="Times New Roman" w:hAnsi="Times New Roman"/>
          <w:sz w:val="20"/>
          <w:szCs w:val="20"/>
          <w:color w:val="auto"/>
        </w:rPr>
        <w:t>$6.28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(16,006)</w:t>
            </w:r>
          </w:p>
        </w:tc>
        <w:tc>
          <w:tcPr>
            <w:tcW w:w="138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$21.22</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1,188,708</w:t>
            </w:r>
          </w:p>
        </w:tc>
        <w:tc>
          <w:tcPr>
            <w:tcW w:w="138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$10.14</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3.51</w:t>
            </w: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13,197</w:t>
            </w: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38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$10.14</w:t>
            </w:r>
          </w:p>
        </w:tc>
        <w:tc>
          <w:tcPr>
            <w:tcW w:w="102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3.51</w:t>
            </w:r>
          </w:p>
        </w:tc>
        <w:tc>
          <w:tcPr>
            <w:tcW w:w="5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13,197</w:t>
            </w:r>
          </w:p>
        </w:tc>
        <w:tc>
          <w:tcPr>
            <w:tcW w:w="0" w:type="dxa"/>
            <w:vAlign w:val="bottom"/>
          </w:tcPr>
          <w:p>
            <w:pPr>
              <w:spacing w:after="0" w:line="20" w:lineRule="exact"/>
              <w:rPr>
                <w:sz w:val="1"/>
                <w:szCs w:val="1"/>
                <w:color w:val="auto"/>
              </w:rPr>
            </w:pPr>
          </w:p>
        </w:tc>
      </w:tr>
      <w:tr>
        <w:trPr>
          <w:trHeight w:val="240"/>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1,188,708</w:t>
            </w:r>
          </w:p>
        </w:tc>
        <w:tc>
          <w:tcPr>
            <w:tcW w:w="13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38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$10.14</w:t>
            </w:r>
          </w:p>
        </w:tc>
        <w:tc>
          <w:tcPr>
            <w:tcW w:w="102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3.51</w:t>
            </w:r>
          </w:p>
        </w:tc>
        <w:tc>
          <w:tcPr>
            <w:tcW w:w="5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13,197</w:t>
            </w:r>
          </w:p>
        </w:tc>
        <w:tc>
          <w:tcPr>
            <w:tcW w:w="0" w:type="dxa"/>
            <w:vAlign w:val="bottom"/>
          </w:tcPr>
          <w:p>
            <w:pPr>
              <w:spacing w:after="0" w:line="20" w:lineRule="exact"/>
              <w:rPr>
                <w:sz w:val="1"/>
                <w:szCs w:val="1"/>
                <w:color w:val="auto"/>
              </w:rPr>
            </w:pPr>
          </w:p>
        </w:tc>
      </w:tr>
      <w:tr>
        <w:trPr>
          <w:trHeight w:val="240"/>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1,188,708</w:t>
            </w:r>
          </w:p>
        </w:tc>
        <w:tc>
          <w:tcPr>
            <w:tcW w:w="13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2240" w:h="15840" w:orient="portrait"/>
          <w:cols w:equalWidth="0" w:num="2">
            <w:col w:w="5320" w:space="380"/>
            <w:col w:w="5100"/>
          </w:cols>
          <w:pgMar w:left="720" w:top="201" w:right="720" w:bottom="0" w:gutter="0" w:footer="0" w:header="0"/>
          <w:type w:val="continuous"/>
        </w:sectPr>
      </w:pPr>
    </w:p>
    <w:p>
      <w:pPr>
        <w:jc w:val="both"/>
        <w:ind w:firstLine="569"/>
        <w:spacing w:after="0" w:line="258" w:lineRule="auto"/>
        <w:rPr>
          <w:sz w:val="20"/>
          <w:szCs w:val="20"/>
          <w:color w:val="auto"/>
        </w:rPr>
      </w:pPr>
      <w:r>
        <w:rPr>
          <w:rFonts w:ascii="Times New Roman" w:cs="Times New Roman" w:eastAsia="Times New Roman" w:hAnsi="Times New Roman"/>
          <w:sz w:val="20"/>
          <w:szCs w:val="20"/>
          <w:color w:val="auto"/>
        </w:rPr>
        <w:t>The aggregate intrinsic value of options exercised during the years ended December 31, 2023 and 2022 amounted to $11.7 million and $1.0 million, respectively, representing the difference between the fair value of the Company's common stock at the date of exercise and the exercise price paid. The aggregate intrinsic values of options outstanding, options vested and exercisable, and options vested and expected to vest as of December 31, 2023 represents the difference between the exercise price and the closing price of the Company’s common stock on the last trading day of the year.</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Outstanding options and exercisable options information by range of exercise prices as of December 31, 2023 was as follows:</w:t>
      </w:r>
    </w:p>
    <w:p>
      <w:pPr>
        <w:sectPr>
          <w:pgSz w:w="12240" w:h="15840" w:orient="portrait"/>
          <w:cols w:equalWidth="0" w:num="1">
            <w:col w:w="10800"/>
          </w:cols>
          <w:pgMar w:left="720" w:top="201"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800"/>
          </w:cols>
          <w:pgMar w:left="720" w:top="201" w:right="720" w:bottom="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1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7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Options Vested and Exercisable</w:t>
            </w:r>
          </w:p>
        </w:tc>
        <w:tc>
          <w:tcPr>
            <w:tcW w:w="0" w:type="dxa"/>
            <w:vAlign w:val="bottom"/>
          </w:tcPr>
          <w:p>
            <w:pPr>
              <w:spacing w:after="0"/>
              <w:rPr>
                <w:sz w:val="1"/>
                <w:szCs w:val="1"/>
                <w:color w:val="auto"/>
              </w:rPr>
            </w:pPr>
          </w:p>
        </w:tc>
      </w:tr>
      <w:tr>
        <w:trPr>
          <w:trHeight w:val="266"/>
        </w:trPr>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vMerge w:val="restart"/>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vMerge w:val="restart"/>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1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9"/>
        </w:trPr>
        <w:tc>
          <w:tcPr>
            <w:tcW w:w="2600" w:type="dxa"/>
            <w:vAlign w:val="bottom"/>
            <w:tcBorders>
              <w:bottom w:val="single" w:sz="8" w:color="auto"/>
            </w:tcBorders>
            <w:gridSpan w:val="3"/>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2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77"/>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$3.24</w:t>
            </w:r>
          </w:p>
        </w:tc>
        <w:tc>
          <w:tcPr>
            <w:tcW w:w="5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$4.41</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375,262</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1.91</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375,262</w:t>
            </w:r>
          </w:p>
        </w:tc>
        <w:tc>
          <w:tcPr>
            <w:tcW w:w="15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$4.14</w:t>
            </w:r>
          </w:p>
        </w:tc>
        <w:tc>
          <w:tcPr>
            <w:tcW w:w="0" w:type="dxa"/>
            <w:vAlign w:val="bottom"/>
          </w:tcPr>
          <w:p>
            <w:pPr>
              <w:spacing w:after="0"/>
              <w:rPr>
                <w:sz w:val="1"/>
                <w:szCs w:val="1"/>
                <w:color w:val="auto"/>
              </w:rPr>
            </w:pPr>
          </w:p>
        </w:tc>
      </w:tr>
      <w:tr>
        <w:trPr>
          <w:trHeight w:val="30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$4.42</w:t>
            </w:r>
          </w:p>
        </w:tc>
        <w:tc>
          <w:tcPr>
            <w:tcW w:w="5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$5.31</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300,673</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3.31</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$4.68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300,673</w:t>
            </w:r>
          </w:p>
        </w:tc>
        <w:tc>
          <w:tcPr>
            <w:tcW w:w="15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$4.68</w:t>
            </w:r>
          </w:p>
        </w:tc>
        <w:tc>
          <w:tcPr>
            <w:tcW w:w="0" w:type="dxa"/>
            <w:vAlign w:val="bottom"/>
          </w:tcPr>
          <w:p>
            <w:pPr>
              <w:spacing w:after="0"/>
              <w:rPr>
                <w:sz w:val="1"/>
                <w:szCs w:val="1"/>
                <w:color w:val="auto"/>
              </w:rPr>
            </w:pPr>
          </w:p>
        </w:tc>
      </w:tr>
      <w:tr>
        <w:trPr>
          <w:trHeight w:val="30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$5.32</w:t>
            </w:r>
          </w:p>
        </w:tc>
        <w:tc>
          <w:tcPr>
            <w:tcW w:w="5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$18.10</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198,341</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4.41</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$11.28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198,341</w:t>
            </w:r>
          </w:p>
        </w:tc>
        <w:tc>
          <w:tcPr>
            <w:tcW w:w="15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$11.28</w:t>
            </w:r>
          </w:p>
        </w:tc>
        <w:tc>
          <w:tcPr>
            <w:tcW w:w="0" w:type="dxa"/>
            <w:vAlign w:val="bottom"/>
          </w:tcPr>
          <w:p>
            <w:pPr>
              <w:spacing w:after="0"/>
              <w:rPr>
                <w:sz w:val="1"/>
                <w:szCs w:val="1"/>
                <w:color w:val="auto"/>
              </w:rPr>
            </w:pPr>
          </w:p>
        </w:tc>
      </w:tr>
      <w:tr>
        <w:trPr>
          <w:trHeight w:val="30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$18.11</w:t>
            </w:r>
          </w:p>
        </w:tc>
        <w:tc>
          <w:tcPr>
            <w:tcW w:w="5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$20.51</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18,838</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5.08</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$18.71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18,838</w:t>
            </w:r>
          </w:p>
        </w:tc>
        <w:tc>
          <w:tcPr>
            <w:tcW w:w="15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$18.71</w:t>
            </w:r>
          </w:p>
        </w:tc>
        <w:tc>
          <w:tcPr>
            <w:tcW w:w="0" w:type="dxa"/>
            <w:vAlign w:val="bottom"/>
          </w:tcPr>
          <w:p>
            <w:pPr>
              <w:spacing w:after="0"/>
              <w:rPr>
                <w:sz w:val="1"/>
                <w:szCs w:val="1"/>
                <w:color w:val="auto"/>
              </w:rPr>
            </w:pPr>
          </w:p>
        </w:tc>
      </w:tr>
      <w:tr>
        <w:trPr>
          <w:trHeight w:val="303"/>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$20.52</w:t>
            </w:r>
          </w:p>
        </w:tc>
        <w:tc>
          <w:tcPr>
            <w:tcW w:w="5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$22.00</w:t>
            </w:r>
          </w:p>
        </w:tc>
        <w:tc>
          <w:tcPr>
            <w:tcW w:w="1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295,594</w:t>
            </w:r>
          </w:p>
        </w:tc>
        <w:tc>
          <w:tcPr>
            <w:tcW w:w="80" w:type="dxa"/>
            <w:vAlign w:val="bottom"/>
            <w:tcBorders>
              <w:bottom w:val="single" w:sz="8" w:color="auto"/>
            </w:tcBorders>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5.04</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$22.00</w:t>
            </w:r>
          </w:p>
        </w:tc>
        <w:tc>
          <w:tcPr>
            <w:tcW w:w="8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295,594</w:t>
            </w:r>
          </w:p>
        </w:tc>
        <w:tc>
          <w:tcPr>
            <w:tcW w:w="15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$22.00</w:t>
            </w:r>
          </w:p>
        </w:tc>
        <w:tc>
          <w:tcPr>
            <w:tcW w:w="0" w:type="dxa"/>
            <w:vAlign w:val="bottom"/>
          </w:tcPr>
          <w:p>
            <w:pPr>
              <w:spacing w:after="0"/>
              <w:rPr>
                <w:sz w:val="1"/>
                <w:szCs w:val="1"/>
                <w:color w:val="auto"/>
              </w:rPr>
            </w:pPr>
          </w:p>
        </w:tc>
      </w:tr>
      <w:tr>
        <w:trPr>
          <w:trHeight w:val="260"/>
        </w:trPr>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1,188,708</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3.51</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1,188,708</w:t>
            </w:r>
          </w:p>
        </w:tc>
        <w:tc>
          <w:tcPr>
            <w:tcW w:w="15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-1174115</wp:posOffset>
            </wp:positionV>
            <wp:extent cx="6140450" cy="215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2">
                      <a:extLst>
                        <a:ext uri="{28A0092B-C50C-407E-A947-70E740481C1C}"/>
                      </a:extLst>
                    </a:blip>
                    <a:srcRect/>
                    <a:stretch>
                      <a:fillRect/>
                    </a:stretch>
                  </pic:blipFill>
                  <pic:spPr bwMode="auto">
                    <a:xfrm>
                      <a:off x="0" y="0"/>
                      <a:ext cx="6140450" cy="215900"/>
                    </a:xfrm>
                    <a:prstGeom prst="rect">
                      <a:avLst/>
                    </a:prstGeom>
                    <a:noFill/>
                  </pic:spPr>
                </pic:pic>
              </a:graphicData>
            </a:graphic>
          </wp:anchor>
        </w:drawing>
        <w:drawing>
          <wp:anchor simplePos="0" relativeHeight="251657728" behindDoc="1" locked="0" layoutInCell="0" allowOverlap="1">
            <wp:simplePos x="0" y="0"/>
            <wp:positionH relativeFrom="column">
              <wp:posOffset>358775</wp:posOffset>
            </wp:positionH>
            <wp:positionV relativeFrom="paragraph">
              <wp:posOffset>-793115</wp:posOffset>
            </wp:positionV>
            <wp:extent cx="6140450" cy="215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3">
                      <a:extLst>
                        <a:ext uri="{28A0092B-C50C-407E-A947-70E740481C1C}"/>
                      </a:extLst>
                    </a:blip>
                    <a:srcRect/>
                    <a:stretch>
                      <a:fillRect/>
                    </a:stretch>
                  </pic:blipFill>
                  <pic:spPr bwMode="auto">
                    <a:xfrm>
                      <a:off x="0" y="0"/>
                      <a:ext cx="6140450" cy="215900"/>
                    </a:xfrm>
                    <a:prstGeom prst="rect">
                      <a:avLst/>
                    </a:prstGeom>
                    <a:noFill/>
                  </pic:spPr>
                </pic:pic>
              </a:graphicData>
            </a:graphic>
          </wp:anchor>
        </w:drawing>
        <w:drawing>
          <wp:anchor simplePos="0" relativeHeight="251657728" behindDoc="1" locked="0" layoutInCell="0" allowOverlap="1">
            <wp:simplePos x="0" y="0"/>
            <wp:positionH relativeFrom="column">
              <wp:posOffset>358775</wp:posOffset>
            </wp:positionH>
            <wp:positionV relativeFrom="paragraph">
              <wp:posOffset>-412115</wp:posOffset>
            </wp:positionV>
            <wp:extent cx="6140450" cy="431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4">
                      <a:extLst>
                        <a:ext uri="{28A0092B-C50C-407E-A947-70E740481C1C}"/>
                      </a:extLst>
                    </a:blip>
                    <a:srcRect/>
                    <a:stretch>
                      <a:fillRect/>
                    </a:stretch>
                  </pic:blipFill>
                  <pic:spPr bwMode="auto">
                    <a:xfrm>
                      <a:off x="0" y="0"/>
                      <a:ext cx="6140450" cy="431800"/>
                    </a:xfrm>
                    <a:prstGeom prst="rect">
                      <a:avLst/>
                    </a:prstGeom>
                    <a:noFill/>
                  </pic:spPr>
                </pic:pic>
              </a:graphicData>
            </a:graphic>
          </wp:anchor>
        </w:drawing>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There were no stock options granted during the years ended December 31, 2023 and 2022.</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2023, there is no unrecognized compensation cost related to stock options.</w:t>
      </w: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59"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Restricted stock units (“RSUs”) are share awards that entitle the holder to receive freely tradable shares of the Company’s common stock upon vesting. RSUs generally vest over two to four years based upon continued services and are settled at vesting in shares of the Company's common stock. The grant date fair value of the RSUs is equal to the closing price of the Company’s common stock on the grant date.</w:t>
      </w:r>
    </w:p>
    <w:p>
      <w:pPr>
        <w:spacing w:after="0" w:line="14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20"/>
          <w:szCs w:val="20"/>
          <w:color w:val="auto"/>
        </w:rPr>
        <w:t>The Company has granted performance-based restricted stock unit awards subject to market and service vesting conditions to certain executive officers under SI-BONE's 2018 Equity Incentive Plan (“PSUs”). The shares subject to the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426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80"/>
        </w:trPr>
        <w:tc>
          <w:tcPr>
            <w:tcW w:w="42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20" w:type="dxa"/>
            <w:vAlign w:val="bottom"/>
            <w:tcBorders>
              <w:bottom w:val="single" w:sz="8" w:color="auto"/>
            </w:tcBorders>
          </w:tcPr>
          <w:p>
            <w:pPr>
              <w:spacing w:after="0"/>
              <w:rPr>
                <w:sz w:val="24"/>
                <w:szCs w:val="24"/>
                <w:color w:val="auto"/>
              </w:rPr>
            </w:pPr>
          </w:p>
        </w:tc>
      </w:tr>
      <w:tr>
        <w:trPr>
          <w:trHeight w:val="277"/>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of common stock</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6"/>
              </w:rPr>
              <w:t>58.0%</w:t>
            </w:r>
          </w:p>
        </w:tc>
        <w:tc>
          <w:tcPr>
            <w:tcW w:w="66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auto"/>
              </w:rPr>
              <w:t>to</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73.0%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48.9%</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to</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58.7%</w:t>
            </w:r>
          </w:p>
        </w:tc>
      </w:tr>
      <w:tr>
        <w:trPr>
          <w:trHeight w:val="30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of peer companies</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6"/>
              </w:rPr>
              <w:t>33.0%</w:t>
            </w:r>
          </w:p>
        </w:tc>
        <w:tc>
          <w:tcPr>
            <w:tcW w:w="66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auto"/>
              </w:rPr>
              <w:t>to</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141.0%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24.2%</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to</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152.5%</w:t>
            </w:r>
          </w:p>
        </w:tc>
      </w:tr>
      <w:tr>
        <w:trPr>
          <w:trHeight w:val="30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Correlation coefficient of peer companies</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(0.15)</w:t>
            </w:r>
          </w:p>
        </w:tc>
        <w:tc>
          <w:tcPr>
            <w:tcW w:w="66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auto"/>
              </w:rPr>
              <w:t>to</w:t>
            </w:r>
          </w:p>
        </w:tc>
        <w:tc>
          <w:tcPr>
            <w:tcW w:w="1120" w:type="dxa"/>
            <w:vAlign w:val="bottom"/>
          </w:tcPr>
          <w:p>
            <w:pPr>
              <w:jc w:val="right"/>
              <w:ind w:right="282"/>
              <w:spacing w:after="0"/>
              <w:rPr>
                <w:sz w:val="20"/>
                <w:szCs w:val="20"/>
                <w:color w:val="auto"/>
              </w:rPr>
            </w:pPr>
            <w:r>
              <w:rPr>
                <w:rFonts w:ascii="Times New Roman" w:cs="Times New Roman" w:eastAsia="Times New Roman" w:hAnsi="Times New Roman"/>
                <w:sz w:val="20"/>
                <w:szCs w:val="20"/>
                <w:color w:val="auto"/>
              </w:rPr>
              <w:t>1.00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(0.13)</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to</w:t>
            </w:r>
          </w:p>
        </w:tc>
        <w:tc>
          <w:tcPr>
            <w:tcW w:w="10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1.00</w:t>
            </w:r>
          </w:p>
        </w:tc>
      </w:tr>
      <w:tr>
        <w:trPr>
          <w:trHeight w:val="30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3.9%</w:t>
            </w:r>
          </w:p>
        </w:tc>
        <w:tc>
          <w:tcPr>
            <w:tcW w:w="66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auto"/>
              </w:rPr>
              <w:t>to</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0.4%</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to</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w:t>
            </w:r>
          </w:p>
        </w:tc>
      </w:tr>
      <w:tr>
        <w:trPr>
          <w:trHeight w:val="30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auto"/>
              </w:rPr>
              <w:t>to</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to</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-765810</wp:posOffset>
            </wp:positionV>
            <wp:extent cx="6378575" cy="787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5">
                      <a:extLst>
                        <a:ext uri="{28A0092B-C50C-407E-A947-70E740481C1C}"/>
                      </a:extLst>
                    </a:blip>
                    <a:srcRect/>
                    <a:stretch>
                      <a:fillRect/>
                    </a:stretch>
                  </pic:blipFill>
                  <pic:spPr bwMode="auto">
                    <a:xfrm>
                      <a:off x="0" y="0"/>
                      <a:ext cx="6378575" cy="787400"/>
                    </a:xfrm>
                    <a:prstGeom prst="rect">
                      <a:avLst/>
                    </a:prstGeom>
                    <a:noFill/>
                  </pic:spPr>
                </pic:pic>
              </a:graphicData>
            </a:graphic>
          </wp:anchor>
        </w:drawing>
      </w:r>
    </w:p>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RSU and PSU activity for the years ended December 31, 2023 and 2022:</w:t>
      </w:r>
    </w:p>
    <w:p>
      <w:pPr>
        <w:sectPr>
          <w:pgSz w:w="12240" w:h="15840" w:orient="portrait"/>
          <w:cols w:equalWidth="0" w:num="1">
            <w:col w:w="10800"/>
          </w:cols>
          <w:pgMar w:left="720" w:top="20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800"/>
          </w:cols>
          <w:pgMar w:left="720" w:top="201" w:right="720" w:bottom="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336"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540" w:type="dxa"/>
            <w:vAlign w:val="bottom"/>
          </w:tcPr>
          <w:p>
            <w:pPr>
              <w:spacing w:after="0"/>
              <w:rPr>
                <w:sz w:val="21"/>
                <w:szCs w:val="21"/>
                <w:color w:val="auto"/>
              </w:rPr>
            </w:pPr>
          </w:p>
        </w:tc>
        <w:tc>
          <w:tcPr>
            <w:tcW w:w="24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60" w:type="dxa"/>
            <w:vAlign w:val="bottom"/>
          </w:tcPr>
          <w:p>
            <w:pPr>
              <w:spacing w:after="0"/>
              <w:rPr>
                <w:sz w:val="21"/>
                <w:szCs w:val="21"/>
                <w:color w:val="auto"/>
              </w:rPr>
            </w:pPr>
          </w:p>
        </w:tc>
        <w:tc>
          <w:tcPr>
            <w:tcW w:w="24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PSUs</w:t>
            </w:r>
          </w:p>
        </w:tc>
        <w:tc>
          <w:tcPr>
            <w:tcW w:w="0" w:type="dxa"/>
            <w:vAlign w:val="bottom"/>
          </w:tcPr>
          <w:p>
            <w:pPr>
              <w:spacing w:after="0"/>
              <w:rPr>
                <w:sz w:val="1"/>
                <w:szCs w:val="1"/>
                <w:color w:val="auto"/>
              </w:rPr>
            </w:pPr>
          </w:p>
        </w:tc>
      </w:tr>
      <w:tr>
        <w:trPr>
          <w:trHeight w:val="206"/>
        </w:trPr>
        <w:tc>
          <w:tcPr>
            <w:tcW w:w="4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15"/>
                <w:szCs w:val="15"/>
                <w:color w:val="auto"/>
              </w:rPr>
            </w:pPr>
          </w:p>
        </w:tc>
        <w:tc>
          <w:tcPr>
            <w:tcW w:w="1200" w:type="dxa"/>
            <w:vAlign w:val="bottom"/>
            <w:vMerge w:val="restart"/>
          </w:tcPr>
          <w:p>
            <w:pPr>
              <w:jc w:val="right"/>
              <w:ind w:right="103"/>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60" w:type="dxa"/>
            <w:vAlign w:val="bottom"/>
          </w:tcPr>
          <w:p>
            <w:pPr>
              <w:spacing w:after="0"/>
              <w:rPr>
                <w:sz w:val="15"/>
                <w:szCs w:val="15"/>
                <w:color w:val="auto"/>
              </w:rPr>
            </w:pPr>
          </w:p>
        </w:tc>
        <w:tc>
          <w:tcPr>
            <w:tcW w:w="1200" w:type="dxa"/>
            <w:vAlign w:val="bottom"/>
            <w:vMerge w:val="restart"/>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Fair</w:t>
            </w:r>
          </w:p>
        </w:tc>
        <w:tc>
          <w:tcPr>
            <w:tcW w:w="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p>
        </w:tc>
        <w:tc>
          <w:tcPr>
            <w:tcW w:w="12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2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7"/>
        </w:trPr>
        <w:tc>
          <w:tcPr>
            <w:tcW w:w="4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2021</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1,566,522</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$25.17</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1,264,835</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$20.66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155,596</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$19.50</w:t>
            </w:r>
          </w:p>
        </w:tc>
        <w:tc>
          <w:tcPr>
            <w:tcW w:w="0" w:type="dxa"/>
            <w:vAlign w:val="bottom"/>
          </w:tcPr>
          <w:p>
            <w:pPr>
              <w:spacing w:after="0"/>
              <w:rPr>
                <w:sz w:val="1"/>
                <w:szCs w:val="1"/>
                <w:color w:val="auto"/>
              </w:rPr>
            </w:pPr>
          </w:p>
        </w:tc>
      </w:tr>
      <w:tr>
        <w:trPr>
          <w:trHeight w:val="30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(806,204)</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$24.03</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Canceled and 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(230,225)</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$23.46</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7"/>
        </w:trPr>
        <w:tc>
          <w:tcPr>
            <w:tcW w:w="4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2022</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1,794,928</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155,596</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$19.50</w:t>
            </w:r>
          </w:p>
        </w:tc>
        <w:tc>
          <w:tcPr>
            <w:tcW w:w="0" w:type="dxa"/>
            <w:vAlign w:val="bottom"/>
          </w:tcPr>
          <w:p>
            <w:pPr>
              <w:spacing w:after="0"/>
              <w:rPr>
                <w:sz w:val="1"/>
                <w:szCs w:val="1"/>
                <w:color w:val="auto"/>
              </w:rPr>
            </w:pPr>
          </w:p>
        </w:tc>
      </w:tr>
      <w:tr>
        <w:trPr>
          <w:trHeight w:val="30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1,235,471</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$16.92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255,458</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$12.33</w:t>
            </w:r>
          </w:p>
        </w:tc>
        <w:tc>
          <w:tcPr>
            <w:tcW w:w="0" w:type="dxa"/>
            <w:vAlign w:val="bottom"/>
          </w:tcPr>
          <w:p>
            <w:pPr>
              <w:spacing w:after="0"/>
              <w:rPr>
                <w:sz w:val="1"/>
                <w:szCs w:val="1"/>
                <w:color w:val="auto"/>
              </w:rPr>
            </w:pPr>
          </w:p>
        </w:tc>
      </w:tr>
      <w:tr>
        <w:trPr>
          <w:trHeight w:val="30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(967,145)</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$21.01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(25,932)</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$19.50</w:t>
            </w:r>
          </w:p>
        </w:tc>
        <w:tc>
          <w:tcPr>
            <w:tcW w:w="0" w:type="dxa"/>
            <w:vAlign w:val="bottom"/>
          </w:tcPr>
          <w:p>
            <w:pPr>
              <w:spacing w:after="0"/>
              <w:rPr>
                <w:sz w:val="1"/>
                <w:szCs w:val="1"/>
                <w:color w:val="auto"/>
              </w:rPr>
            </w:pPr>
          </w:p>
        </w:tc>
      </w:tr>
      <w:tr>
        <w:trPr>
          <w:trHeight w:val="303"/>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Canceled and 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(163,464)</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$21.41</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4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2023</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1,899,790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$19.93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385,122</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$14.74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-1745615</wp:posOffset>
            </wp:positionV>
            <wp:extent cx="6102350" cy="17653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6">
                      <a:extLst>
                        <a:ext uri="{28A0092B-C50C-407E-A947-70E740481C1C}"/>
                      </a:extLst>
                    </a:blip>
                    <a:srcRect/>
                    <a:stretch>
                      <a:fillRect/>
                    </a:stretch>
                  </pic:blipFill>
                  <pic:spPr bwMode="auto">
                    <a:xfrm>
                      <a:off x="0" y="0"/>
                      <a:ext cx="6102350" cy="1765300"/>
                    </a:xfrm>
                    <a:prstGeom prst="rect">
                      <a:avLst/>
                    </a:prstGeom>
                    <a:noFill/>
                  </pic:spPr>
                </pic:pic>
              </a:graphicData>
            </a:graphic>
          </wp:anchor>
        </w:drawing>
      </w:r>
    </w:p>
    <w:p>
      <w:pPr>
        <w:spacing w:after="0" w:line="12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As of December 31, 2023, the unrecognized compensation cost related to the RSUs was $30.2 million, which is expected to be recognized over a period of approximately 2.3 years. As of December 31, 2023, the unrecognized compensation cost related to the PSUs was $2.2 million, which is expected to be recognized over a period of approximately 1.8 years.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5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and provided for automatic enrollment in a new offering.</w:t>
      </w:r>
    </w:p>
    <w:p>
      <w:pPr>
        <w:spacing w:after="0" w:line="208"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As of December 31, 2023, a total of 1,218,576 shares of common stock are available for future grants under the ESPP. On January 1, 2024, the total number of shares of common stock reserved for issuance under the ESPP Plan increased by 406,932 shares.</w:t>
      </w:r>
    </w:p>
    <w:p>
      <w:pPr>
        <w:spacing w:after="0" w:line="181"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The fair value of the ESPP shares is estimated using the Black-Scholes option pricing model, which is being amortized over the requisite service period. The Company issued 178,918 shares and 170,717 shares under the ESPP during the years ended December 31, 2023 and 2022, respectively, representing $2.2 million and $1.8 million in employee contributions. For each of the years ended December 31, 2023 and 2022, total accumulated ESPP related employee payroll deductions amounted to $0.4 million and $0.3 million, respectively, which were included within accrued compensation and related expenses in the consolidated balance sheets. For the years ended December 31, 2023 and 2022, the Company recognized $1.0 million and $0.7 million, respectively, of stock-based compensation expense related to ESPP. As of December 31, 2023, the unrecognized compensation cost for the ESPP was $0.4 million.</w:t>
      </w:r>
    </w:p>
    <w:p>
      <w:pPr>
        <w:sectPr>
          <w:pgSz w:w="12240" w:h="15840" w:orient="portrait"/>
          <w:cols w:equalWidth="0" w:num="1">
            <w:col w:w="10800"/>
          </w:cols>
          <w:pgMar w:left="720" w:top="20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800"/>
          </w:cols>
          <w:pgMar w:left="720" w:top="201" w:right="720" w:bottom="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3" w:lineRule="exact"/>
        <w:rPr>
          <w:sz w:val="20"/>
          <w:szCs w:val="20"/>
          <w:color w:val="auto"/>
        </w:rPr>
      </w:pPr>
    </w:p>
    <w:p>
      <w:pPr>
        <w:ind w:right="180" w:firstLine="450"/>
        <w:spacing w:after="0" w:line="281" w:lineRule="auto"/>
        <w:rPr>
          <w:sz w:val="20"/>
          <w:szCs w:val="20"/>
          <w:color w:val="auto"/>
        </w:rPr>
      </w:pPr>
      <w:r>
        <w:rPr>
          <w:rFonts w:ascii="Times New Roman" w:cs="Times New Roman" w:eastAsia="Times New Roman" w:hAnsi="Times New Roman"/>
          <w:sz w:val="20"/>
          <w:szCs w:val="20"/>
          <w:color w:val="auto"/>
        </w:rPr>
        <w:t>The Company estimated the fair value of ESPP purchase rights during the offering period using a Black-Scholes option pricing model with the following assumptions:</w:t>
      </w:r>
    </w:p>
    <w:p>
      <w:pPr>
        <w:spacing w:after="0" w:line="35" w:lineRule="exact"/>
        <w:rPr>
          <w:sz w:val="20"/>
          <w:szCs w:val="20"/>
          <w:color w:val="auto"/>
        </w:rPr>
      </w:pPr>
    </w:p>
    <w:tbl>
      <w:tblPr>
        <w:tblLayout w:type="fixed"/>
        <w:tblInd w:w="800" w:type="dxa"/>
        <w:tblCellMar>
          <w:top w:w="0" w:type="dxa"/>
          <w:left w:w="0" w:type="dxa"/>
          <w:bottom w:w="0" w:type="dxa"/>
          <w:right w:w="0" w:type="dxa"/>
        </w:tblCellMar>
      </w:tblPr>
      <w:tr>
        <w:trPr>
          <w:trHeight w:val="243"/>
        </w:trPr>
        <w:tc>
          <w:tcPr>
            <w:tcW w:w="54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1"/>
                <w:szCs w:val="21"/>
                <w:color w:val="auto"/>
              </w:rPr>
            </w:pPr>
          </w:p>
        </w:tc>
      </w:tr>
      <w:tr>
        <w:trPr>
          <w:trHeight w:val="265"/>
        </w:trPr>
        <w:tc>
          <w:tcPr>
            <w:tcW w:w="544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23"/>
                <w:szCs w:val="23"/>
                <w:color w:val="auto"/>
              </w:rPr>
            </w:pPr>
          </w:p>
        </w:tc>
      </w:tr>
      <w:tr>
        <w:trPr>
          <w:trHeight w:val="277"/>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w:t>
            </w:r>
          </w:p>
        </w:tc>
        <w:tc>
          <w:tcPr>
            <w:tcW w:w="700" w:type="dxa"/>
            <w:vAlign w:val="bottom"/>
          </w:tcPr>
          <w:p>
            <w:pPr>
              <w:spacing w:after="0"/>
              <w:rPr>
                <w:sz w:val="24"/>
                <w:szCs w:val="24"/>
                <w:color w:val="auto"/>
              </w:rPr>
            </w:pPr>
          </w:p>
        </w:tc>
        <w:tc>
          <w:tcPr>
            <w:tcW w:w="4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0.5</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0.5</w:t>
            </w:r>
          </w:p>
        </w:tc>
        <w:tc>
          <w:tcPr>
            <w:tcW w:w="700" w:type="dxa"/>
            <w:vAlign w:val="bottom"/>
          </w:tcPr>
          <w:p>
            <w:pPr>
              <w:spacing w:after="0"/>
              <w:rPr>
                <w:sz w:val="24"/>
                <w:szCs w:val="24"/>
                <w:color w:val="auto"/>
              </w:rPr>
            </w:pPr>
          </w:p>
        </w:tc>
      </w:tr>
      <w:tr>
        <w:trPr>
          <w:trHeight w:val="287"/>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to</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54.4%</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49.5%</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to</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62.1%</w:t>
            </w:r>
          </w:p>
        </w:tc>
      </w:tr>
      <w:tr>
        <w:trPr>
          <w:trHeight w:val="343"/>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to</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5.38%</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0.07%</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to</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1.54%</w:t>
            </w:r>
          </w:p>
        </w:tc>
      </w:tr>
      <w:tr>
        <w:trPr>
          <w:trHeight w:val="30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7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-784860</wp:posOffset>
            </wp:positionV>
            <wp:extent cx="5988050" cy="215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7">
                      <a:extLst>
                        <a:ext uri="{28A0092B-C50C-407E-A947-70E740481C1C}"/>
                      </a:extLst>
                    </a:blip>
                    <a:srcRect/>
                    <a:stretch>
                      <a:fillRect/>
                    </a:stretch>
                  </pic:blipFill>
                  <pic:spPr bwMode="auto">
                    <a:xfrm>
                      <a:off x="0" y="0"/>
                      <a:ext cx="5988050" cy="215900"/>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-413385</wp:posOffset>
            </wp:positionV>
            <wp:extent cx="5988050" cy="2444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8">
                      <a:extLst>
                        <a:ext uri="{28A0092B-C50C-407E-A947-70E740481C1C}"/>
                      </a:extLst>
                    </a:blip>
                    <a:srcRect/>
                    <a:stretch>
                      <a:fillRect/>
                    </a:stretch>
                  </pic:blipFill>
                  <pic:spPr bwMode="auto">
                    <a:xfrm>
                      <a:off x="0" y="0"/>
                      <a:ext cx="5988050" cy="244475"/>
                    </a:xfrm>
                    <a:prstGeom prst="rect">
                      <a:avLst/>
                    </a:prstGeom>
                    <a:noFill/>
                  </pic:spPr>
                </pic:pic>
              </a:graphicData>
            </a:graphic>
          </wp:anchor>
        </w:drawing>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sets forth stock-based compensation expense recognized for the periods presented:</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243"/>
        </w:trPr>
        <w:tc>
          <w:tcPr>
            <w:tcW w:w="7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80"/>
        </w:trPr>
        <w:tc>
          <w:tcPr>
            <w:tcW w:w="7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7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gridSpan w:val="4"/>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302"/>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11,006</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2,637</w:t>
            </w:r>
          </w:p>
        </w:tc>
      </w:tr>
      <w:tr>
        <w:trPr>
          <w:trHeight w:val="303"/>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9,521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8,934</w:t>
            </w:r>
          </w:p>
        </w:tc>
      </w:tr>
      <w:tr>
        <w:trPr>
          <w:trHeight w:val="260"/>
        </w:trPr>
        <w:tc>
          <w:tcPr>
            <w:tcW w:w="74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24,057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23,061</w:t>
            </w:r>
          </w:p>
        </w:tc>
      </w:tr>
      <w:tr>
        <w:trPr>
          <w:trHeight w:val="20"/>
        </w:trPr>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-983615</wp:posOffset>
            </wp:positionV>
            <wp:extent cx="6372225" cy="1003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9">
                      <a:extLst>
                        <a:ext uri="{28A0092B-C50C-407E-A947-70E740481C1C}"/>
                      </a:extLst>
                    </a:blip>
                    <a:srcRect/>
                    <a:stretch>
                      <a:fillRect/>
                    </a:stretch>
                  </pic:blipFill>
                  <pic:spPr bwMode="auto">
                    <a:xfrm>
                      <a:off x="0" y="0"/>
                      <a:ext cx="6372225" cy="10033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Employee Benefit Plan</w:t>
      </w:r>
    </w:p>
    <w:p>
      <w:pPr>
        <w:spacing w:after="0" w:line="257"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20"/>
          <w:szCs w:val="20"/>
          <w:color w:val="auto"/>
        </w:rPr>
        <w:t>The Company sponsors a 401(k) plan covering all employees. Contributions made by the Company are discretionary and are determined annually by the Board of Directors. Effective January 1, 2019, the Company made a discretionary matching contribution equal to dollar for dollar employee contribution, up to 3% eligible compensation of the employee, with a maximum annual contribution from the Company of one thousand dollars per employee. Further, in order for an employee to receive the matching contribution, the employee must be at least 21 years old, work at least 1,000 hours per year, and must be employed by the Company at the beginning through the end of the year.</w:t>
      </w:r>
    </w:p>
    <w:p>
      <w:pPr>
        <w:sectPr>
          <w:pgSz w:w="12240" w:h="15840" w:orient="portrait"/>
          <w:cols w:equalWidth="0" w:num="1">
            <w:col w:w="10800"/>
          </w:cols>
          <w:pgMar w:left="720" w:top="201" w:right="720" w:bottom="0" w:gutter="0" w:footer="0" w:header="0"/>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Net Loss Per Share of Common Stock</w:t>
      </w: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The following table summarizes the computation of basic and 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808355</wp:posOffset>
            </wp:positionV>
            <wp:extent cx="6134100" cy="241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0">
                      <a:extLst>
                        <a:ext uri="{28A0092B-C50C-407E-A947-70E740481C1C}"/>
                      </a:extLst>
                    </a:blip>
                    <a:srcRect/>
                    <a:stretch>
                      <a:fillRect/>
                    </a:stretch>
                  </pic:blipFill>
                  <pic:spPr bwMode="auto">
                    <a:xfrm>
                      <a:off x="0" y="0"/>
                      <a:ext cx="6134100" cy="24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Net loss</w:t>
      </w:r>
    </w:p>
    <w:p>
      <w:pPr>
        <w:spacing w:after="0" w:line="235" w:lineRule="exact"/>
        <w:rPr>
          <w:sz w:val="20"/>
          <w:szCs w:val="20"/>
          <w:color w:val="auto"/>
        </w:rPr>
      </w:pPr>
    </w:p>
    <w:p>
      <w:pPr>
        <w:ind w:left="700" w:right="620"/>
        <w:spacing w:after="0" w:line="422" w:lineRule="auto"/>
        <w:rPr>
          <w:sz w:val="20"/>
          <w:szCs w:val="20"/>
          <w:color w:val="auto"/>
        </w:rPr>
      </w:pPr>
      <w:r>
        <w:rPr>
          <w:rFonts w:ascii="Times New Roman" w:cs="Times New Roman" w:eastAsia="Times New Roman" w:hAnsi="Times New Roman"/>
          <w:sz w:val="20"/>
          <w:szCs w:val="20"/>
          <w:color w:val="auto"/>
        </w:rPr>
        <w:t>Weighted-average shares used to compute basic and diluted net loss per share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-368935</wp:posOffset>
            </wp:positionV>
            <wp:extent cx="6134100" cy="3143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1">
                      <a:extLst>
                        <a:ext uri="{28A0092B-C50C-407E-A947-70E740481C1C}"/>
                      </a:extLst>
                    </a:blip>
                    <a:srcRect/>
                    <a:stretch>
                      <a:fillRect/>
                    </a:stretch>
                  </pic:blipFill>
                  <pic:spPr bwMode="auto">
                    <a:xfrm>
                      <a:off x="0" y="0"/>
                      <a:ext cx="6134100" cy="314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29210</wp:posOffset>
                </wp:positionV>
                <wp:extent cx="151447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4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3pt" to="119pt,2.3pt" o:allowincell="f" strokecolor="#000000" strokeweight="1pt"/>
            </w:pict>
          </mc:Fallback>
        </mc:AlternateContent>
      </w:r>
    </w:p>
    <w:p>
      <w:pPr>
        <w:spacing w:after="0" w:line="58" w:lineRule="exact"/>
        <w:rPr>
          <w:sz w:val="20"/>
          <w:szCs w:val="20"/>
          <w:color w:val="auto"/>
        </w:rPr>
      </w:pPr>
    </w:p>
    <w:p>
      <w:pPr>
        <w:ind w:left="40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33" w:lineRule="exact"/>
        <w:rPr>
          <w:sz w:val="20"/>
          <w:szCs w:val="20"/>
          <w:color w:val="auto"/>
        </w:rPr>
      </w:pPr>
    </w:p>
    <w:p>
      <w:pPr>
        <w:ind w:left="460" w:right="720" w:hanging="264"/>
        <w:spacing w:after="0" w:line="267" w:lineRule="auto"/>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-267335</wp:posOffset>
                </wp:positionV>
                <wp:extent cx="73342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1.0499pt" to="57.5pt,-21.0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777875</wp:posOffset>
                </wp:positionH>
                <wp:positionV relativeFrom="paragraph">
                  <wp:posOffset>-267335</wp:posOffset>
                </wp:positionV>
                <wp:extent cx="73342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25pt,-21.0499pt" to="119pt,-21.0499pt" o:allowincell="f" strokecolor="#000000" strokeweight="1pt"/>
            </w:pict>
          </mc:Fallback>
        </mc:AlternateConten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(61,256)</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405"/>
        </w:trPr>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38,427,419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34,201,824</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5"/>
        </w:trPr>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ectPr>
          <w:pgSz w:w="12240" w:h="15840" w:orient="portrait"/>
          <w:cols w:equalWidth="0" w:num="2">
            <w:col w:w="7520" w:space="300"/>
            <w:col w:w="2980"/>
          </w:cols>
          <w:pgMar w:left="720" w:top="201"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800"/>
          </w:cols>
          <w:pgMar w:left="720" w:top="201" w:right="72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ectPr>
          <w:pgSz w:w="12240" w:h="15840" w:orient="portrait"/>
          <w:cols w:equalWidth="0" w:num="1">
            <w:col w:w="10800"/>
          </w:cols>
          <w:pgMar w:left="720" w:top="20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-166370</wp:posOffset>
            </wp:positionV>
            <wp:extent cx="5549900" cy="2159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2">
                      <a:extLst>
                        <a:ext uri="{28A0092B-C50C-407E-A947-70E740481C1C}"/>
                      </a:extLst>
                    </a:blip>
                    <a:srcRect/>
                    <a:stretch>
                      <a:fillRect/>
                    </a:stretch>
                  </pic:blipFill>
                  <pic:spPr bwMode="auto">
                    <a:xfrm>
                      <a:off x="0" y="0"/>
                      <a:ext cx="5549900" cy="215900"/>
                    </a:xfrm>
                    <a:prstGeom prst="rect">
                      <a:avLst/>
                    </a:prstGeom>
                    <a:noFill/>
                  </pic:spPr>
                </pic:pic>
              </a:graphicData>
            </a:graphic>
          </wp:anchor>
        </w:drawing>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6359525" cy="215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3">
                      <a:extLst>
                        <a:ext uri="{28A0092B-C50C-407E-A947-70E740481C1C}"/>
                      </a:extLst>
                    </a:blip>
                    <a:srcRect/>
                    <a:stretch>
                      <a:fillRect/>
                    </a:stretch>
                  </pic:blipFill>
                  <pic:spPr bwMode="auto">
                    <a:xfrm>
                      <a:off x="0" y="0"/>
                      <a:ext cx="6359525" cy="215900"/>
                    </a:xfrm>
                    <a:prstGeom prst="rect">
                      <a:avLst/>
                    </a:prstGeom>
                    <a:noFill/>
                  </pic:spPr>
                </pic:pic>
              </a:graphicData>
            </a:graphic>
          </wp:anchor>
        </w:drawing>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ESPP purchase rights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Common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6372225" cy="241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4">
                      <a:extLst>
                        <a:ext uri="{28A0092B-C50C-407E-A947-70E740481C1C}"/>
                      </a:extLst>
                    </a:blip>
                    <a:srcRect/>
                    <a:stretch>
                      <a:fillRect/>
                    </a:stretch>
                  </pic:blipFill>
                  <pic:spPr bwMode="auto">
                    <a:xfrm>
                      <a:off x="0" y="0"/>
                      <a:ext cx="6372225" cy="24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The components of the Company’s loss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655955</wp:posOffset>
            </wp:positionV>
            <wp:extent cx="6359525" cy="2159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5">
                      <a:extLst>
                        <a:ext uri="{28A0092B-C50C-407E-A947-70E740481C1C}"/>
                      </a:extLst>
                    </a:blip>
                    <a:srcRect/>
                    <a:stretch>
                      <a:fillRect/>
                    </a:stretch>
                  </pic:blipFill>
                  <pic:spPr bwMode="auto">
                    <a:xfrm>
                      <a:off x="0" y="0"/>
                      <a:ext cx="6359525" cy="21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Domestic</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6372225" cy="241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6">
                      <a:extLst>
                        <a:ext uri="{28A0092B-C50C-407E-A947-70E740481C1C}"/>
                      </a:extLst>
                    </a:blip>
                    <a:srcRect/>
                    <a:stretch>
                      <a:fillRect/>
                    </a:stretch>
                  </pic:blipFill>
                  <pic:spPr bwMode="auto">
                    <a:xfrm>
                      <a:off x="0" y="0"/>
                      <a:ext cx="6372225" cy="241300"/>
                    </a:xfrm>
                    <a:prstGeom prst="rect">
                      <a:avLst/>
                    </a:prstGeom>
                    <a:noFill/>
                  </pic:spPr>
                </pic:pic>
              </a:graphicData>
            </a:graphic>
          </wp:anchor>
        </w:drawing>
      </w:r>
    </w:p>
    <w:p>
      <w:pPr>
        <w:spacing w:after="0" w:line="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Loss before income taxes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29210</wp:posOffset>
                </wp:positionV>
                <wp:extent cx="157099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9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3pt" to="123.35pt,2.3pt" o:allowincell="f" strokecolor="#000000" strokeweight="1pt"/>
            </w:pict>
          </mc:Fallback>
        </mc:AlternateContent>
      </w:r>
    </w:p>
    <w:p>
      <w:pPr>
        <w:spacing w:after="0" w:line="58" w:lineRule="exact"/>
        <w:rPr>
          <w:sz w:val="20"/>
          <w:szCs w:val="20"/>
          <w:color w:val="auto"/>
        </w:rPr>
      </w:pPr>
    </w:p>
    <w:p>
      <w:pPr>
        <w:ind w:left="42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16510</wp:posOffset>
            </wp:positionV>
            <wp:extent cx="787400" cy="2159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7">
                      <a:extLst>
                        <a:ext uri="{28A0092B-C50C-407E-A947-70E740481C1C}"/>
                      </a:extLst>
                    </a:blip>
                    <a:srcRect/>
                    <a:stretch>
                      <a:fillRect/>
                    </a:stretch>
                  </pic:blipFill>
                  <pic:spPr bwMode="auto">
                    <a:xfrm>
                      <a:off x="0" y="0"/>
                      <a:ext cx="787400" cy="21590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20"/>
          <w:szCs w:val="20"/>
          <w:color w:val="auto"/>
        </w:rPr>
        <w:t xml:space="preserve">1,188,708 </w:t>
      </w:r>
      <w:r>
        <w:rPr>
          <w:sz w:val="1"/>
          <w:szCs w:val="1"/>
          <w:color w:val="auto"/>
        </w:rPr>
        <w:drawing>
          <wp:inline distT="0" distB="0" distL="0" distR="0">
            <wp:extent cx="73025" cy="2000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8">
                      <a:extLst>
                        <a:ext uri="{28A0092B-C50C-407E-A947-70E740481C1C}"/>
                      </a:extLst>
                    </a:blip>
                    <a:srcRect/>
                    <a:stretch>
                      <a:fillRect/>
                    </a:stretch>
                  </pic:blipFill>
                  <pic:spPr bwMode="auto">
                    <a:xfrm>
                      <a:off x="0" y="0"/>
                      <a:ext cx="73025" cy="20002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1,903,341</w:t>
      </w:r>
    </w:p>
    <w:p>
      <w:pPr>
        <w:spacing w:after="0" w:line="15" w:lineRule="exact"/>
        <w:rPr>
          <w:sz w:val="20"/>
          <w:szCs w:val="20"/>
          <w:color w:val="auto"/>
        </w:rPr>
      </w:pPr>
    </w:p>
    <w:p>
      <w:pPr>
        <w:ind w:left="340"/>
        <w:spacing w:after="0"/>
        <w:tabs>
          <w:tab w:leader="none" w:pos="1600" w:val="left"/>
        </w:tabs>
        <w:rPr>
          <w:sz w:val="20"/>
          <w:szCs w:val="20"/>
          <w:color w:val="auto"/>
        </w:rPr>
      </w:pPr>
      <w:r>
        <w:rPr>
          <w:rFonts w:ascii="Times New Roman" w:cs="Times New Roman" w:eastAsia="Times New Roman" w:hAnsi="Times New Roman"/>
          <w:sz w:val="20"/>
          <w:szCs w:val="20"/>
          <w:color w:val="auto"/>
        </w:rPr>
        <w:t>2,284,912</w:t>
      </w:r>
      <w:r>
        <w:rPr>
          <w:sz w:val="20"/>
          <w:szCs w:val="20"/>
          <w:color w:val="auto"/>
        </w:rPr>
        <w:tab/>
      </w:r>
      <w:r>
        <w:rPr>
          <w:rFonts w:ascii="Times New Roman" w:cs="Times New Roman" w:eastAsia="Times New Roman" w:hAnsi="Times New Roman"/>
          <w:sz w:val="20"/>
          <w:szCs w:val="20"/>
          <w:color w:val="auto"/>
        </w:rPr>
        <w:t>1,950,524</w:t>
      </w:r>
    </w:p>
    <w:p>
      <w:pPr>
        <w:spacing w:after="0" w:line="70" w:lineRule="exact"/>
        <w:rPr>
          <w:sz w:val="20"/>
          <w:szCs w:val="20"/>
          <w:color w:val="auto"/>
        </w:rPr>
      </w:pPr>
    </w:p>
    <w:p>
      <w:pPr>
        <w:ind w:left="480"/>
        <w:spacing w:after="0"/>
        <w:tabs>
          <w:tab w:leader="none" w:pos="1720" w:val="left"/>
        </w:tabs>
        <w:rPr>
          <w:sz w:val="20"/>
          <w:szCs w:val="20"/>
          <w:color w:val="auto"/>
        </w:rPr>
      </w:pPr>
      <w:r>
        <w:rPr>
          <w:rFonts w:ascii="Times New Roman" w:cs="Times New Roman" w:eastAsia="Times New Roman" w:hAnsi="Times New Roman"/>
          <w:sz w:val="20"/>
          <w:szCs w:val="20"/>
          <w:color w:val="auto"/>
        </w:rPr>
        <w:t>102,172</w:t>
      </w:r>
      <w:r>
        <w:rPr>
          <w:sz w:val="20"/>
          <w:szCs w:val="20"/>
          <w:color w:val="auto"/>
        </w:rPr>
        <w:tab/>
      </w:r>
      <w:r>
        <w:rPr>
          <w:rFonts w:ascii="Times New Roman" w:cs="Times New Roman" w:eastAsia="Times New Roman" w:hAnsi="Times New Roman"/>
          <w:sz w:val="20"/>
          <w:szCs w:val="20"/>
          <w:color w:val="auto"/>
        </w:rPr>
        <w:t>134,226</w:t>
      </w:r>
    </w:p>
    <w:p>
      <w:pPr>
        <w:spacing w:after="0" w:line="70" w:lineRule="exact"/>
        <w:rPr>
          <w:sz w:val="20"/>
          <w:szCs w:val="20"/>
          <w:color w:val="auto"/>
        </w:rPr>
      </w:pPr>
    </w:p>
    <w:p>
      <w:pPr>
        <w:ind w:left="580"/>
        <w:spacing w:after="0"/>
        <w:tabs>
          <w:tab w:leader="none" w:pos="1740" w:val="left"/>
        </w:tabs>
        <w:rPr>
          <w:sz w:val="20"/>
          <w:szCs w:val="20"/>
          <w:color w:val="auto"/>
        </w:rPr>
      </w:pPr>
      <w:r>
        <w:rPr>
          <w:rFonts w:ascii="Times New Roman" w:cs="Times New Roman" w:eastAsia="Times New Roman" w:hAnsi="Times New Roman"/>
          <w:sz w:val="20"/>
          <w:szCs w:val="20"/>
          <w:color w:val="auto"/>
        </w:rPr>
        <w:t>85,139</w:t>
      </w:r>
      <w:r>
        <w:rPr>
          <w:sz w:val="20"/>
          <w:szCs w:val="20"/>
          <w:color w:val="auto"/>
        </w:rPr>
        <w:tab/>
      </w:r>
      <w:r>
        <w:rPr>
          <w:rFonts w:ascii="Times New Roman" w:cs="Times New Roman" w:eastAsia="Times New Roman" w:hAnsi="Times New Roman"/>
          <w:sz w:val="20"/>
          <w:szCs w:val="20"/>
          <w:color w:val="auto"/>
        </w:rPr>
        <w:t>118,122</w:t>
      </w:r>
    </w:p>
    <w:p>
      <w:pPr>
        <w:spacing w:after="0" w:line="70" w:lineRule="exact"/>
        <w:rPr>
          <w:sz w:val="20"/>
          <w:szCs w:val="20"/>
          <w:color w:val="auto"/>
        </w:rPr>
      </w:pPr>
    </w:p>
    <w:p>
      <w:pPr>
        <w:ind w:left="340"/>
        <w:spacing w:after="0"/>
        <w:tabs>
          <w:tab w:leader="none" w:pos="1600" w:val="left"/>
        </w:tabs>
        <w:rPr>
          <w:sz w:val="20"/>
          <w:szCs w:val="20"/>
          <w:color w:val="auto"/>
        </w:rPr>
      </w:pPr>
      <w:r>
        <w:rPr>
          <w:rFonts w:ascii="Times New Roman" w:cs="Times New Roman" w:eastAsia="Times New Roman" w:hAnsi="Times New Roman"/>
          <w:sz w:val="20"/>
          <w:szCs w:val="20"/>
          <w:color w:val="auto"/>
        </w:rPr>
        <w:t>3,660,931</w:t>
      </w:r>
      <w:r>
        <w:rPr>
          <w:sz w:val="20"/>
          <w:szCs w:val="20"/>
          <w:color w:val="auto"/>
        </w:rPr>
        <w:tab/>
      </w:r>
      <w:r>
        <w:rPr>
          <w:rFonts w:ascii="Times New Roman" w:cs="Times New Roman" w:eastAsia="Times New Roman" w:hAnsi="Times New Roman"/>
          <w:sz w:val="20"/>
          <w:szCs w:val="20"/>
          <w:color w:val="auto"/>
        </w:rPr>
        <w:t>4,106,213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29210</wp:posOffset>
                </wp:positionV>
                <wp:extent cx="157099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9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3pt" to="123.35pt,2.3pt" o:allowincell="f" strokecolor="#000000" strokeweight="1pt"/>
            </w:pict>
          </mc:Fallback>
        </mc:AlternateConten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280" w:type="dxa"/>
            <w:vAlign w:val="bottom"/>
          </w:tcPr>
          <w:p>
            <w:pPr>
              <w:spacing w:after="0"/>
              <w:rPr>
                <w:sz w:val="23"/>
                <w:szCs w:val="23"/>
                <w:color w:val="auto"/>
              </w:rPr>
            </w:pPr>
          </w:p>
        </w:tc>
        <w:tc>
          <w:tcPr>
            <w:tcW w:w="2180" w:type="dxa"/>
            <w:vAlign w:val="bottom"/>
            <w:gridSpan w:val="4"/>
          </w:tcPr>
          <w:p>
            <w:pPr>
              <w:jc w:val="right"/>
              <w:ind w:right="543"/>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302"/>
        </w:trPr>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(43,491)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(61,396)</w:t>
            </w:r>
          </w:p>
        </w:tc>
      </w:tr>
      <w:tr>
        <w:trPr>
          <w:trHeight w:val="30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60"/>
        </w:trPr>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(43,336)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(61,256)</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2240" w:h="15840" w:orient="portrait"/>
          <w:cols w:equalWidth="0" w:num="2">
            <w:col w:w="7200" w:space="720"/>
            <w:col w:w="2880"/>
          </w:cols>
          <w:pgMar w:left="720" w:top="201" w:right="720" w:bottom="0" w:gutter="0" w:footer="0" w:header="0"/>
          <w:type w:val="continuous"/>
        </w:sect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There was no provision for income taxes recorded for the years ended December 31, 2023 and 2022. The Company continues to maintain a full valuation allowance against its net deferred tax assets due to the uncertainty surrounding realization of such assets. The Company periodically evaluates the realizability of its net deferred tax assets based on the expected realization and is dependent on the Company's ability to generate sufficient future taxable income during periods prior to the expiration of tax attributes to fully utilize these assets.</w:t>
      </w:r>
    </w:p>
    <w:p>
      <w:pPr>
        <w:sectPr>
          <w:pgSz w:w="12240" w:h="15840" w:orient="portrait"/>
          <w:cols w:equalWidth="0" w:num="1">
            <w:col w:w="10800"/>
          </w:cols>
          <w:pgMar w:left="720" w:top="201"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800"/>
          </w:cols>
          <w:pgMar w:left="720" w:top="201" w:right="720" w:bottom="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components of deferred income taxes are as follows:</w:t>
      </w:r>
    </w:p>
    <w:p>
      <w:pPr>
        <w:spacing w:after="0" w:line="20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5024120</wp:posOffset>
                </wp:positionH>
                <wp:positionV relativeFrom="paragraph">
                  <wp:posOffset>36195</wp:posOffset>
                </wp:positionV>
                <wp:extent cx="157162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1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6pt,2.85pt" to="519.35pt,2.85pt" o:allowincell="f" strokecolor="#000000" strokeweight="1pt"/>
            </w:pict>
          </mc:Fallback>
        </mc:AlternateContent>
      </w:r>
    </w:p>
    <w:p>
      <w:pPr>
        <w:spacing w:after="0" w:line="70" w:lineRule="exact"/>
        <w:rPr>
          <w:sz w:val="20"/>
          <w:szCs w:val="20"/>
          <w:color w:val="auto"/>
        </w:rPr>
      </w:pPr>
    </w:p>
    <w:p>
      <w:pPr>
        <w:ind w:left="8340"/>
        <w:spacing w:after="0"/>
        <w:tabs>
          <w:tab w:leader="none" w:pos="95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5024120</wp:posOffset>
                </wp:positionH>
                <wp:positionV relativeFrom="paragraph">
                  <wp:posOffset>29210</wp:posOffset>
                </wp:positionV>
                <wp:extent cx="7620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6pt,2.3pt" to="455.6pt,2.3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5833745</wp:posOffset>
                </wp:positionH>
                <wp:positionV relativeFrom="paragraph">
                  <wp:posOffset>29210</wp:posOffset>
                </wp:positionV>
                <wp:extent cx="7620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35pt,2.3pt" to="519.35pt,2.3pt" o:allowincell="f" strokecolor="#000000" strokeweight="1pt"/>
            </w:pict>
          </mc:Fallback>
        </mc:AlternateContent>
      </w:r>
    </w:p>
    <w:p>
      <w:pPr>
        <w:sectPr>
          <w:pgSz w:w="12240" w:h="15840" w:orient="portrait"/>
          <w:cols w:equalWidth="0" w:num="1">
            <w:col w:w="10800"/>
          </w:cols>
          <w:pgMar w:left="720" w:top="201" w:right="720" w:bottom="0" w:gutter="0" w:footer="0" w:header="0"/>
        </w:sectPr>
      </w:pP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-166370</wp:posOffset>
            </wp:positionV>
            <wp:extent cx="6359525" cy="215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9">
                      <a:extLst>
                        <a:ext uri="{28A0092B-C50C-407E-A947-70E740481C1C}"/>
                      </a:extLst>
                    </a:blip>
                    <a:srcRect/>
                    <a:stretch>
                      <a:fillRect/>
                    </a:stretch>
                  </pic:blipFill>
                  <pic:spPr bwMode="auto">
                    <a:xfrm>
                      <a:off x="0" y="0"/>
                      <a:ext cx="6359525" cy="215900"/>
                    </a:xfrm>
                    <a:prstGeom prst="rect">
                      <a:avLst/>
                    </a:prstGeom>
                    <a:noFill/>
                  </pic:spPr>
                </pic:pic>
              </a:graphicData>
            </a:graphic>
          </wp:anchor>
        </w:drawing>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6359525" cy="2159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0">
                      <a:extLst>
                        <a:ext uri="{28A0092B-C50C-407E-A947-70E740481C1C}"/>
                      </a:extLst>
                    </a:blip>
                    <a:srcRect/>
                    <a:stretch>
                      <a:fillRect/>
                    </a:stretch>
                  </pic:blipFill>
                  <pic:spPr bwMode="auto">
                    <a:xfrm>
                      <a:off x="0" y="0"/>
                      <a:ext cx="6359525" cy="215900"/>
                    </a:xfrm>
                    <a:prstGeom prst="rect">
                      <a:avLst/>
                    </a:prstGeom>
                    <a:noFill/>
                  </pic:spPr>
                </pic:pic>
              </a:graphicData>
            </a:graphic>
          </wp:anchor>
        </w:drawing>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Foreign</w:t>
      </w:r>
    </w:p>
    <w:p>
      <w:pPr>
        <w:spacing w:after="0" w:line="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Total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6359525" cy="2159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1">
                      <a:extLst>
                        <a:ext uri="{28A0092B-C50C-407E-A947-70E740481C1C}"/>
                      </a:extLst>
                    </a:blip>
                    <a:srcRect/>
                    <a:stretch>
                      <a:fillRect/>
                    </a:stretch>
                  </pic:blipFill>
                  <pic:spPr bwMode="auto">
                    <a:xfrm>
                      <a:off x="0" y="0"/>
                      <a:ext cx="6359525" cy="215900"/>
                    </a:xfrm>
                    <a:prstGeom prst="rect">
                      <a:avLst/>
                    </a:prstGeom>
                    <a:noFill/>
                  </pic:spPr>
                </pic:pic>
              </a:graphicData>
            </a:graphic>
          </wp:anchor>
        </w:drawing>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Change in deferred tax valuation allowance</w:t>
      </w:r>
    </w:p>
    <w:p>
      <w:pPr>
        <w:spacing w:after="0" w:line="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Net deferred income tax</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21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302"/>
        </w:trPr>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13,085</w:t>
            </w:r>
          </w:p>
        </w:tc>
      </w:tr>
      <w:tr>
        <w:trPr>
          <w:trHeight w:val="300"/>
        </w:trPr>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2,997</w:t>
            </w:r>
          </w:p>
        </w:tc>
      </w:tr>
      <w:tr>
        <w:trPr>
          <w:trHeight w:val="303"/>
        </w:trPr>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77"/>
        </w:trPr>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15,990</w:t>
            </w:r>
          </w:p>
        </w:tc>
      </w:tr>
      <w:tr>
        <w:trPr>
          <w:trHeight w:val="303"/>
        </w:trPr>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(12,434)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(15,990)</w:t>
            </w:r>
          </w:p>
        </w:tc>
      </w:tr>
      <w:tr>
        <w:trPr>
          <w:trHeight w:val="260"/>
        </w:trPr>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-56515</wp:posOffset>
            </wp:positionV>
            <wp:extent cx="1622425" cy="76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2">
                      <a:extLst>
                        <a:ext uri="{28A0092B-C50C-407E-A947-70E740481C1C}"/>
                      </a:extLst>
                    </a:blip>
                    <a:srcRect/>
                    <a:stretch>
                      <a:fillRect/>
                    </a:stretch>
                  </pic:blipFill>
                  <pic:spPr bwMode="auto">
                    <a:xfrm>
                      <a:off x="0" y="0"/>
                      <a:ext cx="1622425" cy="76200"/>
                    </a:xfrm>
                    <a:prstGeom prst="rect">
                      <a:avLst/>
                    </a:prstGeom>
                    <a:noFill/>
                  </pic:spPr>
                </pic:pic>
              </a:graphicData>
            </a:graphic>
          </wp:anchor>
        </w:drawing>
      </w:r>
    </w:p>
    <w:p>
      <w:pPr>
        <w:spacing w:after="0" w:line="148" w:lineRule="exact"/>
        <w:rPr>
          <w:sz w:val="20"/>
          <w:szCs w:val="20"/>
          <w:color w:val="auto"/>
        </w:rPr>
      </w:pPr>
    </w:p>
    <w:p>
      <w:pPr>
        <w:sectPr>
          <w:pgSz w:w="12240" w:h="15840" w:orient="portrait"/>
          <w:cols w:equalWidth="0" w:num="2">
            <w:col w:w="7200" w:space="720"/>
            <w:col w:w="2880"/>
          </w:cols>
          <w:pgMar w:left="720" w:top="201" w:right="720" w:bottom="0" w:gutter="0" w:footer="0" w:header="0"/>
          <w:type w:val="continuous"/>
        </w:sectPr>
      </w:pPr>
    </w:p>
    <w:p>
      <w:pPr>
        <w:ind w:left="540"/>
        <w:spacing w:after="0"/>
        <w:rPr>
          <w:sz w:val="20"/>
          <w:szCs w:val="20"/>
          <w:color w:val="auto"/>
        </w:rPr>
      </w:pPr>
      <w:r>
        <w:rPr>
          <w:rFonts w:ascii="Times New Roman" w:cs="Times New Roman" w:eastAsia="Times New Roman" w:hAnsi="Times New Roman"/>
          <w:sz w:val="20"/>
          <w:szCs w:val="20"/>
          <w:color w:val="auto"/>
        </w:rPr>
        <w:t>Income tax expense differs from the amount computed by applying the statutory federal income tax rate due to the following:</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7460" w:type="dxa"/>
            <w:vAlign w:val="bottom"/>
          </w:tcPr>
          <w:p>
            <w:pPr>
              <w:spacing w:after="0"/>
              <w:rPr>
                <w:sz w:val="21"/>
                <w:szCs w:val="21"/>
                <w:color w:val="auto"/>
              </w:rPr>
            </w:pPr>
          </w:p>
        </w:tc>
        <w:tc>
          <w:tcPr>
            <w:tcW w:w="2460" w:type="dxa"/>
            <w:vAlign w:val="bottom"/>
            <w:tcBorders>
              <w:bottom w:val="single" w:sz="8" w:color="auto"/>
            </w:tcBorders>
            <w:gridSpan w:val="3"/>
          </w:tcPr>
          <w:p>
            <w:pPr>
              <w:jc w:val="right"/>
              <w:ind w:right="12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7460" w:type="dxa"/>
            <w:vAlign w:val="bottom"/>
          </w:tcPr>
          <w:p>
            <w:pPr>
              <w:spacing w:after="0"/>
              <w:rPr>
                <w:sz w:val="23"/>
                <w:szCs w:val="23"/>
                <w:color w:val="auto"/>
              </w:rPr>
            </w:pPr>
          </w:p>
        </w:tc>
        <w:tc>
          <w:tcPr>
            <w:tcW w:w="12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12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7"/>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Tax at statutory federal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30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State tax, net of federal benefit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0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r>
      <w:tr>
        <w:trPr>
          <w:trHeight w:val="30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Change in deferred tax valuation allowance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26.1 %</w:t>
            </w:r>
          </w:p>
        </w:tc>
      </w:tr>
      <w:tr>
        <w:trPr>
          <w:trHeight w:val="30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0.3 %</w:t>
            </w:r>
          </w:p>
        </w:tc>
      </w:tr>
      <w:tr>
        <w:trPr>
          <w:trHeight w:val="30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Foreign rate differences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0.1 %</w:t>
            </w:r>
          </w:p>
        </w:tc>
      </w:tr>
      <w:tr>
        <w:trPr>
          <w:trHeight w:val="303"/>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0.1 %</w:t>
            </w:r>
          </w:p>
        </w:tc>
      </w:tr>
      <w:tr>
        <w:trPr>
          <w:trHeight w:val="26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expense</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0"/>
        </w:trPr>
        <w:tc>
          <w:tcPr>
            <w:tcW w:w="7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-1555115</wp:posOffset>
            </wp:positionV>
            <wp:extent cx="6359525" cy="2159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3">
                      <a:extLst>
                        <a:ext uri="{28A0092B-C50C-407E-A947-70E740481C1C}"/>
                      </a:extLst>
                    </a:blip>
                    <a:srcRect/>
                    <a:stretch>
                      <a:fillRect/>
                    </a:stretch>
                  </pic:blipFill>
                  <pic:spPr bwMode="auto">
                    <a:xfrm>
                      <a:off x="0" y="0"/>
                      <a:ext cx="6359525" cy="21590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-1174115</wp:posOffset>
            </wp:positionV>
            <wp:extent cx="6359525" cy="215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4">
                      <a:extLst>
                        <a:ext uri="{28A0092B-C50C-407E-A947-70E740481C1C}"/>
                      </a:extLst>
                    </a:blip>
                    <a:srcRect/>
                    <a:stretch>
                      <a:fillRect/>
                    </a:stretch>
                  </pic:blipFill>
                  <pic:spPr bwMode="auto">
                    <a:xfrm>
                      <a:off x="0" y="0"/>
                      <a:ext cx="6359525" cy="21590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-793115</wp:posOffset>
            </wp:positionV>
            <wp:extent cx="6372225" cy="812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5">
                      <a:extLst>
                        <a:ext uri="{28A0092B-C50C-407E-A947-70E740481C1C}"/>
                      </a:extLst>
                    </a:blip>
                    <a:srcRect/>
                    <a:stretch>
                      <a:fillRect/>
                    </a:stretch>
                  </pic:blipFill>
                  <pic:spPr bwMode="auto">
                    <a:xfrm>
                      <a:off x="0" y="0"/>
                      <a:ext cx="6372225" cy="812800"/>
                    </a:xfrm>
                    <a:prstGeom prst="rect">
                      <a:avLst/>
                    </a:prstGeom>
                    <a:noFill/>
                  </pic:spPr>
                </pic:pic>
              </a:graphicData>
            </a:graphic>
          </wp:anchor>
        </w:drawing>
      </w:r>
    </w:p>
    <w:p>
      <w:pPr>
        <w:spacing w:after="0" w:line="128" w:lineRule="exact"/>
        <w:rPr>
          <w:sz w:val="20"/>
          <w:szCs w:val="20"/>
          <w:color w:val="auto"/>
        </w:rPr>
      </w:pPr>
    </w:p>
    <w:p>
      <w:pPr>
        <w:ind w:firstLine="495"/>
        <w:spacing w:after="0" w:line="281" w:lineRule="auto"/>
        <w:rPr>
          <w:sz w:val="20"/>
          <w:szCs w:val="20"/>
          <w:color w:val="auto"/>
        </w:rPr>
      </w:pPr>
      <w:r>
        <w:rPr>
          <w:rFonts w:ascii="Times New Roman" w:cs="Times New Roman" w:eastAsia="Times New Roman" w:hAnsi="Times New Roman"/>
          <w:sz w:val="20"/>
          <w:szCs w:val="20"/>
          <w:color w:val="auto"/>
        </w:rPr>
        <w:t>The tax effects of temporary differences and carryforwards that give rise to significant portions of the deferred tax assets are presented below:</w:t>
      </w:r>
    </w:p>
    <w:p>
      <w:pPr>
        <w:spacing w:after="0" w:line="135" w:lineRule="exact"/>
        <w:rPr>
          <w:sz w:val="20"/>
          <w:szCs w:val="20"/>
          <w:color w:val="auto"/>
        </w:rPr>
      </w:pPr>
    </w:p>
    <w:tbl>
      <w:tblPr>
        <w:tblLayout w:type="fixed"/>
        <w:tblInd w:w="520" w:type="dxa"/>
        <w:tblCellMar>
          <w:top w:w="0" w:type="dxa"/>
          <w:left w:w="0" w:type="dxa"/>
          <w:bottom w:w="0" w:type="dxa"/>
          <w:right w:w="0" w:type="dxa"/>
        </w:tblCellMar>
      </w:tblPr>
      <w:tr>
        <w:trPr>
          <w:trHeight w:val="243"/>
        </w:trPr>
        <w:tc>
          <w:tcPr>
            <w:tcW w:w="7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74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75"/>
        </w:trPr>
        <w:tc>
          <w:tcPr>
            <w:tcW w:w="7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Pr>
          <w:p>
            <w:pPr>
              <w:spacing w:after="0"/>
              <w:rPr>
                <w:sz w:val="23"/>
                <w:szCs w:val="23"/>
                <w:color w:val="auto"/>
              </w:rPr>
            </w:pPr>
          </w:p>
        </w:tc>
      </w:tr>
      <w:tr>
        <w:trPr>
          <w:trHeight w:val="302"/>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85,173</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77,057</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4,464</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Accruals and reserves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2,616</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Interest limitation</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4,447</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3,378</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w:t>
            </w:r>
          </w:p>
        </w:tc>
      </w:tr>
      <w:tr>
        <w:trPr>
          <w:trHeight w:val="303"/>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4,614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2,486</w:t>
            </w:r>
          </w:p>
        </w:tc>
      </w:tr>
      <w:tr>
        <w:trPr>
          <w:trHeight w:val="277"/>
        </w:trPr>
        <w:tc>
          <w:tcPr>
            <w:tcW w:w="74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107,888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95,790</w:t>
            </w:r>
          </w:p>
        </w:tc>
      </w:tr>
      <w:tr>
        <w:trPr>
          <w:trHeight w:val="303"/>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(1,014)</w:t>
            </w:r>
          </w:p>
        </w:tc>
      </w:tr>
      <w:tr>
        <w:trPr>
          <w:trHeight w:val="280"/>
        </w:trPr>
        <w:tc>
          <w:tcPr>
            <w:tcW w:w="74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(1,014)</w:t>
            </w:r>
          </w:p>
        </w:tc>
      </w:tr>
      <w:tr>
        <w:trPr>
          <w:trHeight w:val="28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(107,210)</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(94,776)</w:t>
            </w:r>
          </w:p>
        </w:tc>
      </w:tr>
      <w:tr>
        <w:trPr>
          <w:trHeight w:val="260"/>
        </w:trPr>
        <w:tc>
          <w:tcPr>
            <w:tcW w:w="74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deferred tax asset, net of valuation allowance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-2507615</wp:posOffset>
            </wp:positionV>
            <wp:extent cx="6372225" cy="2527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6">
                      <a:extLst>
                        <a:ext uri="{28A0092B-C50C-407E-A947-70E740481C1C}"/>
                      </a:extLst>
                    </a:blip>
                    <a:srcRect/>
                    <a:stretch>
                      <a:fillRect/>
                    </a:stretch>
                  </pic:blipFill>
                  <pic:spPr bwMode="auto">
                    <a:xfrm>
                      <a:off x="0" y="0"/>
                      <a:ext cx="6372225" cy="2527300"/>
                    </a:xfrm>
                    <a:prstGeom prst="rect">
                      <a:avLst/>
                    </a:prstGeom>
                    <a:noFill/>
                  </pic:spPr>
                </pic:pic>
              </a:graphicData>
            </a:graphic>
          </wp:anchor>
        </w:drawing>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changes in the valuation allowance for the years ended December 31, 2023 and 2022:</w:t>
      </w:r>
    </w:p>
    <w:p>
      <w:pPr>
        <w:sectPr>
          <w:pgSz w:w="12240" w:h="15840" w:orient="portrait"/>
          <w:cols w:equalWidth="0" w:num="1">
            <w:col w:w="10800"/>
          </w:cols>
          <w:pgMar w:left="720" w:top="201"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800"/>
          </w:cols>
          <w:pgMar w:left="720" w:top="201" w:right="720" w:bottom="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440" w:type="dxa"/>
        <w:tblCellMar>
          <w:top w:w="0" w:type="dxa"/>
          <w:left w:w="0" w:type="dxa"/>
          <w:bottom w:w="0" w:type="dxa"/>
          <w:right w:w="0" w:type="dxa"/>
        </w:tblCellMar>
      </w:tblPr>
      <w:tr>
        <w:trPr>
          <w:trHeight w:val="243"/>
        </w:trPr>
        <w:tc>
          <w:tcPr>
            <w:tcW w:w="7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7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7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20" w:type="dxa"/>
            <w:vAlign w:val="bottom"/>
            <w:gridSpan w:val="4"/>
          </w:tcPr>
          <w:p>
            <w:pPr>
              <w:jc w:val="right"/>
              <w:ind w:right="583"/>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302"/>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94,776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78,786</w:t>
            </w:r>
          </w:p>
        </w:tc>
      </w:tr>
      <w:tr>
        <w:trPr>
          <w:trHeight w:val="303"/>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Net changes during the period</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12,434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15,990</w:t>
            </w:r>
          </w:p>
        </w:tc>
      </w:tr>
      <w:tr>
        <w:trPr>
          <w:trHeight w:val="260"/>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107,210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94,776</w:t>
            </w:r>
          </w:p>
        </w:tc>
      </w:tr>
      <w:tr>
        <w:trPr>
          <w:trHeight w:val="20"/>
        </w:trPr>
        <w:tc>
          <w:tcPr>
            <w:tcW w:w="7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-602615</wp:posOffset>
            </wp:positionV>
            <wp:extent cx="6400800" cy="6223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7">
                      <a:extLst>
                        <a:ext uri="{28A0092B-C50C-407E-A947-70E740481C1C}"/>
                      </a:extLst>
                    </a:blip>
                    <a:srcRect/>
                    <a:stretch>
                      <a:fillRect/>
                    </a:stretch>
                  </pic:blipFill>
                  <pic:spPr bwMode="auto">
                    <a:xfrm>
                      <a:off x="0" y="0"/>
                      <a:ext cx="6400800" cy="622300"/>
                    </a:xfrm>
                    <a:prstGeom prst="rect">
                      <a:avLst/>
                    </a:prstGeom>
                    <a:noFill/>
                  </pic:spPr>
                </pic:pic>
              </a:graphicData>
            </a:graphic>
          </wp:anchor>
        </w:drawing>
      </w:r>
    </w:p>
    <w:p>
      <w:pPr>
        <w:spacing w:after="0" w:line="128"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2023, the Company had net operating loss (“NOL”) carryforwards of approximately $331.6 million and $259.6 million available to reduce future taxable income, if any, for federal and state income tax purposes, respectively. If not utilized, the Company’s federal NOL carryforward begins to expire in 2030, and the state NOL carryforward began to expire in 2023.</w:t>
      </w:r>
    </w:p>
    <w:p>
      <w:pPr>
        <w:spacing w:after="0" w:line="195"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2023, the Company had credit carryforwards of approximately $4.6 million and $3.8 million available to reduce future taxable income, if any, for both federal and state income tax purposes, respectively. The federal credits begin to expire in 2029, and the state credits have no expiration date.</w:t>
      </w:r>
    </w:p>
    <w:p>
      <w:pPr>
        <w:spacing w:after="0" w:line="195"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 Company updated its Section 382 ownership change analysis through December 31, 2020 and determined that the last ownership change was in February 2020 due to the follow-offering. The analysis concluded that no additional NOL carryforwards will expire due to the Section 382 limitation from the ownership change for both federal and state tax purposes. The Company maintains the reduction of $1.4 million of its NOL carryforwards from the previous ownership change. The Company has reviewed changes in the outstanding number of shares and equity transactions for the period January 1, 2021 through December 31, 2023 to determine if an additional ownership change occurred for Section 382 purposes. The Company reasonably believes no additional ownership change occurred in the current year, however, noted there has been a material increase to the equity shift. The Company will continually assess the need to update its Section 382 ownership change analysis. An ownership change in the future could materially limit the Company’s ability to utilize its NOL carryforwards and other tax attributes.</w:t>
      </w:r>
    </w:p>
    <w:p>
      <w:pPr>
        <w:spacing w:after="0" w:line="209" w:lineRule="exact"/>
        <w:rPr>
          <w:sz w:val="20"/>
          <w:szCs w:val="20"/>
          <w:color w:val="auto"/>
        </w:rPr>
      </w:pPr>
    </w:p>
    <w:p>
      <w:pPr>
        <w:jc w:val="both"/>
        <w:ind w:firstLine="540"/>
        <w:spacing w:after="0"/>
        <w:rPr>
          <w:sz w:val="20"/>
          <w:szCs w:val="20"/>
          <w:color w:val="auto"/>
        </w:rPr>
      </w:pPr>
      <w:r>
        <w:rPr>
          <w:rFonts w:ascii="Times New Roman" w:cs="Times New Roman" w:eastAsia="Times New Roman" w:hAnsi="Times New Roman"/>
          <w:sz w:val="20"/>
          <w:szCs w:val="20"/>
          <w:color w:val="auto"/>
        </w:rPr>
        <w:t>Under an Organization for Economic Co-operation and Development Inclusive Framework, countries that agreed to enact a two-pillar solution aim to address the challenges arising from the digitalization of the world economy (Pillar Two). Pillar Two sets out a global minimum Effective Tax Rate (ETR) rules to ensure that large multinational businesses with consolidated revenue over €750 million are subject to a minimum ETR of 15% on income arising in low-tax jurisdictions. Rules under Pillar Two are expected to be enacted beginning January 1, 2024. The Company will continue to monitor the impact of Pillar Two; however, the Pillar Two is currently not applicable as the Company does not meet the threshold of having consolidated revenue over €750 million.</w:t>
      </w:r>
    </w:p>
    <w:p>
      <w:pPr>
        <w:spacing w:after="0" w:line="204"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2023 and 2022 consisted of the following:</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7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80"/>
        </w:trPr>
        <w:tc>
          <w:tcPr>
            <w:tcW w:w="7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7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40" w:type="dxa"/>
            <w:vAlign w:val="bottom"/>
            <w:gridSpan w:val="4"/>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302"/>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the year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2,655</w:t>
            </w:r>
          </w:p>
        </w:tc>
      </w:tr>
      <w:tr>
        <w:trPr>
          <w:trHeight w:val="30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Increases related to tax positions taken prior to current year</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03"/>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Increases related to current year's tax positions</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w:t>
            </w:r>
          </w:p>
        </w:tc>
      </w:tr>
      <w:tr>
        <w:trPr>
          <w:trHeight w:val="26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the year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2,944</w:t>
            </w:r>
          </w:p>
        </w:tc>
      </w:tr>
      <w:tr>
        <w:trPr>
          <w:trHeight w:val="20"/>
        </w:trPr>
        <w:tc>
          <w:tcPr>
            <w:tcW w:w="7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-793115</wp:posOffset>
            </wp:positionV>
            <wp:extent cx="6416675" cy="215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8">
                      <a:extLst>
                        <a:ext uri="{28A0092B-C50C-407E-A947-70E740481C1C}"/>
                      </a:extLst>
                    </a:blip>
                    <a:srcRect/>
                    <a:stretch>
                      <a:fillRect/>
                    </a:stretch>
                  </pic:blipFill>
                  <pic:spPr bwMode="auto">
                    <a:xfrm>
                      <a:off x="0" y="0"/>
                      <a:ext cx="6416675" cy="215900"/>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-412115</wp:posOffset>
            </wp:positionV>
            <wp:extent cx="6429375" cy="431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9">
                      <a:extLst>
                        <a:ext uri="{28A0092B-C50C-407E-A947-70E740481C1C}"/>
                      </a:extLst>
                    </a:blip>
                    <a:srcRect/>
                    <a:stretch>
                      <a:fillRect/>
                    </a:stretch>
                  </pic:blipFill>
                  <pic:spPr bwMode="auto">
                    <a:xfrm>
                      <a:off x="0" y="0"/>
                      <a:ext cx="6429375" cy="431800"/>
                    </a:xfrm>
                    <a:prstGeom prst="rect">
                      <a:avLst/>
                    </a:prstGeom>
                    <a:noFill/>
                  </pic:spPr>
                </pic:pic>
              </a:graphicData>
            </a:graphic>
          </wp:anchor>
        </w:drawing>
      </w:r>
    </w:p>
    <w:p>
      <w:pPr>
        <w:spacing w:after="0" w:line="381"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Company has elected to recognize interest and penalties related to uncertain tax positions as a component of income tax expense. The Company has no accrued interest related to unrecognized tax benefits as of December 31, 2023 and 2022. None of the Company’s unrecognized tax benefits that, if recognized, would affect its effective tax rates for the years ended December 31, 2023 and 2022. The Company does not anticipate the total amounts of unrecognized tax benefits will significantly increase or decrease in the next 12 months.</w:t>
      </w:r>
    </w:p>
    <w:p>
      <w:pPr>
        <w:spacing w:after="0" w:line="204"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The Company currently has no federal, state or foreign tax examinations in progress nor has it had any federal or state examinations since inception. As a result of the Company’s net operating loss carry forwards, all of its tax years are subject to federal and state tax examinations.</w:t>
      </w:r>
    </w:p>
    <w:p>
      <w:pPr>
        <w:sectPr>
          <w:pgSz w:w="12240" w:h="15840" w:orient="portrait"/>
          <w:cols w:equalWidth="0" w:num="1">
            <w:col w:w="10800"/>
          </w:cols>
          <w:pgMar w:left="720" w:top="201" w:right="720" w:bottom="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800"/>
          </w:cols>
          <w:pgMar w:left="720" w:top="201" w:right="720" w:bottom="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SI-BONE,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14. Related Party Transactions</w:t>
      </w:r>
    </w:p>
    <w:p>
      <w:pPr>
        <w:spacing w:after="0" w:line="231"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On February 24, 2020, the Company entered into a joint development agreement (the “Development Agreement”) with SeaSpine Orthopedics Corporation (“SeaSpine”), which recently merged with Orthofix Medical, Inc. ("Orthofix"),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 On October 4, 2023, Keith C. Valentine resigned as a member of the Board of Directors of Orthofix. As such, subsequent to October 4, 2023, SeaSpine is no longer a related party of the Company.</w:t>
      </w:r>
    </w:p>
    <w:p>
      <w:pPr>
        <w:spacing w:after="0" w:line="213"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year ended December 31, 2023, the Company did not incur any reimbursement charges but purchased an immaterial amount of instrument components from Seaspine. For the year ended December 31, 2022, the Company expensed $38,725 of reimbursement charges from SeaSpine. The reimbursement charges were recorded within research and development expense in the consolidated statement of operations.</w:t>
      </w:r>
    </w:p>
    <w:p>
      <w:pPr>
        <w:spacing w:after="0" w:line="210"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 The Company recorded $0.3 million of royalty for the year ended December 31, 2023. The Company recorded an immaterial amount of royalty for the year ended December 31, 2022.</w:t>
      </w:r>
    </w:p>
    <w:p>
      <w:pPr>
        <w:spacing w:after="0" w:line="209"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outstanding liability to SeaSpine as of December 31, 2023 and December 31, 2022 was $0.1 million and was recorded within accounts payable and accrued liabilities and other in the consolidated balance sheet.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Subsequent Events</w:t>
      </w:r>
    </w:p>
    <w:p>
      <w:pPr>
        <w:spacing w:after="0" w:line="241" w:lineRule="exact"/>
        <w:rPr>
          <w:sz w:val="20"/>
          <w:szCs w:val="20"/>
          <w:color w:val="auto"/>
        </w:rPr>
      </w:pPr>
    </w:p>
    <w:p>
      <w:pPr>
        <w:ind w:right="140" w:firstLine="540"/>
        <w:spacing w:after="0" w:line="249" w:lineRule="auto"/>
        <w:rPr>
          <w:sz w:val="20"/>
          <w:szCs w:val="20"/>
          <w:color w:val="auto"/>
        </w:rPr>
      </w:pPr>
      <w:r>
        <w:rPr>
          <w:rFonts w:ascii="Times New Roman" w:cs="Times New Roman" w:eastAsia="Times New Roman" w:hAnsi="Times New Roman"/>
          <w:sz w:val="20"/>
          <w:szCs w:val="20"/>
          <w:color w:val="auto"/>
        </w:rPr>
        <w:t>On January 25, 2024, the Company entered into a Second Amendment to Loan and Security Agreement (the “Second Amendment”) with SVB which amends the Company's First Amendment. The Second Amendment revised certain provisions related to financial covenants and the periods in which the covenants apply.</w:t>
      </w:r>
    </w:p>
    <w:p>
      <w:pPr>
        <w:spacing w:after="0" w:line="180" w:lineRule="exact"/>
        <w:rPr>
          <w:sz w:val="20"/>
          <w:szCs w:val="20"/>
          <w:color w:val="auto"/>
        </w:rPr>
      </w:pPr>
    </w:p>
    <w:p>
      <w:pPr>
        <w:ind w:right="140" w:firstLine="540"/>
        <w:spacing w:after="0" w:line="249" w:lineRule="auto"/>
        <w:rPr>
          <w:sz w:val="20"/>
          <w:szCs w:val="20"/>
          <w:color w:val="auto"/>
        </w:rPr>
      </w:pPr>
      <w:r>
        <w:rPr>
          <w:rFonts w:ascii="Times New Roman" w:cs="Times New Roman" w:eastAsia="Times New Roman" w:hAnsi="Times New Roman"/>
          <w:sz w:val="20"/>
          <w:szCs w:val="20"/>
          <w:color w:val="auto"/>
        </w:rPr>
        <w:t>On February 23, 2024 the Company entered into a Manufacture and Supply Agreement with RMS Company, for the manufacture and supply of our requirements for iFuse-3D, iFuse-TORQ and components of iFuse Bedrock Granite implants. Pricing is set forth in the agreement through the end of 2026. The agreement has a three year initial term with automatic one-year renewals.</w:t>
      </w:r>
    </w:p>
    <w:p>
      <w:pPr>
        <w:sectPr>
          <w:pgSz w:w="12240" w:h="15840" w:orient="portrait"/>
          <w:cols w:equalWidth="0" w:num="1">
            <w:col w:w="10800"/>
          </w:cols>
          <w:pgMar w:left="720" w:top="20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800"/>
          </w:cols>
          <w:pgMar w:left="720" w:top="201" w:right="72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color w:val="auto"/>
        </w:rPr>
        <w:t>Supplementary Data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Selected Quarterly Consolidated Financial Data (Unaudited)</w:t>
      </w:r>
    </w:p>
    <w:p>
      <w:pPr>
        <w:spacing w:after="0" w:line="199" w:lineRule="exact"/>
        <w:rPr>
          <w:sz w:val="20"/>
          <w:szCs w:val="20"/>
          <w:color w:val="auto"/>
        </w:rPr>
      </w:pPr>
    </w:p>
    <w:p>
      <w:pPr>
        <w:jc w:val="both"/>
        <w:ind w:firstLine="450"/>
        <w:spacing w:after="0" w:line="249" w:lineRule="auto"/>
        <w:rPr>
          <w:sz w:val="20"/>
          <w:szCs w:val="20"/>
          <w:color w:val="auto"/>
        </w:rPr>
      </w:pPr>
      <w:r>
        <w:rPr>
          <w:rFonts w:ascii="Times New Roman" w:cs="Times New Roman" w:eastAsia="Times New Roman" w:hAnsi="Times New Roman"/>
          <w:sz w:val="20"/>
          <w:szCs w:val="20"/>
          <w:color w:val="auto"/>
        </w:rPr>
        <w:t>Pursuant to the amendments to Item 302 of Regulation S-K, since we do not have any material retrospective change to the statements of comprehensive income for any of the quarters within the two most recent fiscal years either individually or in the aggregate, we are not required to disclose the quarterly financial data.</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Schedule II - Valuation and Qualifying Accounts</w:t>
      </w:r>
    </w:p>
    <w:p>
      <w:pPr>
        <w:spacing w:after="0" w:line="259" w:lineRule="exact"/>
        <w:rPr>
          <w:sz w:val="20"/>
          <w:szCs w:val="20"/>
          <w:color w:val="auto"/>
        </w:rPr>
      </w:pPr>
    </w:p>
    <w:p>
      <w:pPr>
        <w:jc w:val="both"/>
        <w:ind w:firstLine="450"/>
        <w:spacing w:after="0" w:line="302" w:lineRule="auto"/>
        <w:rPr>
          <w:sz w:val="20"/>
          <w:szCs w:val="20"/>
          <w:color w:val="auto"/>
        </w:rPr>
      </w:pPr>
      <w:r>
        <w:rPr>
          <w:rFonts w:ascii="Times New Roman" w:cs="Times New Roman" w:eastAsia="Times New Roman" w:hAnsi="Times New Roman"/>
          <w:sz w:val="20"/>
          <w:szCs w:val="20"/>
          <w:color w:val="auto"/>
        </w:rPr>
        <w:t>All schedules are omitted because they are not applicable, or the required information is shown in the financial statements or notes thereto.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79"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jc w:val="both"/>
        <w:ind w:firstLine="450"/>
        <w:spacing w:after="0" w:line="275" w:lineRule="auto"/>
        <w:rPr>
          <w:sz w:val="20"/>
          <w:szCs w:val="20"/>
          <w:color w:val="auto"/>
        </w:rPr>
      </w:pPr>
      <w:r>
        <w:rPr>
          <w:rFonts w:ascii="Times New Roman" w:cs="Times New Roman" w:eastAsia="Times New Roman" w:hAnsi="Times New Roman"/>
          <w:sz w:val="20"/>
          <w:szCs w:val="20"/>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12"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As of December 31, 2023, our management, with the participation of our Chief Executive Officer (“CEO”) and our Chief Financial Officer (“CFO”), have evaluated our disclosure controls and procedures (as defined in Rules 13a</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15(e) and 15d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15(e) under the Securities Exchange Act of 1934, as amended). Based on that evaluation, our CEO and our CFO have concluded that, as of December 31, 2023, our disclosure controls and procedures were effective at the reasonable assurance level.</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79" w:lineRule="exact"/>
        <w:rPr>
          <w:sz w:val="20"/>
          <w:szCs w:val="20"/>
          <w:color w:val="auto"/>
        </w:rPr>
      </w:pPr>
    </w:p>
    <w:p>
      <w:pPr>
        <w:jc w:val="both"/>
        <w:ind w:firstLine="450"/>
        <w:spacing w:after="0" w:line="238"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as of December 31, 2023 based on the criteria set forth in "Internal Control-Integrated Framework" (2013 framework) issued by the Committee of Sponsoring Organizations of the Treadway Commission (COSO). Based on this assessment, management has concluded that our internal control over financial reporting was effective as of December 31, 2023 based on those criteria. The effectiveness of our internal control over financial reporting as of December 31, 2023 has been audited by our independent registered public accounting firm, PricewaterhouseCoopers LLP, as stated in their report, which appears in Part II, Item 8 of this Annual Report on Form 10-K.</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56"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that occurred during the quarter ended December 31, 2023 that have materially affected, or are reasonably likely to materially affect, our internal control over financial reporting.</w:t>
      </w:r>
    </w:p>
    <w:p>
      <w:pPr>
        <w:sectPr>
          <w:pgSz w:w="12240" w:h="15840" w:orient="portrait"/>
          <w:cols w:equalWidth="0" w:num="1">
            <w:col w:w="10800"/>
          </w:cols>
          <w:pgMar w:left="720" w:top="6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800"/>
          </w:cols>
          <w:pgMar w:left="720" w:top="651" w:right="72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7" w:lineRule="exact"/>
        <w:rPr>
          <w:sz w:val="20"/>
          <w:szCs w:val="20"/>
          <w:color w:val="auto"/>
        </w:rPr>
      </w:pPr>
    </w:p>
    <w:p>
      <w:pPr>
        <w:jc w:val="both"/>
        <w:ind w:right="20" w:firstLine="360"/>
        <w:spacing w:after="0" w:line="265" w:lineRule="auto"/>
        <w:rPr>
          <w:sz w:val="20"/>
          <w:szCs w:val="20"/>
          <w:color w:val="auto"/>
        </w:rPr>
      </w:pPr>
      <w:r>
        <w:rPr>
          <w:rFonts w:ascii="Times New Roman" w:cs="Times New Roman" w:eastAsia="Times New Roman" w:hAnsi="Times New Roman"/>
          <w:sz w:val="20"/>
          <w:szCs w:val="20"/>
          <w:color w:val="auto"/>
        </w:rPr>
        <w:t>During the fiscal quarter ended December 31, 2023, the following Section 16 officer and director adopted, modified or terminated a “Rule 10b5-1 trading arrangement” (as defined in Item 408 of Regulation S-K of the Exchange Act) as set forth in the table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136525</wp:posOffset>
                </wp:positionV>
                <wp:extent cx="0" cy="314642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64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0.75pt" to="18pt,25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136525</wp:posOffset>
                </wp:positionV>
                <wp:extent cx="0" cy="314642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6425"/>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0.75pt" to="18pt,25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1057275</wp:posOffset>
                </wp:positionH>
                <wp:positionV relativeFrom="paragraph">
                  <wp:posOffset>136525</wp:posOffset>
                </wp:positionV>
                <wp:extent cx="0" cy="251777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77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25pt,10.75pt" to="83.25pt,2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1885950</wp:posOffset>
                </wp:positionH>
                <wp:positionV relativeFrom="paragraph">
                  <wp:posOffset>136525</wp:posOffset>
                </wp:positionV>
                <wp:extent cx="0" cy="251777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77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5pt,10.75pt" to="148.5pt,2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2714625</wp:posOffset>
                </wp:positionH>
                <wp:positionV relativeFrom="paragraph">
                  <wp:posOffset>136525</wp:posOffset>
                </wp:positionV>
                <wp:extent cx="0" cy="251777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77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75pt,10.75pt" to="213.75pt,2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4371975</wp:posOffset>
                </wp:positionH>
                <wp:positionV relativeFrom="paragraph">
                  <wp:posOffset>136525</wp:posOffset>
                </wp:positionV>
                <wp:extent cx="0" cy="251777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77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25pt,10.75pt" to="344.25pt,2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5200650</wp:posOffset>
                </wp:positionH>
                <wp:positionV relativeFrom="paragraph">
                  <wp:posOffset>136525</wp:posOffset>
                </wp:positionV>
                <wp:extent cx="0" cy="251777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77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5pt,10.75pt" to="409.5pt,2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6029325</wp:posOffset>
                </wp:positionH>
                <wp:positionV relativeFrom="paragraph">
                  <wp:posOffset>136525</wp:posOffset>
                </wp:positionV>
                <wp:extent cx="0" cy="251777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77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4.75pt,10.75pt" to="474.75pt,2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6858000</wp:posOffset>
                </wp:positionH>
                <wp:positionV relativeFrom="paragraph">
                  <wp:posOffset>136525</wp:posOffset>
                </wp:positionV>
                <wp:extent cx="0" cy="314642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6425"/>
                        </a:xfrm>
                        <a:prstGeom prst="line">
                          <a:avLst/>
                        </a:prstGeom>
                        <a:solidFill>
                          <a:srgbClr val="FFFFFF"/>
                        </a:solidFill>
                        <a:ln w="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0pt,10.75pt" to="540pt,25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6858000</wp:posOffset>
                </wp:positionH>
                <wp:positionV relativeFrom="paragraph">
                  <wp:posOffset>136525</wp:posOffset>
                </wp:positionV>
                <wp:extent cx="0" cy="314642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46425"/>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0pt,10.75pt" to="540pt,258.5pt" o:allowincell="f" strokecolor="#000000" strokeweight="1pt"/>
            </w:pict>
          </mc:Fallback>
        </mc:AlternateConten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232"/>
        </w:trPr>
        <w:tc>
          <w:tcPr>
            <w:tcW w:w="1320" w:type="dxa"/>
            <w:vAlign w:val="bottom"/>
            <w:tcBorders>
              <w:top w:val="single" w:sz="8" w:color="auto"/>
              <w:right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spacing w:after="0"/>
              <w:rPr>
                <w:sz w:val="20"/>
                <w:szCs w:val="20"/>
                <w:color w:val="auto"/>
              </w:rPr>
            </w:pPr>
          </w:p>
        </w:tc>
        <w:tc>
          <w:tcPr>
            <w:tcW w:w="2620" w:type="dxa"/>
            <w:vAlign w:val="bottom"/>
            <w:tcBorders>
              <w:top w:val="single" w:sz="8" w:color="auto"/>
              <w:right w:val="single" w:sz="8" w:color="auto"/>
            </w:tcBorders>
            <w:gridSpan w:val="2"/>
          </w:tcPr>
          <w:p>
            <w:pPr>
              <w:ind w:left="600"/>
              <w:spacing w:after="0"/>
              <w:rPr>
                <w:sz w:val="20"/>
                <w:szCs w:val="20"/>
                <w:color w:val="auto"/>
              </w:rPr>
            </w:pPr>
            <w:r>
              <w:rPr>
                <w:rFonts w:ascii="Times New Roman" w:cs="Times New Roman" w:eastAsia="Times New Roman" w:hAnsi="Times New Roman"/>
                <w:sz w:val="20"/>
                <w:szCs w:val="20"/>
                <w:b w:val="1"/>
                <w:bCs w:val="1"/>
                <w:color w:val="auto"/>
              </w:rPr>
              <w:t>Type of Trading</w:t>
            </w:r>
          </w:p>
        </w:tc>
        <w:tc>
          <w:tcPr>
            <w:tcW w:w="1300" w:type="dxa"/>
            <w:vAlign w:val="bottom"/>
            <w:tcBorders>
              <w:top w:val="single" w:sz="8" w:color="auto"/>
              <w:right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2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2620" w:type="dxa"/>
            <w:vAlign w:val="bottom"/>
            <w:tcBorders>
              <w:bottom w:val="single" w:sz="8" w:color="auto"/>
              <w:right w:val="single" w:sz="8" w:color="auto"/>
            </w:tcBorders>
            <w:gridSpan w:val="2"/>
          </w:tcPr>
          <w:p>
            <w:pPr>
              <w:ind w:left="720"/>
              <w:spacing w:after="0"/>
              <w:rPr>
                <w:sz w:val="20"/>
                <w:szCs w:val="20"/>
                <w:color w:val="auto"/>
              </w:rPr>
            </w:pPr>
            <w:r>
              <w:rPr>
                <w:rFonts w:ascii="Times New Roman" w:cs="Times New Roman" w:eastAsia="Times New Roman" w:hAnsi="Times New Roman"/>
                <w:sz w:val="20"/>
                <w:szCs w:val="20"/>
                <w:b w:val="1"/>
                <w:bCs w:val="1"/>
                <w:color w:val="auto"/>
              </w:rPr>
              <w:t>Arrangement</w:t>
            </w:r>
          </w:p>
        </w:tc>
        <w:tc>
          <w:tcPr>
            <w:tcW w:w="130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13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Adoption/</w:t>
            </w:r>
          </w:p>
        </w:tc>
        <w:tc>
          <w:tcPr>
            <w:tcW w:w="13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Total Shares</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Total Shares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Name of</w:t>
            </w: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Non-Rule</w:t>
            </w:r>
          </w:p>
        </w:tc>
        <w:tc>
          <w:tcPr>
            <w:tcW w:w="13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of Common</w:t>
            </w:r>
          </w:p>
        </w:tc>
        <w:tc>
          <w:tcPr>
            <w:tcW w:w="13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of Common</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Expiration</w:t>
            </w:r>
          </w:p>
        </w:tc>
        <w:tc>
          <w:tcPr>
            <w:tcW w:w="0" w:type="dxa"/>
            <w:vAlign w:val="bottom"/>
          </w:tcPr>
          <w:p>
            <w:pPr>
              <w:spacing w:after="0"/>
              <w:rPr>
                <w:sz w:val="1"/>
                <w:szCs w:val="1"/>
                <w:color w:val="auto"/>
              </w:rPr>
            </w:pPr>
          </w:p>
        </w:tc>
      </w:tr>
      <w:tr>
        <w:trPr>
          <w:trHeight w:val="200"/>
        </w:trPr>
        <w:tc>
          <w:tcPr>
            <w:tcW w:w="132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Action</w:t>
            </w:r>
          </w:p>
        </w:tc>
        <w:tc>
          <w:tcPr>
            <w:tcW w:w="13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Termination</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Rule 10b5-1*</w:t>
            </w:r>
          </w:p>
        </w:tc>
        <w:tc>
          <w:tcPr>
            <w:tcW w:w="130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Stock to be</w:t>
            </w:r>
          </w:p>
        </w:tc>
        <w:tc>
          <w:tcPr>
            <w:tcW w:w="13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Stock to be</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Position</w:t>
            </w:r>
          </w:p>
        </w:tc>
        <w:tc>
          <w:tcPr>
            <w:tcW w:w="1300" w:type="dxa"/>
            <w:vAlign w:val="bottom"/>
            <w:tcBorders>
              <w:bottom w:val="single" w:sz="8" w:color="auto"/>
              <w:right w:val="single" w:sz="8" w:color="auto"/>
            </w:tcBorders>
            <w:vMerge w:val="continue"/>
          </w:tcPr>
          <w:p>
            <w:pPr>
              <w:spacing w:after="0"/>
              <w:rPr>
                <w:sz w:val="22"/>
                <w:szCs w:val="22"/>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320" w:type="dxa"/>
            <w:vAlign w:val="bottom"/>
            <w:tcBorders>
              <w:bottom w:val="single" w:sz="8" w:color="auto"/>
              <w:right w:val="single" w:sz="8" w:color="auto"/>
            </w:tcBorders>
            <w:vMerge w:val="continue"/>
          </w:tcPr>
          <w:p>
            <w:pPr>
              <w:spacing w:after="0"/>
              <w:rPr>
                <w:sz w:val="22"/>
                <w:szCs w:val="22"/>
                <w:color w:val="auto"/>
              </w:rPr>
            </w:pPr>
          </w:p>
        </w:tc>
        <w:tc>
          <w:tcPr>
            <w:tcW w:w="130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20"/>
                <w:szCs w:val="20"/>
                <w:b w:val="1"/>
                <w:bCs w:val="1"/>
                <w:color w:val="auto"/>
              </w:rPr>
              <w:t>10b5-1**</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Sold</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Purchased</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0" w:type="dxa"/>
            <w:vAlign w:val="bottom"/>
          </w:tcPr>
          <w:p>
            <w:pPr>
              <w:spacing w:after="0"/>
              <w:rPr>
                <w:sz w:val="1"/>
                <w:szCs w:val="1"/>
                <w:color w:val="auto"/>
              </w:rPr>
            </w:pPr>
          </w:p>
        </w:tc>
      </w:tr>
      <w:tr>
        <w:trPr>
          <w:trHeight w:val="522"/>
        </w:trPr>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Jeffrey W.</w:t>
            </w:r>
          </w:p>
        </w:tc>
        <w:tc>
          <w:tcPr>
            <w:tcW w:w="13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November 8,</w:t>
            </w:r>
          </w:p>
        </w:tc>
        <w:tc>
          <w:tcPr>
            <w:tcW w:w="13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3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Dunn,</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Adoption</w:t>
            </w:r>
          </w:p>
        </w:tc>
        <w:tc>
          <w:tcPr>
            <w:tcW w:w="130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vMerge w:val="restart"/>
          </w:tcPr>
          <w:p>
            <w:pPr>
              <w:ind w:left="580"/>
              <w:spacing w:after="0"/>
              <w:rPr>
                <w:sz w:val="20"/>
                <w:szCs w:val="20"/>
                <w:color w:val="auto"/>
              </w:rPr>
            </w:pPr>
            <w:r>
              <w:rPr>
                <w:rFonts w:ascii="Times New Roman" w:cs="Times New Roman" w:eastAsia="Times New Roman" w:hAnsi="Times New Roman"/>
                <w:sz w:val="20"/>
                <w:szCs w:val="20"/>
                <w:color w:val="auto"/>
              </w:rPr>
              <w:t>X</w:t>
            </w: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262,239</w:t>
            </w:r>
          </w:p>
        </w:tc>
        <w:tc>
          <w:tcPr>
            <w:tcW w:w="1300" w:type="dxa"/>
            <w:vAlign w:val="bottom"/>
            <w:tcBorders>
              <w:right w:val="single" w:sz="8" w:color="auto"/>
            </w:tcBorders>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May 15, 2025</w:t>
            </w:r>
          </w:p>
        </w:tc>
        <w:tc>
          <w:tcPr>
            <w:tcW w:w="0" w:type="dxa"/>
            <w:vAlign w:val="bottom"/>
          </w:tcPr>
          <w:p>
            <w:pPr>
              <w:spacing w:after="0"/>
              <w:rPr>
                <w:sz w:val="1"/>
                <w:szCs w:val="1"/>
                <w:color w:val="auto"/>
              </w:rPr>
            </w:pPr>
          </w:p>
        </w:tc>
      </w:tr>
      <w:tr>
        <w:trPr>
          <w:trHeight w:val="263"/>
        </w:trPr>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Chairman</w:t>
            </w:r>
          </w:p>
        </w:tc>
        <w:tc>
          <w:tcPr>
            <w:tcW w:w="1300" w:type="dxa"/>
            <w:vAlign w:val="bottom"/>
            <w:tcBorders>
              <w:bottom w:val="single" w:sz="8" w:color="auto"/>
              <w:right w:val="single" w:sz="8" w:color="auto"/>
            </w:tcBorders>
            <w:vMerge w:val="continue"/>
          </w:tcPr>
          <w:p>
            <w:pPr>
              <w:spacing w:after="0"/>
              <w:rPr>
                <w:sz w:val="22"/>
                <w:szCs w:val="22"/>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1320" w:type="dxa"/>
            <w:vAlign w:val="bottom"/>
            <w:tcBorders>
              <w:bottom w:val="single" w:sz="8" w:color="auto"/>
              <w:right w:val="single" w:sz="8" w:color="auto"/>
            </w:tcBorders>
            <w:vMerge w:val="continue"/>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vMerge w:val="continue"/>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Anthony</w:t>
            </w:r>
          </w:p>
        </w:tc>
        <w:tc>
          <w:tcPr>
            <w:tcW w:w="130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3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Recupero,</w:t>
            </w: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3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President of</w:t>
            </w: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December 13,</w:t>
            </w:r>
          </w:p>
        </w:tc>
        <w:tc>
          <w:tcPr>
            <w:tcW w:w="132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December 31,</w:t>
            </w:r>
          </w:p>
        </w:tc>
        <w:tc>
          <w:tcPr>
            <w:tcW w:w="0" w:type="dxa"/>
            <w:vAlign w:val="bottom"/>
          </w:tcPr>
          <w:p>
            <w:pPr>
              <w:spacing w:after="0"/>
              <w:rPr>
                <w:sz w:val="1"/>
                <w:szCs w:val="1"/>
                <w:color w:val="auto"/>
              </w:rPr>
            </w:pPr>
          </w:p>
        </w:tc>
      </w:tr>
      <w:tr>
        <w:trPr>
          <w:trHeight w:val="200"/>
        </w:trPr>
        <w:tc>
          <w:tcPr>
            <w:tcW w:w="13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Commercial</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Adoption</w:t>
            </w:r>
          </w:p>
        </w:tc>
        <w:tc>
          <w:tcPr>
            <w:tcW w:w="130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vMerge w:val="restart"/>
          </w:tcPr>
          <w:p>
            <w:pPr>
              <w:ind w:left="580"/>
              <w:spacing w:after="0"/>
              <w:rPr>
                <w:sz w:val="20"/>
                <w:szCs w:val="20"/>
                <w:color w:val="auto"/>
              </w:rPr>
            </w:pPr>
            <w:r>
              <w:rPr>
                <w:rFonts w:ascii="Times New Roman" w:cs="Times New Roman" w:eastAsia="Times New Roman" w:hAnsi="Times New Roman"/>
                <w:sz w:val="20"/>
                <w:szCs w:val="20"/>
                <w:color w:val="auto"/>
              </w:rPr>
              <w:t>X</w:t>
            </w: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12,687</w:t>
            </w:r>
          </w:p>
        </w:tc>
        <w:tc>
          <w:tcPr>
            <w:tcW w:w="1300" w:type="dxa"/>
            <w:vAlign w:val="bottom"/>
            <w:tcBorders>
              <w:right w:val="single" w:sz="8" w:color="auto"/>
            </w:tcBorders>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Operations</w:t>
            </w:r>
          </w:p>
        </w:tc>
        <w:tc>
          <w:tcPr>
            <w:tcW w:w="1300" w:type="dxa"/>
            <w:vAlign w:val="bottom"/>
            <w:tcBorders>
              <w:bottom w:val="single" w:sz="8" w:color="auto"/>
              <w:right w:val="single" w:sz="8" w:color="auto"/>
            </w:tcBorders>
            <w:vMerge w:val="continue"/>
          </w:tcPr>
          <w:p>
            <w:pPr>
              <w:spacing w:after="0"/>
              <w:rPr>
                <w:sz w:val="22"/>
                <w:szCs w:val="22"/>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1320" w:type="dxa"/>
            <w:vAlign w:val="bottom"/>
            <w:tcBorders>
              <w:bottom w:val="single" w:sz="8" w:color="auto"/>
              <w:right w:val="single" w:sz="8" w:color="auto"/>
            </w:tcBorders>
            <w:vMerge w:val="continue"/>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vMerge w:val="continue"/>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295"/>
        </w:trPr>
        <w:tc>
          <w:tcPr>
            <w:tcW w:w="13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3543300</wp:posOffset>
                </wp:positionH>
                <wp:positionV relativeFrom="paragraph">
                  <wp:posOffset>-2203450</wp:posOffset>
                </wp:positionV>
                <wp:extent cx="0" cy="220345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03450"/>
                        </a:xfrm>
                        <a:prstGeom prst="line">
                          <a:avLst/>
                        </a:prstGeom>
                        <a:solidFill>
                          <a:srgbClr val="FFFFFF"/>
                        </a:solidFill>
                        <a:ln w="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pt,-173.4999pt" to="279pt,0pt" o:allowincell="f" strokecolor="#000000" strokeweight="0pt"/>
            </w:pict>
          </mc:Fallback>
        </mc:AlternateContent>
      </w:r>
    </w:p>
    <w:p>
      <w:pPr>
        <w:ind w:left="420" w:right="860"/>
        <w:spacing w:after="0"/>
        <w:rPr>
          <w:sz w:val="20"/>
          <w:szCs w:val="20"/>
          <w:color w:val="auto"/>
        </w:rPr>
      </w:pPr>
      <w:r>
        <w:rPr>
          <w:rFonts w:ascii="Times New Roman" w:cs="Times New Roman" w:eastAsia="Times New Roman" w:hAnsi="Times New Roman"/>
          <w:sz w:val="20"/>
          <w:szCs w:val="20"/>
          <w:color w:val="auto"/>
        </w:rPr>
        <w:t>*Contract, instruction or written plan intended to satisfy the affirmative defense conditions of Rule 10b5-1(c) under the Exchange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wp:posOffset>
                </wp:positionH>
                <wp:positionV relativeFrom="paragraph">
                  <wp:posOffset>8255</wp:posOffset>
                </wp:positionV>
                <wp:extent cx="664210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2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0.65pt" to="540.5pt,0.65pt" o:allowincell="f" strokecolor="#000000" strokeweight="1pt"/>
            </w:pict>
          </mc:Fallback>
        </mc:AlternateContent>
      </w: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 “Non-Rule 10b5-1 trading arrangement” as defined in Item 408(c) of Regulation S-K under the Exchange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wp:posOffset>
                </wp:positionH>
                <wp:positionV relativeFrom="paragraph">
                  <wp:posOffset>27305</wp:posOffset>
                </wp:positionV>
                <wp:extent cx="664210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2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2.15pt" to="540.5pt,2.15pt" o:allowincell="f" strokecolor="#000000" strokeweight="1pt"/>
            </w:pict>
          </mc:Fallback>
        </mc:AlternateContent>
      </w:r>
    </w:p>
    <w:p>
      <w:pPr>
        <w:spacing w:after="0" w:line="286"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None of the Company’s other directors or executive officers adopted a Rule 10b5-1 trading arrangement or a non-Rule 10b5-1 trading arrangement, as defined in Item 408 of Regulation S-K under the Exchange Act during the three-month period ended December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jc w:val="both"/>
        <w:ind w:right="20" w:firstLine="450"/>
        <w:spacing w:after="0" w:line="279" w:lineRule="auto"/>
        <w:rPr>
          <w:sz w:val="20"/>
          <w:szCs w:val="20"/>
          <w:color w:val="auto"/>
        </w:rPr>
      </w:pPr>
      <w:r>
        <w:rPr>
          <w:rFonts w:ascii="Times New Roman" w:cs="Times New Roman" w:eastAsia="Times New Roman" w:hAnsi="Times New Roman"/>
          <w:sz w:val="20"/>
          <w:szCs w:val="20"/>
          <w:color w:val="auto"/>
        </w:rPr>
        <w:t>Information required by this item will be contained in our definitive proxy statement to be filed with the Securities and Exchange Commission on Schedule 14A in connection with our 2024 Annual Meeting of Stockholders, or the 2024 Proxy Statement, which will be filed not later than 120 days after the end of our fiscal year ended December 31, 2023, under the headings “Management,” “Proposal 1 - Election of Directors,” “Information Regarding the Board of Directors and Corporate Governance”, and, if applicable, “Delinquent Section 16(a) Reports”, and is incorporated herein by reference.</w:t>
      </w:r>
    </w:p>
    <w:p>
      <w:pPr>
        <w:spacing w:after="0" w:line="203"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our officers, directors and employees which is available on our website at www.si-bone.com. The Code of Business Conduct and Ethics is intended to qualify as a “code of ethics” within the meaning of Section 406 of the Sarbanes-Oxley Act of 2002 and Item 406 of Regulation S-K. In addition, we intend to promptly disclose on our website in the future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77" w:lineRule="exact"/>
        <w:rPr>
          <w:sz w:val="20"/>
          <w:szCs w:val="20"/>
          <w:color w:val="auto"/>
        </w:rPr>
      </w:pPr>
    </w:p>
    <w:p>
      <w:pPr>
        <w:jc w:val="both"/>
        <w:ind w:right="20" w:firstLine="450"/>
        <w:spacing w:after="0" w:line="287" w:lineRule="auto"/>
        <w:rPr>
          <w:sz w:val="20"/>
          <w:szCs w:val="20"/>
          <w:color w:val="auto"/>
        </w:rPr>
      </w:pPr>
      <w:r>
        <w:rPr>
          <w:rFonts w:ascii="Times New Roman" w:cs="Times New Roman" w:eastAsia="Times New Roman" w:hAnsi="Times New Roman"/>
          <w:sz w:val="20"/>
          <w:szCs w:val="20"/>
          <w:color w:val="auto"/>
        </w:rPr>
        <w:t>The information required by this item regarding executive compensation will be incorporated by reference to the information set forth in the sections titled “Executive Compensation” and “Compensation of Non-Employee Board Members” in our 2024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ectPr>
          <w:pgSz w:w="12240" w:h="15840" w:orient="portrait"/>
          <w:cols w:equalWidth="0" w:num="1">
            <w:col w:w="10820"/>
          </w:cols>
          <w:pgMar w:left="720" w:top="651" w:right="70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820"/>
          </w:cols>
          <w:pgMar w:left="720" w:top="651" w:right="700" w:bottom="0" w:gutter="0" w:footer="0" w:header="0"/>
          <w:type w:val="continuous"/>
        </w:sectPr>
      </w:pPr>
    </w:p>
    <w:bookmarkStart w:id="105" w:name="page106"/>
    <w:bookmarkEnd w:id="105"/>
    <w:p>
      <w:pPr>
        <w:jc w:val="both"/>
        <w:ind w:firstLine="450"/>
        <w:spacing w:after="0" w:line="287" w:lineRule="auto"/>
        <w:rPr>
          <w:sz w:val="20"/>
          <w:szCs w:val="20"/>
          <w:color w:val="auto"/>
        </w:rPr>
      </w:pPr>
      <w:r>
        <w:rPr>
          <w:rFonts w:ascii="Times New Roman" w:cs="Times New Roman" w:eastAsia="Times New Roman" w:hAnsi="Times New Roman"/>
          <w:sz w:val="20"/>
          <w:szCs w:val="20"/>
          <w:color w:val="auto"/>
        </w:rPr>
        <w:t>The information required by this item regarding security ownership of certain beneficial owners and management will be incorporated by reference to the information set forth in the sections titled “Security Ownership of Certain Beneficial Owners and Management” and “Securities Authorized for Issuance Under Equity Compensation Plans” in our 2024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77" w:lineRule="exact"/>
        <w:rPr>
          <w:sz w:val="20"/>
          <w:szCs w:val="20"/>
          <w:color w:val="auto"/>
        </w:rPr>
      </w:pPr>
    </w:p>
    <w:p>
      <w:pPr>
        <w:jc w:val="both"/>
        <w:ind w:firstLine="450"/>
        <w:spacing w:after="0" w:line="287" w:lineRule="auto"/>
        <w:rPr>
          <w:sz w:val="20"/>
          <w:szCs w:val="20"/>
          <w:color w:val="auto"/>
        </w:rPr>
      </w:pPr>
      <w:r>
        <w:rPr>
          <w:rFonts w:ascii="Times New Roman" w:cs="Times New Roman" w:eastAsia="Times New Roman" w:hAnsi="Times New Roman"/>
          <w:sz w:val="20"/>
          <w:szCs w:val="20"/>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“Information Regarding the Board of Directors and Corporate Governance”, respectively, in our 2024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77" w:lineRule="exact"/>
        <w:rPr>
          <w:sz w:val="20"/>
          <w:szCs w:val="20"/>
          <w:color w:val="auto"/>
        </w:rPr>
      </w:pPr>
    </w:p>
    <w:p>
      <w:pPr>
        <w:jc w:val="both"/>
        <w:ind w:firstLine="450"/>
        <w:spacing w:after="0" w:line="302" w:lineRule="auto"/>
        <w:rPr>
          <w:sz w:val="20"/>
          <w:szCs w:val="20"/>
          <w:color w:val="auto"/>
        </w:rPr>
      </w:pPr>
      <w:r>
        <w:rPr>
          <w:rFonts w:ascii="Times New Roman" w:cs="Times New Roman" w:eastAsia="Times New Roman" w:hAnsi="Times New Roman"/>
          <w:sz w:val="20"/>
          <w:szCs w:val="20"/>
          <w:color w:val="auto"/>
        </w:rPr>
        <w:t>The information required by this item regarding principal accountant fees and services will be incorporated by reference to the information set forth in the section titled “Principal Accountant Fees and Services” in our 2024 Proxy Statement.</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800"/>
          </w:cols>
          <w:pgMar w:left="720" w:top="658" w:right="720" w:bottom="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53" w:lineRule="exact"/>
        <w:rPr>
          <w:sz w:val="20"/>
          <w:szCs w:val="20"/>
          <w:color w:val="auto"/>
        </w:rPr>
      </w:pPr>
    </w:p>
    <w:p>
      <w:pPr>
        <w:ind w:right="6040"/>
        <w:spacing w:after="0" w:line="503" w:lineRule="auto"/>
        <w:tabs>
          <w:tab w:leader="none" w:pos="27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report: 1. Financial Statements</w:t>
      </w:r>
    </w:p>
    <w:p>
      <w:pPr>
        <w:ind w:right="2140" w:firstLine="450"/>
        <w:spacing w:after="0" w:line="5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in response to this Item is included in Part II, Item 8 of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2. Financial Statement Schedules</w:t>
      </w:r>
    </w:p>
    <w:p>
      <w:pPr>
        <w:spacing w:after="0" w:line="1" w:lineRule="exact"/>
        <w:rPr>
          <w:sz w:val="20"/>
          <w:szCs w:val="20"/>
          <w:color w:val="auto"/>
        </w:rPr>
      </w:pPr>
    </w:p>
    <w:p>
      <w:pPr>
        <w:ind w:firstLine="450"/>
        <w:spacing w:after="0" w:line="302" w:lineRule="auto"/>
        <w:rPr>
          <w:sz w:val="20"/>
          <w:szCs w:val="20"/>
          <w:color w:val="auto"/>
        </w:rPr>
      </w:pPr>
      <w:r>
        <w:rPr>
          <w:rFonts w:ascii="Times New Roman" w:cs="Times New Roman" w:eastAsia="Times New Roman" w:hAnsi="Times New Roman"/>
          <w:sz w:val="20"/>
          <w:szCs w:val="20"/>
          <w:color w:val="auto"/>
        </w:rPr>
        <w:t>All schedules are omitted because they are not applicable or the required information is shown in the financial statements or notes thereto.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Exhibits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exhibits, as required by Item 601 of Regulation S-K are attached or incorporated by reference as stated below.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260" w:type="dxa"/>
            <w:vAlign w:val="bottom"/>
            <w:gridSpan w:val="3"/>
          </w:tcPr>
          <w:p>
            <w:pPr>
              <w:jc w:val="center"/>
              <w:ind w:right="200"/>
              <w:spacing w:after="0" w:line="171"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4740" w:type="dxa"/>
            <w:vAlign w:val="bottom"/>
            <w:gridSpan w:val="9"/>
            <w:vMerge w:val="restart"/>
          </w:tcPr>
          <w:p>
            <w:pPr>
              <w:ind w:left="21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 File No.</w:t>
            </w:r>
          </w:p>
        </w:tc>
        <w:tc>
          <w:tcPr>
            <w:tcW w:w="160" w:type="dxa"/>
            <w:vAlign w:val="bottom"/>
          </w:tcPr>
          <w:p>
            <w:pPr>
              <w:spacing w:after="0"/>
              <w:rPr>
                <w:sz w:val="14"/>
                <w:szCs w:val="14"/>
                <w:color w:val="auto"/>
              </w:rPr>
            </w:pP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 w:type="dxa"/>
            <w:vAlign w:val="bottom"/>
          </w:tcPr>
          <w:p>
            <w:pPr>
              <w:spacing w:after="0"/>
              <w:rPr>
                <w:sz w:val="14"/>
                <w:szCs w:val="14"/>
                <w:color w:val="auto"/>
              </w:rPr>
            </w:pPr>
          </w:p>
        </w:tc>
        <w:tc>
          <w:tcPr>
            <w:tcW w:w="10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0" w:type="dxa"/>
            <w:vAlign w:val="bottom"/>
          </w:tcPr>
          <w:p>
            <w:pPr>
              <w:spacing w:after="0"/>
              <w:rPr>
                <w:sz w:val="1"/>
                <w:szCs w:val="1"/>
                <w:color w:val="auto"/>
              </w:rPr>
            </w:pPr>
          </w:p>
        </w:tc>
      </w:tr>
      <w:tr>
        <w:trPr>
          <w:trHeight w:val="214"/>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9"/>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6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rPr>
              <w:t>3.1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60" w:type="dxa"/>
            <w:vAlign w:val="bottom"/>
            <w:tcBorders>
              <w:bottom w:val="single" w:sz="8" w:color="0000FF"/>
            </w:tcBorders>
            <w:gridSpan w:val="7"/>
          </w:tcPr>
          <w:p>
            <w:pPr>
              <w:spacing w:after="0" w:line="220" w:lineRule="exact"/>
              <w:rPr>
                <w:sz w:val="20"/>
                <w:szCs w:val="20"/>
                <w:color w:val="auto"/>
              </w:rPr>
            </w:pPr>
            <w:r>
              <w:rPr>
                <w:rFonts w:ascii="Times New Roman" w:cs="Times New Roman" w:eastAsia="Times New Roman" w:hAnsi="Times New Roman"/>
                <w:sz w:val="20"/>
                <w:szCs w:val="20"/>
                <w:color w:val="0000FF"/>
                <w:w w:val="99"/>
              </w:rPr>
              <w:t>Amended and Restated Certificate of Incorporation.</w:t>
            </w:r>
          </w:p>
        </w:tc>
        <w:tc>
          <w:tcPr>
            <w:tcW w:w="58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6"/>
              </w:rPr>
              <w:t>8-K</w:t>
            </w:r>
          </w:p>
        </w:tc>
        <w:tc>
          <w:tcPr>
            <w:tcW w:w="1420" w:type="dxa"/>
            <w:vAlign w:val="bottom"/>
            <w:gridSpan w:val="3"/>
          </w:tcPr>
          <w:p>
            <w:pPr>
              <w:jc w:val="center"/>
              <w:ind w:left="103"/>
              <w:spacing w:after="0" w:line="220" w:lineRule="exact"/>
              <w:rPr>
                <w:sz w:val="20"/>
                <w:szCs w:val="20"/>
                <w:color w:val="auto"/>
              </w:rPr>
            </w:pPr>
            <w:r>
              <w:rPr>
                <w:rFonts w:ascii="Times New Roman" w:cs="Times New Roman" w:eastAsia="Times New Roman" w:hAnsi="Times New Roman"/>
                <w:sz w:val="20"/>
                <w:szCs w:val="20"/>
                <w:color w:val="auto"/>
                <w:w w:val="99"/>
              </w:rPr>
              <w:t>001-38701</w:t>
            </w:r>
          </w:p>
        </w:tc>
        <w:tc>
          <w:tcPr>
            <w:tcW w:w="1080" w:type="dxa"/>
            <w:vAlign w:val="bottom"/>
            <w:gridSpan w:val="2"/>
          </w:tcPr>
          <w:p>
            <w:pPr>
              <w:jc w:val="center"/>
              <w:ind w:left="60"/>
              <w:spacing w:after="0" w:line="220" w:lineRule="exact"/>
              <w:rPr>
                <w:sz w:val="20"/>
                <w:szCs w:val="20"/>
                <w:color w:val="auto"/>
              </w:rPr>
            </w:pPr>
            <w:r>
              <w:rPr>
                <w:rFonts w:ascii="Times New Roman" w:cs="Times New Roman" w:eastAsia="Times New Roman" w:hAnsi="Times New Roman"/>
                <w:sz w:val="20"/>
                <w:szCs w:val="20"/>
                <w:color w:val="auto"/>
                <w:w w:val="95"/>
              </w:rPr>
              <w:t>3.1</w:t>
            </w:r>
          </w:p>
        </w:tc>
        <w:tc>
          <w:tcPr>
            <w:tcW w:w="1240" w:type="dxa"/>
            <w:vAlign w:val="bottom"/>
            <w:gridSpan w:val="2"/>
          </w:tcPr>
          <w:p>
            <w:pPr>
              <w:jc w:val="center"/>
              <w:ind w:left="60"/>
              <w:spacing w:after="0" w:line="220" w:lineRule="exact"/>
              <w:rPr>
                <w:sz w:val="20"/>
                <w:szCs w:val="20"/>
                <w:color w:val="auto"/>
              </w:rPr>
            </w:pPr>
            <w:r>
              <w:rPr>
                <w:rFonts w:ascii="Times New Roman" w:cs="Times New Roman" w:eastAsia="Times New Roman" w:hAnsi="Times New Roman"/>
                <w:sz w:val="20"/>
                <w:szCs w:val="20"/>
                <w:color w:val="auto"/>
              </w:rPr>
              <w:t>10/19/2018</w:t>
            </w:r>
          </w:p>
        </w:tc>
        <w:tc>
          <w:tcPr>
            <w:tcW w:w="0" w:type="dxa"/>
            <w:vAlign w:val="bottom"/>
          </w:tcPr>
          <w:p>
            <w:pPr>
              <w:spacing w:after="0"/>
              <w:rPr>
                <w:sz w:val="1"/>
                <w:szCs w:val="1"/>
                <w:color w:val="auto"/>
              </w:rPr>
            </w:pPr>
          </w:p>
        </w:tc>
      </w:tr>
      <w:tr>
        <w:trPr>
          <w:trHeight w:val="340"/>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Second Amended and Restated Bylaws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001-38701</w:t>
            </w:r>
          </w:p>
        </w:tc>
        <w:tc>
          <w:tcPr>
            <w:tcW w:w="10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5"/>
              </w:rPr>
              <w:t>3.1</w:t>
            </w:r>
          </w:p>
        </w:tc>
        <w:tc>
          <w:tcPr>
            <w:tcW w:w="12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9/20/2023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Form of Common Stock Certificate of the Company.</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S-1/A</w:t>
            </w:r>
          </w:p>
        </w:tc>
        <w:tc>
          <w:tcPr>
            <w:tcW w:w="1420" w:type="dxa"/>
            <w:vAlign w:val="bottom"/>
            <w:gridSpan w:val="3"/>
          </w:tcPr>
          <w:p>
            <w:pPr>
              <w:jc w:val="center"/>
              <w:ind w:left="123"/>
              <w:spacing w:after="0"/>
              <w:rPr>
                <w:sz w:val="20"/>
                <w:szCs w:val="20"/>
                <w:color w:val="auto"/>
              </w:rPr>
            </w:pPr>
            <w:r>
              <w:rPr>
                <w:rFonts w:ascii="Times New Roman" w:cs="Times New Roman" w:eastAsia="Times New Roman" w:hAnsi="Times New Roman"/>
                <w:sz w:val="20"/>
                <w:szCs w:val="20"/>
                <w:color w:val="auto"/>
                <w:w w:val="99"/>
              </w:rPr>
              <w:t>333-227445</w:t>
            </w:r>
          </w:p>
        </w:tc>
        <w:tc>
          <w:tcPr>
            <w:tcW w:w="10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5"/>
              </w:rPr>
              <w:t>4.1</w:t>
            </w:r>
          </w:p>
        </w:tc>
        <w:tc>
          <w:tcPr>
            <w:tcW w:w="12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10/5/2018</w:t>
            </w:r>
          </w:p>
        </w:tc>
        <w:tc>
          <w:tcPr>
            <w:tcW w:w="0" w:type="dxa"/>
            <w:vAlign w:val="bottom"/>
          </w:tcPr>
          <w:p>
            <w:pPr>
              <w:spacing w:after="0"/>
              <w:rPr>
                <w:sz w:val="1"/>
                <w:szCs w:val="1"/>
                <w:color w:val="auto"/>
              </w:rPr>
            </w:pPr>
          </w:p>
        </w:tc>
      </w:tr>
      <w:tr>
        <w:trPr>
          <w:trHeight w:val="185"/>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6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9"/>
              </w:rPr>
              <w:t xml:space="preserve">Reference is made to Exhibits </w:t>
            </w:r>
            <w:r>
              <w:rPr>
                <w:rFonts w:ascii="Times New Roman" w:cs="Times New Roman" w:eastAsia="Times New Roman" w:hAnsi="Times New Roman"/>
                <w:sz w:val="20"/>
                <w:szCs w:val="20"/>
                <w:color w:val="0000FF"/>
                <w:w w:val="99"/>
              </w:rPr>
              <w:t>3.1</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vMerge w:val="restart"/>
          </w:tcPr>
          <w:p>
            <w:pPr>
              <w:spacing w:after="0"/>
              <w:rPr>
                <w:sz w:val="16"/>
                <w:szCs w:val="16"/>
                <w:color w:val="auto"/>
              </w:rPr>
            </w:pPr>
          </w:p>
        </w:tc>
        <w:tc>
          <w:tcPr>
            <w:tcW w:w="1040" w:type="dxa"/>
            <w:vAlign w:val="bottom"/>
            <w:gridSpan w:val="3"/>
            <w:vMerge w:val="restart"/>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700" w:type="dxa"/>
            <w:vAlign w:val="bottom"/>
            <w:gridSpan w:val="2"/>
            <w:vMerge w:val="continue"/>
          </w:tcPr>
          <w:p>
            <w:pPr>
              <w:spacing w:after="0"/>
              <w:rPr>
                <w:sz w:val="13"/>
                <w:szCs w:val="13"/>
                <w:color w:val="auto"/>
              </w:rPr>
            </w:pPr>
          </w:p>
        </w:tc>
        <w:tc>
          <w:tcPr>
            <w:tcW w:w="6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color w:val="0000FF"/>
              </w:rPr>
              <w:t>3.2</w:t>
            </w:r>
          </w:p>
        </w:tc>
        <w:tc>
          <w:tcPr>
            <w:tcW w:w="60" w:type="dxa"/>
            <w:vAlign w:val="bottom"/>
          </w:tcPr>
          <w:p>
            <w:pPr>
              <w:jc w:val="right"/>
              <w:spacing w:after="0" w:line="155" w:lineRule="exact"/>
              <w:rPr>
                <w:sz w:val="20"/>
                <w:szCs w:val="20"/>
                <w:color w:val="auto"/>
              </w:rPr>
            </w:pPr>
            <w:r>
              <w:rPr>
                <w:rFonts w:ascii="Times New Roman" w:cs="Times New Roman" w:eastAsia="Times New Roman" w:hAnsi="Times New Roman"/>
                <w:sz w:val="17"/>
                <w:szCs w:val="17"/>
                <w:color w:val="auto"/>
                <w:highlight w:val="white"/>
                <w:w w:val="92"/>
              </w:rPr>
              <w:t>.</w:t>
            </w:r>
          </w:p>
        </w:tc>
        <w:tc>
          <w:tcPr>
            <w:tcW w:w="300" w:type="dxa"/>
            <w:vAlign w:val="bottom"/>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9"/>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Description of SI-BONE, Inc. Common Stock</w:t>
            </w:r>
          </w:p>
        </w:tc>
        <w:tc>
          <w:tcPr>
            <w:tcW w:w="104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10-Q</w:t>
            </w:r>
          </w:p>
        </w:tc>
        <w:tc>
          <w:tcPr>
            <w:tcW w:w="1420" w:type="dxa"/>
            <w:vAlign w:val="bottom"/>
            <w:gridSpan w:val="3"/>
          </w:tcPr>
          <w:p>
            <w:pPr>
              <w:jc w:val="center"/>
              <w:ind w:left="103"/>
              <w:spacing w:after="0"/>
              <w:rPr>
                <w:sz w:val="20"/>
                <w:szCs w:val="20"/>
                <w:color w:val="auto"/>
              </w:rPr>
            </w:pPr>
            <w:r>
              <w:rPr>
                <w:rFonts w:ascii="Times New Roman" w:cs="Times New Roman" w:eastAsia="Times New Roman" w:hAnsi="Times New Roman"/>
                <w:sz w:val="20"/>
                <w:szCs w:val="20"/>
                <w:color w:val="auto"/>
                <w:w w:val="99"/>
              </w:rPr>
              <w:t>001-38701</w:t>
            </w:r>
          </w:p>
        </w:tc>
        <w:tc>
          <w:tcPr>
            <w:tcW w:w="10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5"/>
              </w:rPr>
              <w:t>4.3</w:t>
            </w:r>
          </w:p>
        </w:tc>
        <w:tc>
          <w:tcPr>
            <w:tcW w:w="12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5/5/2020</w:t>
            </w:r>
          </w:p>
        </w:tc>
        <w:tc>
          <w:tcPr>
            <w:tcW w:w="0" w:type="dxa"/>
            <w:vAlign w:val="bottom"/>
          </w:tcPr>
          <w:p>
            <w:pPr>
              <w:spacing w:after="0"/>
              <w:rPr>
                <w:sz w:val="1"/>
                <w:szCs w:val="1"/>
                <w:color w:val="auto"/>
              </w:rPr>
            </w:pPr>
          </w:p>
        </w:tc>
      </w:tr>
      <w:tr>
        <w:trPr>
          <w:trHeight w:val="280"/>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Form of Indemnity Agreement between the Registrant and</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S-1</w:t>
            </w:r>
          </w:p>
        </w:tc>
        <w:tc>
          <w:tcPr>
            <w:tcW w:w="1420" w:type="dxa"/>
            <w:vAlign w:val="bottom"/>
            <w:gridSpan w:val="3"/>
          </w:tcPr>
          <w:p>
            <w:pPr>
              <w:jc w:val="center"/>
              <w:ind w:left="123"/>
              <w:spacing w:after="0"/>
              <w:rPr>
                <w:sz w:val="20"/>
                <w:szCs w:val="20"/>
                <w:color w:val="auto"/>
              </w:rPr>
            </w:pPr>
            <w:r>
              <w:rPr>
                <w:rFonts w:ascii="Times New Roman" w:cs="Times New Roman" w:eastAsia="Times New Roman" w:hAnsi="Times New Roman"/>
                <w:sz w:val="20"/>
                <w:szCs w:val="20"/>
                <w:color w:val="auto"/>
                <w:w w:val="99"/>
              </w:rPr>
              <w:t>333-227445</w:t>
            </w:r>
          </w:p>
        </w:tc>
        <w:tc>
          <w:tcPr>
            <w:tcW w:w="10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10.1</w:t>
            </w:r>
          </w:p>
        </w:tc>
        <w:tc>
          <w:tcPr>
            <w:tcW w:w="12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9/20/2018</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40" w:type="dxa"/>
            <w:vAlign w:val="bottom"/>
            <w:gridSpan w:val="9"/>
          </w:tcPr>
          <w:p>
            <w:pPr>
              <w:spacing w:after="0" w:line="180" w:lineRule="exact"/>
              <w:rPr>
                <w:sz w:val="20"/>
                <w:szCs w:val="20"/>
                <w:color w:val="auto"/>
              </w:rPr>
            </w:pPr>
            <w:r>
              <w:rPr>
                <w:rFonts w:ascii="Times New Roman" w:cs="Times New Roman" w:eastAsia="Times New Roman" w:hAnsi="Times New Roman"/>
                <w:sz w:val="20"/>
                <w:szCs w:val="20"/>
                <w:color w:val="0000FF"/>
              </w:rPr>
              <w:t>each of its directors and executive officers.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ectPr>
          <w:pgSz w:w="12240" w:h="15840" w:orient="portrait"/>
          <w:cols w:equalWidth="0" w:num="1">
            <w:col w:w="10800"/>
          </w:cols>
          <w:pgMar w:left="720" w:top="651" w:right="720" w:bottom="0" w:gutter="0" w:footer="0" w:header="0"/>
        </w:sectPr>
      </w:pPr>
    </w:p>
    <w:p>
      <w:pPr>
        <w:ind w:left="300"/>
        <w:spacing w:after="0"/>
        <w:tabs>
          <w:tab w:leader="none" w:pos="12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u w:val="single" w:color="auto"/>
          <w:color w:val="0000FF"/>
        </w:rPr>
        <w:t>2008 Stock Plan and forms of agreements thereunder.</w:t>
      </w:r>
    </w:p>
    <w:p>
      <w:pPr>
        <w:spacing w:after="0" w:line="19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u w:val="single" w:color="auto"/>
          <w:color w:val="0000FF"/>
        </w:rPr>
        <w:t>2018 Equity Incentive Plan</w:t>
      </w:r>
      <w:r>
        <w:rPr>
          <w:rFonts w:ascii="Times New Roman" w:cs="Times New Roman" w:eastAsia="Times New Roman" w:hAnsi="Times New Roman"/>
          <w:sz w:val="20"/>
          <w:szCs w:val="20"/>
          <w:color w:val="0000FF"/>
        </w:rPr>
        <w:t>.</w:t>
      </w:r>
    </w:p>
    <w:p>
      <w:pPr>
        <w:spacing w:after="0" w:line="145" w:lineRule="exact"/>
        <w:rPr>
          <w:sz w:val="20"/>
          <w:szCs w:val="20"/>
          <w:color w:val="auto"/>
        </w:rPr>
      </w:pPr>
    </w:p>
    <w:p>
      <w:pPr>
        <w:ind w:left="1260" w:hanging="973"/>
        <w:spacing w:after="0" w:line="265" w:lineRule="auto"/>
        <w:tabs>
          <w:tab w:leader="none" w:pos="12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u w:val="single" w:color="auto"/>
          <w:color w:val="0000FF"/>
        </w:rPr>
        <w:t>Forms of Stock Option Grant Notice, Option Agreement and Notice of Exercise under the 2018 Equity Incentive Plan.</w:t>
      </w:r>
    </w:p>
    <w:p>
      <w:pPr>
        <w:spacing w:after="0" w:line="103" w:lineRule="exact"/>
        <w:rPr>
          <w:sz w:val="20"/>
          <w:szCs w:val="20"/>
          <w:color w:val="auto"/>
        </w:rPr>
      </w:pPr>
    </w:p>
    <w:p>
      <w:pPr>
        <w:ind w:left="1260" w:right="60" w:hanging="973"/>
        <w:spacing w:after="0" w:line="229" w:lineRule="auto"/>
        <w:tabs>
          <w:tab w:leader="none" w:pos="124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u w:val="single" w:color="auto"/>
          <w:color w:val="0000FF"/>
        </w:rPr>
        <w:t>Forms of Restricted Stock Unit Grant Notice and Restricted Stock Unit Award Agreement under the 2018 Equity Incentive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333-227445</w:t>
            </w: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10.2</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10/5/2018</w:t>
            </w:r>
          </w:p>
        </w:tc>
      </w:tr>
      <w:tr>
        <w:trPr>
          <w:trHeight w:val="42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333-227445</w:t>
            </w: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10.3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10/5/2018</w:t>
            </w:r>
          </w:p>
        </w:tc>
      </w:tr>
      <w:tr>
        <w:trPr>
          <w:trHeight w:val="37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333-227445</w:t>
            </w: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10.4</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10/5/2018</w:t>
            </w:r>
          </w:p>
        </w:tc>
      </w:tr>
      <w:tr>
        <w:trPr>
          <w:trHeight w:val="585"/>
        </w:trPr>
        <w:tc>
          <w:tcPr>
            <w:tcW w:w="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10-Q</w:t>
            </w:r>
          </w:p>
        </w:tc>
        <w:tc>
          <w:tcPr>
            <w:tcW w:w="14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9"/>
              </w:rPr>
              <w:t>001-38701</w:t>
            </w: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10.1</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11/8/2022</w:t>
            </w:r>
          </w:p>
        </w:tc>
      </w:tr>
    </w:tbl>
    <w:p>
      <w:pPr>
        <w:spacing w:after="0" w:line="492" w:lineRule="exact"/>
        <w:rPr>
          <w:sz w:val="20"/>
          <w:szCs w:val="20"/>
          <w:color w:val="auto"/>
        </w:rPr>
      </w:pPr>
    </w:p>
    <w:p>
      <w:pPr>
        <w:sectPr>
          <w:pgSz w:w="12240" w:h="15840" w:orient="portrait"/>
          <w:cols w:equalWidth="0" w:num="2">
            <w:col w:w="6120" w:space="460"/>
            <w:col w:w="4220"/>
          </w:cols>
          <w:pgMar w:left="720" w:top="651" w:right="720" w:bottom="0" w:gutter="0" w:footer="0" w:header="0"/>
          <w:type w:val="continuous"/>
        </w:sectPr>
      </w:pPr>
    </w:p>
    <w:tbl>
      <w:tblPr>
        <w:tblLayout w:type="fixed"/>
        <w:tblInd w:w="240" w:type="dxa"/>
        <w:tblCellMar>
          <w:top w:w="0" w:type="dxa"/>
          <w:left w:w="0" w:type="dxa"/>
          <w:bottom w:w="0" w:type="dxa"/>
          <w:right w:w="0" w:type="dxa"/>
        </w:tblCellMar>
      </w:tblPr>
      <w:tr>
        <w:trPr>
          <w:trHeight w:val="230"/>
        </w:trPr>
        <w:tc>
          <w:tcPr>
            <w:tcW w:w="1020" w:type="dxa"/>
            <w:vAlign w:val="bottom"/>
          </w:tcPr>
          <w:p>
            <w:pPr>
              <w:jc w:val="center"/>
              <w:ind w:right="340"/>
              <w:spacing w:after="0"/>
              <w:rPr>
                <w:sz w:val="20"/>
                <w:szCs w:val="20"/>
                <w:color w:val="auto"/>
              </w:rPr>
            </w:pPr>
            <w:r>
              <w:rPr>
                <w:rFonts w:ascii="Times New Roman" w:cs="Times New Roman" w:eastAsia="Times New Roman" w:hAnsi="Times New Roman"/>
                <w:sz w:val="20"/>
                <w:szCs w:val="20"/>
                <w:color w:val="auto"/>
                <w:w w:val="99"/>
              </w:rPr>
              <w:t>10.6+</w:t>
            </w:r>
          </w:p>
        </w:tc>
        <w:tc>
          <w:tcPr>
            <w:tcW w:w="3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2018 Employee Stock Purchase Plan.</w:t>
            </w:r>
          </w:p>
        </w:tc>
        <w:tc>
          <w:tcPr>
            <w:tcW w:w="1880" w:type="dxa"/>
            <w:vAlign w:val="bottom"/>
            <w:gridSpan w:val="9"/>
          </w:tcPr>
          <w:p>
            <w:pPr>
              <w:spacing w:after="0"/>
              <w:rPr>
                <w:sz w:val="19"/>
                <w:szCs w:val="19"/>
                <w:color w:val="auto"/>
              </w:rPr>
            </w:pPr>
          </w:p>
        </w:tc>
        <w:tc>
          <w:tcPr>
            <w:tcW w:w="10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6"/>
              </w:rPr>
              <w:t>S-1/A</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333-227445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11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10/5/2018</w:t>
            </w:r>
          </w:p>
        </w:tc>
      </w:tr>
      <w:tr>
        <w:trPr>
          <w:trHeight w:val="340"/>
        </w:trPr>
        <w:tc>
          <w:tcPr>
            <w:tcW w:w="1020" w:type="dxa"/>
            <w:vAlign w:val="bottom"/>
          </w:tcPr>
          <w:p>
            <w:pPr>
              <w:jc w:val="center"/>
              <w:ind w:right="340"/>
              <w:spacing w:after="0"/>
              <w:rPr>
                <w:sz w:val="20"/>
                <w:szCs w:val="20"/>
                <w:color w:val="auto"/>
              </w:rPr>
            </w:pPr>
            <w:r>
              <w:rPr>
                <w:rFonts w:ascii="Times New Roman" w:cs="Times New Roman" w:eastAsia="Times New Roman" w:hAnsi="Times New Roman"/>
                <w:sz w:val="20"/>
                <w:szCs w:val="20"/>
                <w:color w:val="auto"/>
                <w:w w:val="99"/>
              </w:rPr>
              <w:t>10.7+</w:t>
            </w:r>
          </w:p>
        </w:tc>
        <w:tc>
          <w:tcPr>
            <w:tcW w:w="48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rPr>
              <w:t>Offer Letter Agreement, dated December 15, 2009, between</w:t>
            </w:r>
          </w:p>
        </w:tc>
        <w:tc>
          <w:tcPr>
            <w:tcW w:w="10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3"/>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333-227445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10.7</w:t>
            </w:r>
          </w:p>
        </w:tc>
        <w:tc>
          <w:tcPr>
            <w:tcW w:w="11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9/20/2018</w:t>
            </w:r>
          </w:p>
        </w:tc>
      </w:tr>
      <w:tr>
        <w:trPr>
          <w:trHeight w:val="180"/>
        </w:trPr>
        <w:tc>
          <w:tcPr>
            <w:tcW w:w="1020" w:type="dxa"/>
            <w:vAlign w:val="bottom"/>
          </w:tcPr>
          <w:p>
            <w:pPr>
              <w:spacing w:after="0"/>
              <w:rPr>
                <w:sz w:val="15"/>
                <w:szCs w:val="15"/>
                <w:color w:val="auto"/>
              </w:rPr>
            </w:pPr>
          </w:p>
        </w:tc>
        <w:tc>
          <w:tcPr>
            <w:tcW w:w="2900" w:type="dxa"/>
            <w:vAlign w:val="bottom"/>
            <w:tcBorders>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the Registrant and Jeffrey W. Dunn.</w:t>
            </w:r>
          </w:p>
        </w:tc>
        <w:tc>
          <w:tcPr>
            <w:tcW w:w="1980" w:type="dxa"/>
            <w:vAlign w:val="bottom"/>
            <w:gridSpan w:val="11"/>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65"/>
        </w:trPr>
        <w:tc>
          <w:tcPr>
            <w:tcW w:w="1020" w:type="dxa"/>
            <w:vAlign w:val="bottom"/>
          </w:tcPr>
          <w:p>
            <w:pPr>
              <w:jc w:val="center"/>
              <w:ind w:right="340"/>
              <w:spacing w:after="0"/>
              <w:rPr>
                <w:sz w:val="20"/>
                <w:szCs w:val="20"/>
                <w:color w:val="auto"/>
              </w:rPr>
            </w:pPr>
            <w:r>
              <w:rPr>
                <w:rFonts w:ascii="Times New Roman" w:cs="Times New Roman" w:eastAsia="Times New Roman" w:hAnsi="Times New Roman"/>
                <w:sz w:val="20"/>
                <w:szCs w:val="20"/>
                <w:color w:val="auto"/>
                <w:w w:val="99"/>
              </w:rPr>
              <w:t>10.8+</w:t>
            </w:r>
          </w:p>
        </w:tc>
        <w:tc>
          <w:tcPr>
            <w:tcW w:w="488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rPr>
              <w:t>Offer Letter Agreement, dated June 19, 2016, between the</w:t>
            </w:r>
          </w:p>
        </w:tc>
        <w:tc>
          <w:tcPr>
            <w:tcW w:w="10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3"/>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333-227445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10.18</w:t>
            </w:r>
          </w:p>
        </w:tc>
        <w:tc>
          <w:tcPr>
            <w:tcW w:w="11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9/20/2018</w:t>
            </w:r>
          </w:p>
        </w:tc>
      </w:tr>
      <w:tr>
        <w:trPr>
          <w:trHeight w:val="180"/>
        </w:trPr>
        <w:tc>
          <w:tcPr>
            <w:tcW w:w="1020" w:type="dxa"/>
            <w:vAlign w:val="bottom"/>
          </w:tcPr>
          <w:p>
            <w:pPr>
              <w:spacing w:after="0"/>
              <w:rPr>
                <w:sz w:val="15"/>
                <w:szCs w:val="15"/>
                <w:color w:val="auto"/>
              </w:rPr>
            </w:pPr>
          </w:p>
        </w:tc>
        <w:tc>
          <w:tcPr>
            <w:tcW w:w="4720" w:type="dxa"/>
            <w:vAlign w:val="bottom"/>
            <w:tcBorders>
              <w:top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Registrant and Anthony J. Recupero.</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80"/>
        </w:trPr>
        <w:tc>
          <w:tcPr>
            <w:tcW w:w="1020" w:type="dxa"/>
            <w:vAlign w:val="bottom"/>
          </w:tcPr>
          <w:p>
            <w:pPr>
              <w:jc w:val="center"/>
              <w:ind w:right="340"/>
              <w:spacing w:after="0"/>
              <w:rPr>
                <w:sz w:val="20"/>
                <w:szCs w:val="20"/>
                <w:color w:val="auto"/>
              </w:rPr>
            </w:pPr>
            <w:r>
              <w:rPr>
                <w:rFonts w:ascii="Times New Roman" w:cs="Times New Roman" w:eastAsia="Times New Roman" w:hAnsi="Times New Roman"/>
                <w:sz w:val="20"/>
                <w:szCs w:val="20"/>
                <w:color w:val="auto"/>
                <w:w w:val="97"/>
              </w:rPr>
              <w:t>10.9</w:t>
            </w:r>
          </w:p>
        </w:tc>
        <w:tc>
          <w:tcPr>
            <w:tcW w:w="488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rPr>
              <w:t>Amended and Restated Investors’ Rights Agreement, dated</w:t>
            </w:r>
          </w:p>
        </w:tc>
        <w:tc>
          <w:tcPr>
            <w:tcW w:w="10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6"/>
              </w:rPr>
              <w:t>S-1/A</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333-227445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10.21</w:t>
            </w:r>
          </w:p>
        </w:tc>
        <w:tc>
          <w:tcPr>
            <w:tcW w:w="11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10/5/2018</w:t>
            </w:r>
          </w:p>
        </w:tc>
      </w:tr>
      <w:tr>
        <w:trPr>
          <w:trHeight w:val="180"/>
        </w:trPr>
        <w:tc>
          <w:tcPr>
            <w:tcW w:w="1020" w:type="dxa"/>
            <w:vAlign w:val="bottom"/>
          </w:tcPr>
          <w:p>
            <w:pPr>
              <w:spacing w:after="0"/>
              <w:rPr>
                <w:sz w:val="15"/>
                <w:szCs w:val="15"/>
                <w:color w:val="auto"/>
              </w:rPr>
            </w:pPr>
          </w:p>
        </w:tc>
        <w:tc>
          <w:tcPr>
            <w:tcW w:w="4800" w:type="dxa"/>
            <w:vAlign w:val="bottom"/>
            <w:tcBorders>
              <w:top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June 2, 2016, by and among the Registrant and the parties</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1020" w:type="dxa"/>
            <w:vAlign w:val="bottom"/>
          </w:tcPr>
          <w:p>
            <w:pPr>
              <w:spacing w:after="0"/>
              <w:rPr>
                <w:sz w:val="15"/>
                <w:szCs w:val="15"/>
                <w:color w:val="auto"/>
              </w:rPr>
            </w:pPr>
          </w:p>
        </w:tc>
        <w:tc>
          <w:tcPr>
            <w:tcW w:w="4680" w:type="dxa"/>
            <w:vAlign w:val="bottom"/>
            <w:tcBorders>
              <w:top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thereto, as amended on October 4, 2018.</w:t>
            </w:r>
          </w:p>
        </w:tc>
        <w:tc>
          <w:tcPr>
            <w:tcW w:w="200" w:type="dxa"/>
            <w:vAlign w:val="bottom"/>
            <w:gridSpan w:val="3"/>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5"/>
        </w:trPr>
        <w:tc>
          <w:tcPr>
            <w:tcW w:w="1020" w:type="dxa"/>
            <w:vAlign w:val="bottom"/>
          </w:tcPr>
          <w:p>
            <w:pPr>
              <w:jc w:val="center"/>
              <w:ind w:right="360"/>
              <w:spacing w:after="0"/>
              <w:rPr>
                <w:sz w:val="20"/>
                <w:szCs w:val="20"/>
                <w:color w:val="auto"/>
              </w:rPr>
            </w:pPr>
            <w:r>
              <w:rPr>
                <w:rFonts w:ascii="Times New Roman" w:cs="Times New Roman" w:eastAsia="Times New Roman" w:hAnsi="Times New Roman"/>
                <w:sz w:val="20"/>
                <w:szCs w:val="20"/>
                <w:color w:val="auto"/>
                <w:w w:val="99"/>
              </w:rPr>
              <w:t>10.10+</w:t>
            </w:r>
          </w:p>
        </w:tc>
        <w:tc>
          <w:tcPr>
            <w:tcW w:w="4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9"/>
              </w:rPr>
              <w:t>Amendment to Restricted Stock Units of Laura Francis</w:t>
            </w:r>
          </w:p>
        </w:tc>
        <w:tc>
          <w:tcPr>
            <w:tcW w:w="460" w:type="dxa"/>
            <w:vAlign w:val="bottom"/>
            <w:gridSpan w:val="4"/>
          </w:tcPr>
          <w:p>
            <w:pPr>
              <w:spacing w:after="0"/>
              <w:rPr>
                <w:sz w:val="24"/>
                <w:szCs w:val="24"/>
                <w:color w:val="auto"/>
              </w:rPr>
            </w:pPr>
          </w:p>
        </w:tc>
        <w:tc>
          <w:tcPr>
            <w:tcW w:w="10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1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11/12/2019</w:t>
            </w:r>
          </w:p>
        </w:tc>
      </w:tr>
      <w:tr>
        <w:trPr>
          <w:trHeight w:val="535"/>
        </w:trPr>
        <w:tc>
          <w:tcPr>
            <w:tcW w:w="1020" w:type="dxa"/>
            <w:vAlign w:val="bottom"/>
          </w:tcPr>
          <w:p>
            <w:pPr>
              <w:jc w:val="center"/>
              <w:ind w:right="360"/>
              <w:spacing w:after="0"/>
              <w:rPr>
                <w:sz w:val="20"/>
                <w:szCs w:val="20"/>
                <w:color w:val="auto"/>
              </w:rPr>
            </w:pPr>
            <w:r>
              <w:rPr>
                <w:rFonts w:ascii="Times New Roman" w:cs="Times New Roman" w:eastAsia="Times New Roman" w:hAnsi="Times New Roman"/>
                <w:sz w:val="20"/>
                <w:szCs w:val="20"/>
                <w:color w:val="auto"/>
                <w:w w:val="99"/>
              </w:rPr>
              <w:t>10.11+</w:t>
            </w:r>
          </w:p>
        </w:tc>
        <w:tc>
          <w:tcPr>
            <w:tcW w:w="3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Amendment to Offer Letter with Jeffrey Dunn</w:t>
            </w:r>
          </w:p>
        </w:tc>
        <w:tc>
          <w:tcPr>
            <w:tcW w:w="1160" w:type="dxa"/>
            <w:vAlign w:val="bottom"/>
            <w:gridSpan w:val="7"/>
          </w:tcPr>
          <w:p>
            <w:pPr>
              <w:spacing w:after="0"/>
              <w:rPr>
                <w:sz w:val="24"/>
                <w:szCs w:val="24"/>
                <w:color w:val="auto"/>
              </w:rPr>
            </w:pPr>
          </w:p>
        </w:tc>
        <w:tc>
          <w:tcPr>
            <w:tcW w:w="10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6"/>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10.1</w:t>
            </w:r>
          </w:p>
        </w:tc>
        <w:tc>
          <w:tcPr>
            <w:tcW w:w="11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1/7/2021</w:t>
            </w:r>
          </w:p>
        </w:tc>
      </w:tr>
      <w:tr>
        <w:trPr>
          <w:trHeight w:val="355"/>
        </w:trPr>
        <w:tc>
          <w:tcPr>
            <w:tcW w:w="1020" w:type="dxa"/>
            <w:vAlign w:val="bottom"/>
          </w:tcPr>
          <w:p>
            <w:pPr>
              <w:jc w:val="center"/>
              <w:ind w:right="360"/>
              <w:spacing w:after="0"/>
              <w:rPr>
                <w:sz w:val="20"/>
                <w:szCs w:val="20"/>
                <w:color w:val="auto"/>
              </w:rPr>
            </w:pPr>
            <w:r>
              <w:rPr>
                <w:rFonts w:ascii="Times New Roman" w:cs="Times New Roman" w:eastAsia="Times New Roman" w:hAnsi="Times New Roman"/>
                <w:sz w:val="20"/>
                <w:szCs w:val="20"/>
                <w:color w:val="auto"/>
                <w:w w:val="99"/>
              </w:rPr>
              <w:t>10.12+</w:t>
            </w:r>
          </w:p>
        </w:tc>
        <w:tc>
          <w:tcPr>
            <w:tcW w:w="4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2023 Non-Employee Directors' Compensation Policy</w:t>
            </w:r>
          </w:p>
        </w:tc>
        <w:tc>
          <w:tcPr>
            <w:tcW w:w="560" w:type="dxa"/>
            <w:vAlign w:val="bottom"/>
            <w:gridSpan w:val="5"/>
          </w:tcPr>
          <w:p>
            <w:pPr>
              <w:spacing w:after="0"/>
              <w:rPr>
                <w:sz w:val="24"/>
                <w:szCs w:val="24"/>
                <w:color w:val="auto"/>
              </w:rPr>
            </w:pPr>
          </w:p>
        </w:tc>
        <w:tc>
          <w:tcPr>
            <w:tcW w:w="10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10.1</w:t>
            </w:r>
          </w:p>
        </w:tc>
        <w:tc>
          <w:tcPr>
            <w:tcW w:w="11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8/08/2023</w:t>
            </w:r>
          </w:p>
        </w:tc>
      </w:tr>
      <w:tr>
        <w:trPr>
          <w:trHeight w:val="280"/>
        </w:trPr>
        <w:tc>
          <w:tcPr>
            <w:tcW w:w="1020" w:type="dxa"/>
            <w:vAlign w:val="bottom"/>
          </w:tcPr>
          <w:p>
            <w:pPr>
              <w:jc w:val="center"/>
              <w:ind w:right="360"/>
              <w:spacing w:after="0"/>
              <w:rPr>
                <w:sz w:val="20"/>
                <w:szCs w:val="20"/>
                <w:color w:val="auto"/>
              </w:rPr>
            </w:pPr>
            <w:r>
              <w:rPr>
                <w:rFonts w:ascii="Times New Roman" w:cs="Times New Roman" w:eastAsia="Times New Roman" w:hAnsi="Times New Roman"/>
                <w:sz w:val="20"/>
                <w:szCs w:val="20"/>
                <w:color w:val="auto"/>
                <w:w w:val="99"/>
              </w:rPr>
              <w:t>10.13+</w:t>
            </w:r>
          </w:p>
        </w:tc>
        <w:tc>
          <w:tcPr>
            <w:tcW w:w="488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rPr>
              <w:t>SI-BONE, Inc. Severance Benefit Plan and Form of</w:t>
            </w:r>
          </w:p>
        </w:tc>
        <w:tc>
          <w:tcPr>
            <w:tcW w:w="10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10.24</w:t>
            </w:r>
          </w:p>
        </w:tc>
        <w:tc>
          <w:tcPr>
            <w:tcW w:w="11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3/10/2021</w:t>
            </w:r>
          </w:p>
        </w:tc>
      </w:tr>
      <w:tr>
        <w:trPr>
          <w:trHeight w:val="180"/>
        </w:trPr>
        <w:tc>
          <w:tcPr>
            <w:tcW w:w="1020" w:type="dxa"/>
            <w:vAlign w:val="bottom"/>
          </w:tcPr>
          <w:p>
            <w:pPr>
              <w:spacing w:after="0"/>
              <w:rPr>
                <w:sz w:val="15"/>
                <w:szCs w:val="15"/>
                <w:color w:val="auto"/>
              </w:rPr>
            </w:pPr>
          </w:p>
        </w:tc>
        <w:tc>
          <w:tcPr>
            <w:tcW w:w="4200" w:type="dxa"/>
            <w:vAlign w:val="bottom"/>
            <w:tcBorders>
              <w:top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rPr>
              <w:t>Participation Agreement</w:t>
            </w:r>
          </w:p>
        </w:tc>
        <w:tc>
          <w:tcPr>
            <w:tcW w:w="680" w:type="dxa"/>
            <w:vAlign w:val="bottom"/>
            <w:gridSpan w:val="6"/>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51" w:right="720" w:bottom="0" w:gutter="0" w:footer="0" w:header="0"/>
          <w:type w:val="continuous"/>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800"/>
          </w:cols>
          <w:pgMar w:left="720" w:top="651" w:right="720" w:bottom="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11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10.14+</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Offer Letter Agreement, dated April 19, 2021, between the</w:t>
            </w:r>
          </w:p>
        </w:tc>
      </w:tr>
      <w:tr>
        <w:trPr>
          <w:trHeight w:val="180"/>
        </w:trPr>
        <w:tc>
          <w:tcPr>
            <w:tcW w:w="1160" w:type="dxa"/>
            <w:vAlign w:val="bottom"/>
          </w:tcPr>
          <w:p>
            <w:pPr>
              <w:spacing w:after="0"/>
              <w:rPr>
                <w:sz w:val="15"/>
                <w:szCs w:val="15"/>
                <w:color w:val="auto"/>
              </w:rPr>
            </w:pPr>
          </w:p>
        </w:tc>
        <w:tc>
          <w:tcPr>
            <w:tcW w:w="4780" w:type="dxa"/>
            <w:vAlign w:val="bottom"/>
            <w:tcBorders>
              <w:top w:val="single" w:sz="8" w:color="0000FF"/>
            </w:tcBorders>
            <w:gridSpan w:val="28"/>
          </w:tcPr>
          <w:p>
            <w:pPr>
              <w:spacing w:after="0" w:line="180" w:lineRule="exact"/>
              <w:rPr>
                <w:sz w:val="20"/>
                <w:szCs w:val="20"/>
                <w:color w:val="auto"/>
              </w:rPr>
            </w:pPr>
            <w:r>
              <w:rPr>
                <w:rFonts w:ascii="Times New Roman" w:cs="Times New Roman" w:eastAsia="Times New Roman" w:hAnsi="Times New Roman"/>
                <w:sz w:val="20"/>
                <w:szCs w:val="20"/>
                <w:color w:val="0000FF"/>
              </w:rPr>
              <w:t>Registrant and Helen Loh</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0"/>
        </w:trPr>
        <w:tc>
          <w:tcPr>
            <w:tcW w:w="11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10.15+</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Offer Letter Agreement, dated March 4, 2021, between the</w:t>
            </w:r>
          </w:p>
        </w:tc>
      </w:tr>
      <w:tr>
        <w:trPr>
          <w:trHeight w:val="180"/>
        </w:trPr>
        <w:tc>
          <w:tcPr>
            <w:tcW w:w="1160" w:type="dxa"/>
            <w:vAlign w:val="bottom"/>
          </w:tcPr>
          <w:p>
            <w:pPr>
              <w:spacing w:after="0"/>
              <w:rPr>
                <w:sz w:val="15"/>
                <w:szCs w:val="15"/>
                <w:color w:val="auto"/>
              </w:rPr>
            </w:pPr>
          </w:p>
        </w:tc>
        <w:tc>
          <w:tcPr>
            <w:tcW w:w="2540" w:type="dxa"/>
            <w:vAlign w:val="bottom"/>
            <w:tcBorders>
              <w:top w:val="single" w:sz="8" w:color="0000FF"/>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9"/>
              </w:rPr>
              <w:t>Registrant and Mika Nishimura</w:t>
            </w:r>
          </w:p>
        </w:tc>
        <w:tc>
          <w:tcPr>
            <w:tcW w:w="2220" w:type="dxa"/>
            <w:vAlign w:val="bottom"/>
            <w:tcBorders>
              <w:top w:val="single" w:sz="8" w:color="0000FF"/>
            </w:tcBorders>
            <w:gridSpan w:val="19"/>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75"/>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10.16</w:t>
            </w:r>
          </w:p>
        </w:tc>
        <w:tc>
          <w:tcPr>
            <w:tcW w:w="504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20"/>
                <w:szCs w:val="20"/>
                <w:color w:val="0000FF"/>
              </w:rPr>
              <w:t>Office Lease Agreement, dated February 2, 2018, between the</w:t>
            </w:r>
          </w:p>
        </w:tc>
      </w:tr>
      <w:tr>
        <w:trPr>
          <w:trHeight w:val="180"/>
        </w:trPr>
        <w:tc>
          <w:tcPr>
            <w:tcW w:w="1160" w:type="dxa"/>
            <w:vAlign w:val="bottom"/>
          </w:tcPr>
          <w:p>
            <w:pPr>
              <w:spacing w:after="0"/>
              <w:rPr>
                <w:sz w:val="15"/>
                <w:szCs w:val="15"/>
                <w:color w:val="auto"/>
              </w:rPr>
            </w:pPr>
          </w:p>
        </w:tc>
        <w:tc>
          <w:tcPr>
            <w:tcW w:w="5040" w:type="dxa"/>
            <w:vAlign w:val="bottom"/>
            <w:gridSpan w:val="38"/>
          </w:tcPr>
          <w:p>
            <w:pPr>
              <w:spacing w:after="0" w:line="180" w:lineRule="exact"/>
              <w:rPr>
                <w:sz w:val="20"/>
                <w:szCs w:val="20"/>
                <w:color w:val="auto"/>
              </w:rPr>
            </w:pPr>
            <w:r>
              <w:rPr>
                <w:rFonts w:ascii="Times New Roman" w:cs="Times New Roman" w:eastAsia="Times New Roman" w:hAnsi="Times New Roman"/>
                <w:sz w:val="20"/>
                <w:szCs w:val="20"/>
                <w:color w:val="0000FF"/>
              </w:rPr>
              <w:t>Registrant and Bixby SPE Finance 11, LLC, as amended on</w:t>
            </w:r>
          </w:p>
        </w:tc>
      </w:tr>
      <w:tr>
        <w:trPr>
          <w:trHeight w:val="180"/>
        </w:trPr>
        <w:tc>
          <w:tcPr>
            <w:tcW w:w="1160" w:type="dxa"/>
            <w:vAlign w:val="bottom"/>
          </w:tcPr>
          <w:p>
            <w:pPr>
              <w:spacing w:after="0"/>
              <w:rPr>
                <w:sz w:val="15"/>
                <w:szCs w:val="15"/>
                <w:color w:val="auto"/>
              </w:rPr>
            </w:pPr>
          </w:p>
        </w:tc>
        <w:tc>
          <w:tcPr>
            <w:tcW w:w="4840" w:type="dxa"/>
            <w:vAlign w:val="bottom"/>
            <w:tcBorders>
              <w:top w:val="single" w:sz="8" w:color="0000FF"/>
            </w:tcBorders>
            <w:gridSpan w:val="30"/>
          </w:tcPr>
          <w:p>
            <w:pPr>
              <w:spacing w:after="0" w:line="180" w:lineRule="exact"/>
              <w:rPr>
                <w:sz w:val="20"/>
                <w:szCs w:val="20"/>
                <w:color w:val="auto"/>
              </w:rPr>
            </w:pPr>
            <w:r>
              <w:rPr>
                <w:rFonts w:ascii="Times New Roman" w:cs="Times New Roman" w:eastAsia="Times New Roman" w:hAnsi="Times New Roman"/>
                <w:sz w:val="20"/>
                <w:szCs w:val="20"/>
                <w:color w:val="0000FF"/>
              </w:rPr>
              <w:t>April 16, 2018.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5"/>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10.17</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Loan and Security Agreement, dated August 12, 2021,</w:t>
            </w:r>
          </w:p>
        </w:tc>
      </w:tr>
      <w:tr>
        <w:trPr>
          <w:trHeight w:val="180"/>
        </w:trPr>
        <w:tc>
          <w:tcPr>
            <w:tcW w:w="1160" w:type="dxa"/>
            <w:vAlign w:val="bottom"/>
          </w:tcPr>
          <w:p>
            <w:pPr>
              <w:spacing w:after="0"/>
              <w:rPr>
                <w:sz w:val="15"/>
                <w:szCs w:val="15"/>
                <w:color w:val="auto"/>
              </w:rPr>
            </w:pPr>
          </w:p>
        </w:tc>
        <w:tc>
          <w:tcPr>
            <w:tcW w:w="442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between SI-BONE, Inc. and Silicon Valley Bank</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5"/>
        </w:trPr>
        <w:tc>
          <w:tcPr>
            <w:tcW w:w="11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10.18+</w:t>
            </w:r>
          </w:p>
        </w:tc>
        <w:tc>
          <w:tcPr>
            <w:tcW w:w="4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Second Amendment to the Offer Letter Agreement and</w:t>
            </w:r>
          </w:p>
        </w:tc>
        <w:tc>
          <w:tcPr>
            <w:tcW w:w="580" w:type="dxa"/>
            <w:vAlign w:val="bottom"/>
            <w:gridSpan w:val="19"/>
          </w:tcPr>
          <w:p>
            <w:pPr>
              <w:spacing w:after="0"/>
              <w:rPr>
                <w:sz w:val="24"/>
                <w:szCs w:val="24"/>
                <w:color w:val="auto"/>
              </w:rPr>
            </w:pPr>
          </w:p>
        </w:tc>
      </w:tr>
      <w:tr>
        <w:trPr>
          <w:trHeight w:val="180"/>
        </w:trPr>
        <w:tc>
          <w:tcPr>
            <w:tcW w:w="1160" w:type="dxa"/>
            <w:vAlign w:val="bottom"/>
          </w:tcPr>
          <w:p>
            <w:pPr>
              <w:spacing w:after="0"/>
              <w:rPr>
                <w:sz w:val="15"/>
                <w:szCs w:val="15"/>
                <w:color w:val="auto"/>
              </w:rPr>
            </w:pPr>
          </w:p>
        </w:tc>
        <w:tc>
          <w:tcPr>
            <w:tcW w:w="5040" w:type="dxa"/>
            <w:vAlign w:val="bottom"/>
            <w:gridSpan w:val="38"/>
          </w:tcPr>
          <w:p>
            <w:pPr>
              <w:spacing w:after="0" w:line="180" w:lineRule="exact"/>
              <w:rPr>
                <w:sz w:val="20"/>
                <w:szCs w:val="20"/>
                <w:color w:val="auto"/>
              </w:rPr>
            </w:pPr>
            <w:r>
              <w:rPr>
                <w:rFonts w:ascii="Times New Roman" w:cs="Times New Roman" w:eastAsia="Times New Roman" w:hAnsi="Times New Roman"/>
                <w:sz w:val="20"/>
                <w:szCs w:val="20"/>
                <w:color w:val="0000FF"/>
              </w:rPr>
              <w:t>Severance Plan Participation Agreement with Jeffery Dunn</w:t>
            </w:r>
          </w:p>
        </w:tc>
      </w:tr>
      <w:tr>
        <w:trPr>
          <w:trHeight w:val="395"/>
        </w:trPr>
        <w:tc>
          <w:tcPr>
            <w:tcW w:w="11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10.19+</w:t>
            </w:r>
          </w:p>
        </w:tc>
        <w:tc>
          <w:tcPr>
            <w:tcW w:w="474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20"/>
                <w:szCs w:val="20"/>
                <w:color w:val="0000FF"/>
              </w:rPr>
              <w:t>Offer Letter Agreement, dated April 20, 2021, between the</w:t>
            </w:r>
          </w:p>
        </w:tc>
        <w:tc>
          <w:tcPr>
            <w:tcW w:w="300" w:type="dxa"/>
            <w:vAlign w:val="bottom"/>
            <w:gridSpan w:val="12"/>
          </w:tcPr>
          <w:p>
            <w:pPr>
              <w:spacing w:after="0"/>
              <w:rPr>
                <w:sz w:val="24"/>
                <w:szCs w:val="24"/>
                <w:color w:val="auto"/>
              </w:rPr>
            </w:pPr>
          </w:p>
        </w:tc>
      </w:tr>
      <w:tr>
        <w:trPr>
          <w:trHeight w:val="180"/>
        </w:trPr>
        <w:tc>
          <w:tcPr>
            <w:tcW w:w="1160" w:type="dxa"/>
            <w:vAlign w:val="bottom"/>
          </w:tcPr>
          <w:p>
            <w:pPr>
              <w:spacing w:after="0"/>
              <w:rPr>
                <w:sz w:val="15"/>
                <w:szCs w:val="15"/>
                <w:color w:val="auto"/>
              </w:rPr>
            </w:pPr>
          </w:p>
        </w:tc>
        <w:tc>
          <w:tcPr>
            <w:tcW w:w="2840" w:type="dxa"/>
            <w:vAlign w:val="bottom"/>
            <w:tcBorders>
              <w:top w:val="single" w:sz="8" w:color="0000FF"/>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9"/>
              </w:rPr>
              <w:t>Registrant and Anshul Maheshwari</w:t>
            </w:r>
          </w:p>
        </w:tc>
        <w:tc>
          <w:tcPr>
            <w:tcW w:w="1940" w:type="dxa"/>
            <w:vAlign w:val="bottom"/>
            <w:tcBorders>
              <w:top w:val="single" w:sz="8" w:color="0000FF"/>
            </w:tcBorders>
            <w:gridSpan w:val="18"/>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5"/>
        </w:trPr>
        <w:tc>
          <w:tcPr>
            <w:tcW w:w="11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10.20+</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Amended and Restated Participation Agreement dated April</w:t>
            </w:r>
          </w:p>
        </w:tc>
      </w:tr>
      <w:tr>
        <w:trPr>
          <w:trHeight w:val="180"/>
        </w:trPr>
        <w:tc>
          <w:tcPr>
            <w:tcW w:w="1160" w:type="dxa"/>
            <w:vAlign w:val="bottom"/>
          </w:tcPr>
          <w:p>
            <w:pPr>
              <w:spacing w:after="0"/>
              <w:rPr>
                <w:sz w:val="15"/>
                <w:szCs w:val="15"/>
                <w:color w:val="auto"/>
              </w:rPr>
            </w:pPr>
          </w:p>
        </w:tc>
        <w:tc>
          <w:tcPr>
            <w:tcW w:w="4140" w:type="dxa"/>
            <w:vAlign w:val="bottom"/>
            <w:tcBorders>
              <w:top w:val="single" w:sz="8" w:color="0000FF"/>
              <w:bottom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w w:val="99"/>
              </w:rPr>
              <w:t>20, 2021, between the Registrant and Laura Francis</w:t>
            </w:r>
          </w:p>
        </w:tc>
        <w:tc>
          <w:tcPr>
            <w:tcW w:w="74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20"/>
        </w:trPr>
        <w:tc>
          <w:tcPr>
            <w:tcW w:w="11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10.21+</w:t>
            </w:r>
          </w:p>
        </w:tc>
        <w:tc>
          <w:tcPr>
            <w:tcW w:w="500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20"/>
                <w:szCs w:val="20"/>
                <w:color w:val="0000FF"/>
                <w:w w:val="99"/>
              </w:rPr>
              <w:t>Form of Performance-Based Restricted Stock Unit Agreement</w:t>
            </w:r>
          </w:p>
        </w:tc>
        <w:tc>
          <w:tcPr>
            <w:tcW w:w="40" w:type="dxa"/>
            <w:vAlign w:val="bottom"/>
          </w:tcPr>
          <w:p>
            <w:pPr>
              <w:spacing w:after="0"/>
              <w:rPr>
                <w:sz w:val="24"/>
                <w:szCs w:val="24"/>
                <w:color w:val="auto"/>
              </w:rPr>
            </w:pPr>
          </w:p>
        </w:tc>
      </w:tr>
      <w:tr>
        <w:trPr>
          <w:trHeight w:val="385"/>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8"/>
              </w:rPr>
              <w:t>10.22#</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First Amendment to Loan and Security Agreement, dated</w:t>
            </w:r>
          </w:p>
        </w:tc>
      </w:tr>
      <w:tr>
        <w:trPr>
          <w:trHeight w:val="180"/>
        </w:trPr>
        <w:tc>
          <w:tcPr>
            <w:tcW w:w="1160" w:type="dxa"/>
            <w:vAlign w:val="bottom"/>
          </w:tcPr>
          <w:p>
            <w:pPr>
              <w:spacing w:after="0"/>
              <w:rPr>
                <w:sz w:val="15"/>
                <w:szCs w:val="15"/>
                <w:color w:val="auto"/>
              </w:rPr>
            </w:pPr>
          </w:p>
        </w:tc>
        <w:tc>
          <w:tcPr>
            <w:tcW w:w="4660" w:type="dxa"/>
            <w:vAlign w:val="bottom"/>
            <w:tcBorders>
              <w:top w:val="single" w:sz="8" w:color="0000FF"/>
              <w:bottom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w w:val="97"/>
              </w:rPr>
              <w:t>January 6, 2023 between SI-BONE, Inc. and Silicon Valley</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20" w:type="dxa"/>
            <w:vAlign w:val="bottom"/>
            <w:tcBorders>
              <w:bottom w:val="single" w:sz="8" w:color="0000FF"/>
            </w:tcBorders>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0"/>
        </w:trPr>
        <w:tc>
          <w:tcPr>
            <w:tcW w:w="1160" w:type="dxa"/>
            <w:vAlign w:val="bottom"/>
          </w:tcPr>
          <w:p>
            <w:pPr>
              <w:spacing w:after="0"/>
              <w:rPr>
                <w:sz w:val="15"/>
                <w:szCs w:val="15"/>
                <w:color w:val="auto"/>
              </w:rPr>
            </w:pPr>
          </w:p>
        </w:tc>
        <w:tc>
          <w:tcPr>
            <w:tcW w:w="4820" w:type="dxa"/>
            <w:vAlign w:val="bottom"/>
            <w:gridSpan w:val="29"/>
          </w:tcPr>
          <w:p>
            <w:pPr>
              <w:spacing w:after="0" w:line="180" w:lineRule="exact"/>
              <w:rPr>
                <w:sz w:val="20"/>
                <w:szCs w:val="20"/>
                <w:color w:val="auto"/>
              </w:rPr>
            </w:pPr>
            <w:r>
              <w:rPr>
                <w:rFonts w:ascii="Times New Roman" w:cs="Times New Roman" w:eastAsia="Times New Roman" w:hAnsi="Times New Roman"/>
                <w:sz w:val="20"/>
                <w:szCs w:val="20"/>
                <w:color w:val="0000FF"/>
              </w:rPr>
              <w:t>Bank</w:t>
            </w: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85"/>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10.23</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Letter Agreement, dated March 24, 2023 between SI-BONE,</w:t>
            </w:r>
          </w:p>
        </w:tc>
      </w:tr>
      <w:tr>
        <w:trPr>
          <w:trHeight w:val="180"/>
        </w:trPr>
        <w:tc>
          <w:tcPr>
            <w:tcW w:w="116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w w:val="99"/>
              </w:rPr>
              <w:t>Inc. and Silicon Valley Bridge Bank</w:t>
            </w:r>
          </w:p>
        </w:tc>
        <w:tc>
          <w:tcPr>
            <w:tcW w:w="2040" w:type="dxa"/>
            <w:vAlign w:val="bottom"/>
            <w:tcBorders>
              <w:top w:val="single" w:sz="8" w:color="0000FF"/>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35"/>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10.24</w:t>
            </w:r>
          </w:p>
        </w:tc>
        <w:tc>
          <w:tcPr>
            <w:tcW w:w="504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20"/>
                <w:szCs w:val="20"/>
                <w:color w:val="0000FF"/>
              </w:rPr>
              <w:t>Office Lease Agreement, dated February 2, 2018, between the</w:t>
            </w:r>
          </w:p>
        </w:tc>
      </w:tr>
      <w:tr>
        <w:trPr>
          <w:trHeight w:val="180"/>
        </w:trPr>
        <w:tc>
          <w:tcPr>
            <w:tcW w:w="1160" w:type="dxa"/>
            <w:vAlign w:val="bottom"/>
          </w:tcPr>
          <w:p>
            <w:pPr>
              <w:spacing w:after="0"/>
              <w:rPr>
                <w:sz w:val="15"/>
                <w:szCs w:val="15"/>
                <w:color w:val="auto"/>
              </w:rPr>
            </w:pPr>
          </w:p>
        </w:tc>
        <w:tc>
          <w:tcPr>
            <w:tcW w:w="5040" w:type="dxa"/>
            <w:vAlign w:val="bottom"/>
            <w:gridSpan w:val="38"/>
          </w:tcPr>
          <w:p>
            <w:pPr>
              <w:spacing w:after="0" w:line="180" w:lineRule="exact"/>
              <w:rPr>
                <w:sz w:val="20"/>
                <w:szCs w:val="20"/>
                <w:color w:val="auto"/>
              </w:rPr>
            </w:pPr>
            <w:r>
              <w:rPr>
                <w:rFonts w:ascii="Times New Roman" w:cs="Times New Roman" w:eastAsia="Times New Roman" w:hAnsi="Times New Roman"/>
                <w:sz w:val="20"/>
                <w:szCs w:val="20"/>
                <w:color w:val="0000FF"/>
              </w:rPr>
              <w:t>Registrant and Bixby SPE Finance 11, LLC, as amended on</w:t>
            </w:r>
          </w:p>
        </w:tc>
      </w:tr>
      <w:tr>
        <w:trPr>
          <w:trHeight w:val="180"/>
        </w:trPr>
        <w:tc>
          <w:tcPr>
            <w:tcW w:w="1160" w:type="dxa"/>
            <w:vAlign w:val="bottom"/>
          </w:tcPr>
          <w:p>
            <w:pPr>
              <w:spacing w:after="0"/>
              <w:rPr>
                <w:sz w:val="15"/>
                <w:szCs w:val="15"/>
                <w:color w:val="auto"/>
              </w:rPr>
            </w:pPr>
          </w:p>
        </w:tc>
        <w:tc>
          <w:tcPr>
            <w:tcW w:w="4840" w:type="dxa"/>
            <w:vAlign w:val="bottom"/>
            <w:tcBorders>
              <w:top w:val="single" w:sz="8" w:color="0000FF"/>
            </w:tcBorders>
            <w:gridSpan w:val="30"/>
          </w:tcPr>
          <w:p>
            <w:pPr>
              <w:spacing w:after="0" w:line="180" w:lineRule="exact"/>
              <w:rPr>
                <w:sz w:val="20"/>
                <w:szCs w:val="20"/>
                <w:color w:val="auto"/>
              </w:rPr>
            </w:pPr>
            <w:r>
              <w:rPr>
                <w:rFonts w:ascii="Times New Roman" w:cs="Times New Roman" w:eastAsia="Times New Roman" w:hAnsi="Times New Roman"/>
                <w:sz w:val="20"/>
                <w:szCs w:val="20"/>
                <w:color w:val="0000FF"/>
              </w:rPr>
              <w:t>April 16, 2018.</w:t>
            </w: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05"/>
        </w:trPr>
        <w:tc>
          <w:tcPr>
            <w:tcW w:w="11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10.25+</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Performance Stock Unit Grants to Executive Officers or Key</w:t>
            </w:r>
          </w:p>
        </w:tc>
      </w:tr>
      <w:tr>
        <w:trPr>
          <w:trHeight w:val="180"/>
        </w:trPr>
        <w:tc>
          <w:tcPr>
            <w:tcW w:w="1160" w:type="dxa"/>
            <w:vAlign w:val="bottom"/>
          </w:tcPr>
          <w:p>
            <w:pPr>
              <w:spacing w:after="0"/>
              <w:rPr>
                <w:sz w:val="15"/>
                <w:szCs w:val="15"/>
                <w:color w:val="auto"/>
              </w:rPr>
            </w:pPr>
          </w:p>
        </w:tc>
        <w:tc>
          <w:tcPr>
            <w:tcW w:w="4940" w:type="dxa"/>
            <w:vAlign w:val="bottom"/>
            <w:tcBorders>
              <w:top w:val="single" w:sz="8" w:color="0000FF"/>
            </w:tcBorders>
            <w:gridSpan w:val="34"/>
          </w:tcPr>
          <w:p>
            <w:pPr>
              <w:spacing w:after="0" w:line="180" w:lineRule="exact"/>
              <w:rPr>
                <w:sz w:val="20"/>
                <w:szCs w:val="20"/>
                <w:color w:val="auto"/>
              </w:rPr>
            </w:pPr>
            <w:r>
              <w:rPr>
                <w:rFonts w:ascii="Times New Roman" w:cs="Times New Roman" w:eastAsia="Times New Roman" w:hAnsi="Times New Roman"/>
                <w:sz w:val="20"/>
                <w:szCs w:val="20"/>
                <w:color w:val="0000FF"/>
              </w:rPr>
              <w:t>Executives</w:t>
            </w: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5"/>
        </w:trPr>
        <w:tc>
          <w:tcPr>
            <w:tcW w:w="1160" w:type="dxa"/>
            <w:vAlign w:val="bottom"/>
          </w:tcPr>
          <w:p>
            <w:pPr>
              <w:jc w:val="center"/>
              <w:ind w:right="200"/>
              <w:spacing w:after="0" w:line="215" w:lineRule="exact"/>
              <w:rPr>
                <w:sz w:val="20"/>
                <w:szCs w:val="20"/>
                <w:color w:val="auto"/>
              </w:rPr>
            </w:pPr>
            <w:r>
              <w:rPr>
                <w:rFonts w:ascii="Times New Roman" w:cs="Times New Roman" w:eastAsia="Times New Roman" w:hAnsi="Times New Roman"/>
                <w:sz w:val="20"/>
                <w:szCs w:val="20"/>
                <w:color w:val="auto"/>
              </w:rPr>
              <w:t>10.26*#</w:t>
            </w:r>
          </w:p>
        </w:tc>
        <w:tc>
          <w:tcPr>
            <w:tcW w:w="5040" w:type="dxa"/>
            <w:vAlign w:val="bottom"/>
            <w:gridSpan w:val="38"/>
          </w:tcPr>
          <w:p>
            <w:pPr>
              <w:spacing w:after="0" w:line="215" w:lineRule="exact"/>
              <w:rPr>
                <w:sz w:val="20"/>
                <w:szCs w:val="20"/>
                <w:color w:val="auto"/>
              </w:rPr>
            </w:pPr>
            <w:r>
              <w:rPr>
                <w:rFonts w:ascii="Times New Roman" w:cs="Times New Roman" w:eastAsia="Times New Roman" w:hAnsi="Times New Roman"/>
                <w:sz w:val="20"/>
                <w:szCs w:val="20"/>
                <w:color w:val="0000FF"/>
              </w:rPr>
              <w:t>Second Amendment to Loan and Security Agreement, dated</w:t>
            </w:r>
          </w:p>
        </w:tc>
      </w:tr>
      <w:tr>
        <w:trPr>
          <w:trHeight w:val="180"/>
        </w:trPr>
        <w:tc>
          <w:tcPr>
            <w:tcW w:w="1160" w:type="dxa"/>
            <w:vAlign w:val="bottom"/>
          </w:tcPr>
          <w:p>
            <w:pPr>
              <w:spacing w:after="0"/>
              <w:rPr>
                <w:sz w:val="15"/>
                <w:szCs w:val="15"/>
                <w:color w:val="auto"/>
              </w:rPr>
            </w:pPr>
          </w:p>
        </w:tc>
        <w:tc>
          <w:tcPr>
            <w:tcW w:w="4900" w:type="dxa"/>
            <w:vAlign w:val="bottom"/>
            <w:tcBorders>
              <w:top w:val="single" w:sz="8" w:color="0000FF"/>
              <w:bottom w:val="single" w:sz="8" w:color="0000FF"/>
            </w:tcBorders>
            <w:gridSpan w:val="32"/>
          </w:tcPr>
          <w:p>
            <w:pPr>
              <w:spacing w:after="0" w:line="180" w:lineRule="exact"/>
              <w:rPr>
                <w:sz w:val="20"/>
                <w:szCs w:val="20"/>
                <w:color w:val="auto"/>
              </w:rPr>
            </w:pPr>
            <w:r>
              <w:rPr>
                <w:rFonts w:ascii="Times New Roman" w:cs="Times New Roman" w:eastAsia="Times New Roman" w:hAnsi="Times New Roman"/>
                <w:sz w:val="20"/>
                <w:szCs w:val="20"/>
                <w:color w:val="0000FF"/>
              </w:rPr>
              <w:t>January 25, 2024 between SI-BONE, Inc. and Silicon Valley</w:t>
            </w:r>
          </w:p>
        </w:tc>
        <w:tc>
          <w:tcPr>
            <w:tcW w:w="20" w:type="dxa"/>
            <w:vAlign w:val="bottom"/>
            <w:tcBorders>
              <w:bottom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0"/>
        </w:trPr>
        <w:tc>
          <w:tcPr>
            <w:tcW w:w="1160" w:type="dxa"/>
            <w:vAlign w:val="bottom"/>
          </w:tcPr>
          <w:p>
            <w:pPr>
              <w:spacing w:after="0"/>
              <w:rPr>
                <w:sz w:val="15"/>
                <w:szCs w:val="15"/>
                <w:color w:val="auto"/>
              </w:rPr>
            </w:pPr>
          </w:p>
        </w:tc>
        <w:tc>
          <w:tcPr>
            <w:tcW w:w="4920" w:type="dxa"/>
            <w:vAlign w:val="bottom"/>
            <w:gridSpan w:val="33"/>
          </w:tcPr>
          <w:p>
            <w:pPr>
              <w:spacing w:after="0" w:line="180" w:lineRule="exact"/>
              <w:rPr>
                <w:sz w:val="20"/>
                <w:szCs w:val="20"/>
                <w:color w:val="auto"/>
              </w:rPr>
            </w:pPr>
            <w:r>
              <w:rPr>
                <w:rFonts w:ascii="Times New Roman" w:cs="Times New Roman" w:eastAsia="Times New Roman" w:hAnsi="Times New Roman"/>
                <w:sz w:val="20"/>
                <w:szCs w:val="20"/>
                <w:color w:val="0000FF"/>
              </w:rPr>
              <w:t>Bank</w:t>
            </w: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5"/>
        </w:trPr>
        <w:tc>
          <w:tcPr>
            <w:tcW w:w="1160" w:type="dxa"/>
            <w:vAlign w:val="bottom"/>
          </w:tcPr>
          <w:p>
            <w:pPr>
              <w:jc w:val="center"/>
              <w:ind w:right="200"/>
              <w:spacing w:after="0" w:line="225" w:lineRule="exact"/>
              <w:rPr>
                <w:sz w:val="20"/>
                <w:szCs w:val="20"/>
                <w:color w:val="auto"/>
              </w:rPr>
            </w:pPr>
            <w:r>
              <w:rPr>
                <w:rFonts w:ascii="Times New Roman" w:cs="Times New Roman" w:eastAsia="Times New Roman" w:hAnsi="Times New Roman"/>
                <w:sz w:val="20"/>
                <w:szCs w:val="20"/>
                <w:color w:val="auto"/>
              </w:rPr>
              <w:t>10.27*#</w:t>
            </w:r>
          </w:p>
        </w:tc>
        <w:tc>
          <w:tcPr>
            <w:tcW w:w="504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000FF"/>
              </w:rPr>
              <w:t>Manufacture and Supply Agreement, dated February 23,</w:t>
            </w:r>
          </w:p>
        </w:tc>
      </w:tr>
      <w:tr>
        <w:trPr>
          <w:trHeight w:val="180"/>
        </w:trPr>
        <w:tc>
          <w:tcPr>
            <w:tcW w:w="1160" w:type="dxa"/>
            <w:vAlign w:val="bottom"/>
          </w:tcPr>
          <w:p>
            <w:pPr>
              <w:spacing w:after="0"/>
              <w:rPr>
                <w:sz w:val="15"/>
                <w:szCs w:val="15"/>
                <w:color w:val="auto"/>
              </w:rPr>
            </w:pPr>
          </w:p>
        </w:tc>
        <w:tc>
          <w:tcPr>
            <w:tcW w:w="4060" w:type="dxa"/>
            <w:vAlign w:val="bottom"/>
            <w:tcBorders>
              <w:top w:val="single" w:sz="8" w:color="0000FF"/>
              <w:bottom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w w:val="99"/>
              </w:rPr>
              <w:t>2024, between SI-BONE, Inc. and RMS Company</w:t>
            </w:r>
          </w:p>
        </w:tc>
        <w:tc>
          <w:tcPr>
            <w:tcW w:w="520" w:type="dxa"/>
            <w:vAlign w:val="bottom"/>
            <w:tcBorders>
              <w:top w:val="single" w:sz="8" w:color="0000FF"/>
            </w:tcBorders>
            <w:gridSpan w:val="6"/>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11"/>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20"/>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97.1*</w:t>
            </w:r>
          </w:p>
        </w:tc>
        <w:tc>
          <w:tcPr>
            <w:tcW w:w="3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9"/>
              </w:rPr>
              <w:t>2023 Recoupment (Clawback) Policy</w:t>
            </w:r>
          </w:p>
        </w:tc>
        <w:tc>
          <w:tcPr>
            <w:tcW w:w="2020" w:type="dxa"/>
            <w:vAlign w:val="bottom"/>
            <w:gridSpan w:val="26"/>
          </w:tcPr>
          <w:p>
            <w:pPr>
              <w:spacing w:after="0"/>
              <w:rPr>
                <w:sz w:val="24"/>
                <w:szCs w:val="24"/>
                <w:color w:val="auto"/>
              </w:rPr>
            </w:pPr>
          </w:p>
        </w:tc>
      </w:tr>
      <w:tr>
        <w:trPr>
          <w:trHeight w:val="280"/>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21.1*</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List of Subsidiaries of Registrant</w:t>
            </w:r>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80"/>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23.1*</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Consent of PricewaterhouseCoopers, Independent Registered</w:t>
            </w:r>
          </w:p>
        </w:tc>
      </w:tr>
      <w:tr>
        <w:trPr>
          <w:trHeight w:val="180"/>
        </w:trPr>
        <w:tc>
          <w:tcPr>
            <w:tcW w:w="1160" w:type="dxa"/>
            <w:vAlign w:val="bottom"/>
          </w:tcPr>
          <w:p>
            <w:pPr>
              <w:spacing w:after="0"/>
              <w:rPr>
                <w:sz w:val="15"/>
                <w:szCs w:val="15"/>
                <w:color w:val="auto"/>
              </w:rPr>
            </w:pPr>
          </w:p>
        </w:tc>
        <w:tc>
          <w:tcPr>
            <w:tcW w:w="1940" w:type="dxa"/>
            <w:vAlign w:val="bottom"/>
            <w:tcBorders>
              <w:top w:val="single" w:sz="8" w:color="0000FF"/>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w w:val="99"/>
              </w:rPr>
              <w:t>Public Accounting Firm</w:t>
            </w:r>
          </w:p>
        </w:tc>
        <w:tc>
          <w:tcPr>
            <w:tcW w:w="3040" w:type="dxa"/>
            <w:vAlign w:val="bottom"/>
            <w:tcBorders>
              <w:top w:val="single" w:sz="8" w:color="0000FF"/>
            </w:tcBorders>
            <w:gridSpan w:val="30"/>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0"/>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24.1*</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Power of Attorney (contained in the signature page of this</w:t>
            </w:r>
          </w:p>
        </w:tc>
      </w:tr>
      <w:tr>
        <w:trPr>
          <w:trHeight w:val="180"/>
        </w:trPr>
        <w:tc>
          <w:tcPr>
            <w:tcW w:w="1160" w:type="dxa"/>
            <w:vAlign w:val="bottom"/>
          </w:tcPr>
          <w:p>
            <w:pPr>
              <w:spacing w:after="0"/>
              <w:rPr>
                <w:sz w:val="15"/>
                <w:szCs w:val="15"/>
                <w:color w:val="auto"/>
              </w:rPr>
            </w:pPr>
          </w:p>
        </w:tc>
        <w:tc>
          <w:tcPr>
            <w:tcW w:w="56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report)</w:t>
            </w:r>
          </w:p>
        </w:tc>
        <w:tc>
          <w:tcPr>
            <w:tcW w:w="4140" w:type="dxa"/>
            <w:vAlign w:val="bottom"/>
            <w:tcBorders>
              <w:top w:val="single" w:sz="8" w:color="0000FF"/>
            </w:tcBorders>
            <w:gridSpan w:val="23"/>
          </w:tcPr>
          <w:p>
            <w:pPr>
              <w:spacing w:after="0"/>
              <w:rPr>
                <w:sz w:val="15"/>
                <w:szCs w:val="15"/>
                <w:color w:val="auto"/>
              </w:rPr>
            </w:pPr>
          </w:p>
        </w:tc>
        <w:tc>
          <w:tcPr>
            <w:tcW w:w="340" w:type="dxa"/>
            <w:vAlign w:val="bottom"/>
            <w:gridSpan w:val="13"/>
          </w:tcPr>
          <w:p>
            <w:pPr>
              <w:spacing w:after="0"/>
              <w:rPr>
                <w:sz w:val="15"/>
                <w:szCs w:val="15"/>
                <w:color w:val="auto"/>
              </w:rPr>
            </w:pPr>
          </w:p>
        </w:tc>
      </w:tr>
      <w:tr>
        <w:trPr>
          <w:trHeight w:val="380"/>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31.1*</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Pursuant to</w:t>
            </w:r>
          </w:p>
        </w:tc>
      </w:tr>
      <w:tr>
        <w:trPr>
          <w:trHeight w:val="180"/>
        </w:trPr>
        <w:tc>
          <w:tcPr>
            <w:tcW w:w="116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w w:val="99"/>
              </w:rPr>
              <w:t>Section 302 of the Sarbanes-Oxley Act of 2002</w:t>
            </w:r>
          </w:p>
        </w:tc>
        <w:tc>
          <w:tcPr>
            <w:tcW w:w="680" w:type="dxa"/>
            <w:vAlign w:val="bottom"/>
            <w:tcBorders>
              <w:top w:val="single" w:sz="8" w:color="0000FF"/>
            </w:tcBorders>
            <w:gridSpan w:val="7"/>
          </w:tcPr>
          <w:p>
            <w:pPr>
              <w:spacing w:after="0"/>
              <w:rPr>
                <w:sz w:val="15"/>
                <w:szCs w:val="15"/>
                <w:color w:val="auto"/>
              </w:rPr>
            </w:pPr>
          </w:p>
        </w:tc>
        <w:tc>
          <w:tcPr>
            <w:tcW w:w="1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360" w:type="dxa"/>
            <w:vAlign w:val="bottom"/>
            <w:gridSpan w:val="14"/>
          </w:tcPr>
          <w:p>
            <w:pPr>
              <w:spacing w:after="0"/>
              <w:rPr>
                <w:sz w:val="15"/>
                <w:szCs w:val="15"/>
                <w:color w:val="auto"/>
              </w:rPr>
            </w:pPr>
          </w:p>
        </w:tc>
      </w:tr>
      <w:tr>
        <w:trPr>
          <w:trHeight w:val="365"/>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31.2*</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0000FF"/>
              </w:rPr>
              <w:t>Certification of Principal Financial Officer Pursuant to</w:t>
            </w:r>
          </w:p>
        </w:tc>
      </w:tr>
      <w:tr>
        <w:trPr>
          <w:trHeight w:val="180"/>
        </w:trPr>
        <w:tc>
          <w:tcPr>
            <w:tcW w:w="116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w w:val="99"/>
              </w:rPr>
              <w:t>Section 302 of the Sarbanes-Oxley Act of 2002</w:t>
            </w:r>
          </w:p>
        </w:tc>
        <w:tc>
          <w:tcPr>
            <w:tcW w:w="640" w:type="dxa"/>
            <w:vAlign w:val="bottom"/>
            <w:tcBorders>
              <w:top w:val="single" w:sz="8" w:color="0000FF"/>
            </w:tcBorders>
            <w:gridSpan w:val="5"/>
          </w:tcPr>
          <w:p>
            <w:pPr>
              <w:spacing w:after="0"/>
              <w:rPr>
                <w:sz w:val="15"/>
                <w:szCs w:val="15"/>
                <w:color w:val="auto"/>
              </w:rPr>
            </w:pPr>
          </w:p>
        </w:tc>
        <w:tc>
          <w:tcPr>
            <w:tcW w:w="20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360" w:type="dxa"/>
            <w:vAlign w:val="bottom"/>
            <w:gridSpan w:val="14"/>
          </w:tcPr>
          <w:p>
            <w:pPr>
              <w:spacing w:after="0"/>
              <w:rPr>
                <w:sz w:val="15"/>
                <w:szCs w:val="15"/>
                <w:color w:val="auto"/>
              </w:rPr>
            </w:pPr>
          </w:p>
        </w:tc>
      </w:tr>
      <w:tr>
        <w:trPr>
          <w:trHeight w:val="320"/>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8"/>
              </w:rPr>
              <w:t>32.1**</w:t>
            </w:r>
          </w:p>
        </w:tc>
        <w:tc>
          <w:tcPr>
            <w:tcW w:w="46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and Principal</w:t>
            </w:r>
          </w:p>
        </w:tc>
        <w:tc>
          <w:tcPr>
            <w:tcW w:w="400" w:type="dxa"/>
            <w:vAlign w:val="bottom"/>
            <w:gridSpan w:val="16"/>
          </w:tcPr>
          <w:p>
            <w:pPr>
              <w:spacing w:after="0"/>
              <w:rPr>
                <w:sz w:val="24"/>
                <w:szCs w:val="24"/>
                <w:color w:val="auto"/>
              </w:rPr>
            </w:pPr>
          </w:p>
        </w:tc>
      </w:tr>
      <w:tr>
        <w:trPr>
          <w:trHeight w:val="180"/>
        </w:trPr>
        <w:tc>
          <w:tcPr>
            <w:tcW w:w="1160" w:type="dxa"/>
            <w:vAlign w:val="bottom"/>
          </w:tcPr>
          <w:p>
            <w:pPr>
              <w:spacing w:after="0"/>
              <w:rPr>
                <w:sz w:val="15"/>
                <w:szCs w:val="15"/>
                <w:color w:val="auto"/>
              </w:rPr>
            </w:pPr>
          </w:p>
        </w:tc>
        <w:tc>
          <w:tcPr>
            <w:tcW w:w="5040" w:type="dxa"/>
            <w:vAlign w:val="bottom"/>
            <w:gridSpan w:val="38"/>
          </w:tcPr>
          <w:p>
            <w:pPr>
              <w:spacing w:after="0" w:line="180" w:lineRule="exact"/>
              <w:rPr>
                <w:sz w:val="20"/>
                <w:szCs w:val="20"/>
                <w:color w:val="auto"/>
              </w:rPr>
            </w:pPr>
            <w:r>
              <w:rPr>
                <w:rFonts w:ascii="Times New Roman" w:cs="Times New Roman" w:eastAsia="Times New Roman" w:hAnsi="Times New Roman"/>
                <w:sz w:val="20"/>
                <w:szCs w:val="20"/>
                <w:color w:val="0000FF"/>
              </w:rPr>
              <w:t>Financial Officer Pursuant to Section 906 of the Sarbanes-</w:t>
            </w:r>
          </w:p>
        </w:tc>
      </w:tr>
      <w:tr>
        <w:trPr>
          <w:trHeight w:val="180"/>
        </w:trPr>
        <w:tc>
          <w:tcPr>
            <w:tcW w:w="1160" w:type="dxa"/>
            <w:vAlign w:val="bottom"/>
          </w:tcPr>
          <w:p>
            <w:pPr>
              <w:spacing w:after="0"/>
              <w:rPr>
                <w:sz w:val="15"/>
                <w:szCs w:val="15"/>
                <w:color w:val="auto"/>
              </w:rPr>
            </w:pPr>
          </w:p>
        </w:tc>
        <w:tc>
          <w:tcPr>
            <w:tcW w:w="4680" w:type="dxa"/>
            <w:vAlign w:val="bottom"/>
            <w:tcBorders>
              <w:top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Oxley Act of 2002</w:t>
            </w:r>
          </w:p>
        </w:tc>
        <w:tc>
          <w:tcPr>
            <w:tcW w:w="360" w:type="dxa"/>
            <w:vAlign w:val="bottom"/>
            <w:gridSpan w:val="14"/>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540" w:type="dxa"/>
            <w:vAlign w:val="bottom"/>
            <w:gridSpan w:val="33"/>
          </w:tcPr>
          <w:p>
            <w:pPr>
              <w:spacing w:after="0" w:line="20" w:lineRule="exact"/>
              <w:rPr>
                <w:sz w:val="1"/>
                <w:szCs w:val="1"/>
                <w:color w:val="auto"/>
              </w:rPr>
            </w:pPr>
          </w:p>
        </w:tc>
      </w:tr>
      <w:tr>
        <w:trPr>
          <w:trHeight w:val="298"/>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101.INS*</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auto"/>
              </w:rPr>
              <w:t>Inline XBRL Instance Document - the instance document</w:t>
            </w:r>
          </w:p>
        </w:tc>
      </w:tr>
      <w:tr>
        <w:trPr>
          <w:trHeight w:val="200"/>
        </w:trPr>
        <w:tc>
          <w:tcPr>
            <w:tcW w:w="1160" w:type="dxa"/>
            <w:vAlign w:val="bottom"/>
          </w:tcPr>
          <w:p>
            <w:pPr>
              <w:spacing w:after="0"/>
              <w:rPr>
                <w:sz w:val="17"/>
                <w:szCs w:val="17"/>
                <w:color w:val="auto"/>
              </w:rPr>
            </w:pPr>
          </w:p>
        </w:tc>
        <w:tc>
          <w:tcPr>
            <w:tcW w:w="5040" w:type="dxa"/>
            <w:vAlign w:val="bottom"/>
            <w:gridSpan w:val="38"/>
          </w:tcPr>
          <w:p>
            <w:pPr>
              <w:spacing w:after="0" w:line="200" w:lineRule="exact"/>
              <w:rPr>
                <w:sz w:val="20"/>
                <w:szCs w:val="20"/>
                <w:color w:val="auto"/>
              </w:rPr>
            </w:pPr>
            <w:r>
              <w:rPr>
                <w:rFonts w:ascii="Times New Roman" w:cs="Times New Roman" w:eastAsia="Times New Roman" w:hAnsi="Times New Roman"/>
                <w:sz w:val="20"/>
                <w:szCs w:val="20"/>
                <w:color w:val="auto"/>
              </w:rPr>
              <w:t>does not appear in the Interactive Data File because its XBRL</w:t>
            </w:r>
          </w:p>
        </w:tc>
      </w:tr>
      <w:tr>
        <w:trPr>
          <w:trHeight w:val="260"/>
        </w:trPr>
        <w:tc>
          <w:tcPr>
            <w:tcW w:w="1160" w:type="dxa"/>
            <w:vAlign w:val="bottom"/>
          </w:tcPr>
          <w:p>
            <w:pPr>
              <w:spacing w:after="0"/>
              <w:rPr>
                <w:sz w:val="22"/>
                <w:szCs w:val="22"/>
                <w:color w:val="auto"/>
              </w:rPr>
            </w:pP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auto"/>
              </w:rPr>
              <w:t>tags are embedded within the Inline XBRL document</w:t>
            </w:r>
          </w:p>
        </w:tc>
      </w:tr>
      <w:tr>
        <w:trPr>
          <w:trHeight w:val="305"/>
        </w:trPr>
        <w:tc>
          <w:tcPr>
            <w:tcW w:w="11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101.SCH*</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40"/>
        </w:trPr>
        <w:tc>
          <w:tcPr>
            <w:tcW w:w="11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8"/>
              </w:rPr>
              <w:t>101.CAL*</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w:t>
            </w:r>
          </w:p>
        </w:tc>
      </w:tr>
      <w:tr>
        <w:trPr>
          <w:trHeight w:val="260"/>
        </w:trPr>
        <w:tc>
          <w:tcPr>
            <w:tcW w:w="1160" w:type="dxa"/>
            <w:vAlign w:val="bottom"/>
          </w:tcPr>
          <w:p>
            <w:pPr>
              <w:spacing w:after="0"/>
              <w:rPr>
                <w:sz w:val="22"/>
                <w:szCs w:val="22"/>
                <w:color w:val="auto"/>
              </w:rPr>
            </w:pP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auto"/>
              </w:rPr>
              <w:t>Document</w:t>
            </w:r>
          </w:p>
        </w:tc>
      </w:tr>
      <w:tr>
        <w:trPr>
          <w:trHeight w:val="235"/>
        </w:trPr>
        <w:tc>
          <w:tcPr>
            <w:tcW w:w="11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8"/>
              </w:rPr>
              <w:t>101.DEF*</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w:t>
            </w:r>
          </w:p>
        </w:tc>
      </w:tr>
      <w:tr>
        <w:trPr>
          <w:trHeight w:val="260"/>
        </w:trPr>
        <w:tc>
          <w:tcPr>
            <w:tcW w:w="1160" w:type="dxa"/>
            <w:vAlign w:val="bottom"/>
          </w:tcPr>
          <w:p>
            <w:pPr>
              <w:spacing w:after="0"/>
              <w:rPr>
                <w:sz w:val="22"/>
                <w:szCs w:val="22"/>
                <w:color w:val="auto"/>
              </w:rPr>
            </w:pP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auto"/>
              </w:rPr>
              <w:t>Document</w:t>
            </w:r>
          </w:p>
        </w:tc>
      </w:tr>
      <w:tr>
        <w:trPr>
          <w:trHeight w:val="295"/>
        </w:trPr>
        <w:tc>
          <w:tcPr>
            <w:tcW w:w="11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8"/>
              </w:rPr>
              <w:t>101.LAB*</w:t>
            </w:r>
          </w:p>
        </w:tc>
        <w:tc>
          <w:tcPr>
            <w:tcW w:w="5040" w:type="dxa"/>
            <w:vAlign w:val="bottom"/>
            <w:gridSpan w:val="38"/>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5/4/2021</w:t>
            </w:r>
          </w:p>
        </w:tc>
      </w:tr>
      <w:tr>
        <w:trPr>
          <w:trHeight w:val="600"/>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5/4/2021</w:t>
            </w:r>
          </w:p>
        </w:tc>
      </w:tr>
      <w:tr>
        <w:trPr>
          <w:trHeight w:val="495"/>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3"/>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333-227445</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10.21</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8"/>
              </w:rPr>
              <w:t>9/20/2018</w:t>
            </w:r>
          </w:p>
        </w:tc>
      </w:tr>
      <w:tr>
        <w:trPr>
          <w:trHeight w:val="735"/>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8"/>
              </w:rPr>
              <w:t>11/9/2021</w:t>
            </w:r>
          </w:p>
        </w:tc>
      </w:tr>
      <w:tr>
        <w:trPr>
          <w:trHeight w:val="525"/>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8"/>
              </w:rPr>
              <w:t>11/9/2021</w:t>
            </w:r>
          </w:p>
        </w:tc>
      </w:tr>
      <w:tr>
        <w:trPr>
          <w:trHeight w:val="615"/>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6"/>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8"/>
              </w:rPr>
              <w:t>4/20/2021</w:t>
            </w:r>
          </w:p>
        </w:tc>
      </w:tr>
      <w:tr>
        <w:trPr>
          <w:trHeight w:val="555"/>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6"/>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8"/>
              </w:rPr>
              <w:t>4/20/2021</w:t>
            </w:r>
          </w:p>
        </w:tc>
      </w:tr>
      <w:tr>
        <w:trPr>
          <w:trHeight w:val="540"/>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8"/>
              </w:rPr>
              <w:t>11/8/2022</w:t>
            </w:r>
          </w:p>
        </w:tc>
      </w:tr>
      <w:tr>
        <w:trPr>
          <w:trHeight w:val="405"/>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10.29</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3/2/2023</w:t>
            </w:r>
          </w:p>
        </w:tc>
      </w:tr>
      <w:tr>
        <w:trPr>
          <w:trHeight w:val="705"/>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10.20</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5/2/2023</w:t>
            </w:r>
          </w:p>
        </w:tc>
      </w:tr>
      <w:tr>
        <w:trPr>
          <w:trHeight w:val="555"/>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3"/>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333-227445</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10.21</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8"/>
              </w:rPr>
              <w:t>9/20/2018</w:t>
            </w:r>
          </w:p>
        </w:tc>
      </w:tr>
      <w:tr>
        <w:trPr>
          <w:trHeight w:val="825"/>
        </w:trPr>
        <w:tc>
          <w:tcPr>
            <w:tcW w:w="60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6"/>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001-38701</w:t>
            </w:r>
          </w:p>
        </w:tc>
        <w:tc>
          <w:tcPr>
            <w:tcW w:w="1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Item 5.02</w:t>
            </w:r>
          </w:p>
        </w:tc>
        <w:tc>
          <w:tcPr>
            <w:tcW w:w="100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8"/>
              </w:rPr>
              <w:t>1/10/2022</w:t>
            </w:r>
          </w:p>
        </w:tc>
      </w:tr>
    </w:tbl>
    <w:p>
      <w:pPr>
        <w:spacing w:after="0" w:line="7475" w:lineRule="exact"/>
        <w:rPr>
          <w:sz w:val="20"/>
          <w:szCs w:val="20"/>
          <w:color w:val="auto"/>
        </w:rPr>
      </w:pPr>
    </w:p>
    <w:p>
      <w:pPr>
        <w:sectPr>
          <w:pgSz w:w="12240" w:h="15840" w:orient="portrait"/>
          <w:cols w:equalWidth="0" w:num="2">
            <w:col w:w="6200" w:space="300"/>
            <w:col w:w="4060"/>
          </w:cols>
          <w:pgMar w:left="820" w:top="720" w:right="860" w:bottom="0" w:gutter="0" w:footer="0" w:header="0"/>
        </w:sect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560"/>
          </w:cols>
          <w:pgMar w:left="820" w:top="720" w:right="860" w:bottom="0" w:gutter="0" w:footer="0" w:header="0"/>
          <w:type w:val="continuous"/>
        </w:sectPr>
      </w:pPr>
    </w:p>
    <w:bookmarkStart w:id="108" w:name="page109"/>
    <w:bookmarkEnd w:id="108"/>
    <w:p>
      <w:pPr>
        <w:ind w:left="120"/>
        <w:spacing w:after="0"/>
        <w:tabs>
          <w:tab w:leader="none" w:pos="1240" w:val="left"/>
        </w:tabs>
        <w:rPr>
          <w:sz w:val="20"/>
          <w:szCs w:val="20"/>
          <w:color w:val="auto"/>
        </w:rPr>
      </w:pPr>
      <w:r>
        <w:rPr>
          <w:rFonts w:ascii="Times New Roman" w:cs="Times New Roman" w:eastAsia="Times New Roman" w:hAnsi="Times New Roman"/>
          <w:sz w:val="20"/>
          <w:szCs w:val="20"/>
          <w:color w:val="auto"/>
        </w:rPr>
        <w:t>101.PRE*</w:t>
      </w:r>
      <w:r>
        <w:rPr>
          <w:sz w:val="20"/>
          <w:szCs w:val="20"/>
          <w:color w:val="auto"/>
        </w:rPr>
        <w:tab/>
      </w:r>
      <w:r>
        <w:rPr>
          <w:rFonts w:ascii="Times New Roman" w:cs="Times New Roman" w:eastAsia="Times New Roman" w:hAnsi="Times New Roman"/>
          <w:sz w:val="20"/>
          <w:szCs w:val="20"/>
          <w:color w:val="auto"/>
        </w:rPr>
        <w:t>Inline XBRL Taxonomy Extension Presentation Linkbase</w:t>
      </w:r>
    </w:p>
    <w:p>
      <w:pPr>
        <w:ind w:left="1260"/>
        <w:spacing w:after="0"/>
        <w:rPr>
          <w:sz w:val="20"/>
          <w:szCs w:val="20"/>
          <w:color w:val="auto"/>
        </w:rPr>
      </w:pPr>
      <w:r>
        <w:rPr>
          <w:rFonts w:ascii="Times New Roman" w:cs="Times New Roman" w:eastAsia="Times New Roman" w:hAnsi="Times New Roman"/>
          <w:sz w:val="20"/>
          <w:szCs w:val="20"/>
          <w:color w:val="auto"/>
        </w:rPr>
        <w:t>Document</w:t>
      </w:r>
    </w:p>
    <w:p>
      <w:pPr>
        <w:spacing w:after="0" w:line="43" w:lineRule="exact"/>
        <w:rPr>
          <w:sz w:val="20"/>
          <w:szCs w:val="20"/>
          <w:color w:val="auto"/>
        </w:rPr>
      </w:pPr>
    </w:p>
    <w:p>
      <w:pPr>
        <w:ind w:left="1260" w:right="4700" w:hanging="885"/>
        <w:spacing w:after="0"/>
        <w:tabs>
          <w:tab w:leader="none" w:pos="126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0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Filed herewith.</w:t>
      </w:r>
    </w:p>
    <w:p>
      <w:pPr>
        <w:spacing w:after="0" w:line="250" w:lineRule="exact"/>
        <w:rPr>
          <w:rFonts w:ascii="Times New Roman" w:cs="Times New Roman" w:eastAsia="Times New Roman" w:hAnsi="Times New Roman"/>
          <w:sz w:val="20"/>
          <w:szCs w:val="20"/>
          <w:color w:val="auto"/>
        </w:rPr>
      </w:pPr>
    </w:p>
    <w:p>
      <w:pPr>
        <w:jc w:val="both"/>
        <w:ind w:left="360" w:hanging="360"/>
        <w:spacing w:after="0" w:line="260" w:lineRule="auto"/>
        <w:tabs>
          <w:tab w:leader="none" w:pos="3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203" w:lineRule="exact"/>
        <w:rPr>
          <w:sz w:val="20"/>
          <w:szCs w:val="20"/>
          <w:color w:val="auto"/>
        </w:rPr>
      </w:pPr>
    </w:p>
    <w:p>
      <w:pPr>
        <w:ind w:left="360" w:hanging="360"/>
        <w:spacing w:after="0"/>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w:t>
      </w:r>
    </w:p>
    <w:p>
      <w:pPr>
        <w:spacing w:after="0" w:line="250" w:lineRule="exact"/>
        <w:rPr>
          <w:sz w:val="20"/>
          <w:szCs w:val="20"/>
          <w:color w:val="auto"/>
        </w:rPr>
      </w:pPr>
    </w:p>
    <w:p>
      <w:pPr>
        <w:ind w:left="360" w:hanging="360"/>
        <w:spacing w:after="0"/>
        <w:tabs>
          <w:tab w:leader="none" w:pos="3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treatment has been granted with respect to certain portions of this exhibit.</w:t>
      </w:r>
    </w:p>
    <w:p>
      <w:pPr>
        <w:spacing w:after="0" w:line="235" w:lineRule="exact"/>
        <w:rPr>
          <w:sz w:val="20"/>
          <w:szCs w:val="20"/>
          <w:color w:val="auto"/>
        </w:rPr>
      </w:pPr>
    </w:p>
    <w:p>
      <w:pPr>
        <w:spacing w:after="0" w:line="317" w:lineRule="auto"/>
        <w:tabs>
          <w:tab w:leader="none" w:pos="31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filed, or incorporated into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by reference, the exhibits listed on the Exhibit Index immediately above.</w:t>
      </w:r>
    </w:p>
    <w:p>
      <w:pPr>
        <w:spacing w:after="0" w:line="166"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Item 15(a)2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16.Form 10-K Summary.</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Not provided.</w:t>
      </w:r>
    </w:p>
    <w:p>
      <w:pPr>
        <w:sectPr>
          <w:pgSz w:w="12240" w:h="15840" w:orient="portrait"/>
          <w:cols w:equalWidth="0" w:num="1">
            <w:col w:w="10800"/>
          </w:cols>
          <w:pgMar w:left="720" w:top="72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800"/>
          </w:cols>
          <w:pgMar w:left="720" w:top="725" w:right="720" w:bottom="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SI-BONE, Inc.</w:t>
      </w:r>
    </w:p>
    <w:p>
      <w:pPr>
        <w:spacing w:after="0" w:line="200" w:lineRule="exact"/>
        <w:rPr>
          <w:sz w:val="20"/>
          <w:szCs w:val="20"/>
          <w:color w:val="auto"/>
        </w:rPr>
      </w:pPr>
    </w:p>
    <w:p>
      <w:pPr>
        <w:spacing w:after="0" w:line="245" w:lineRule="exact"/>
        <w:rPr>
          <w:sz w:val="20"/>
          <w:szCs w:val="20"/>
          <w:color w:val="auto"/>
        </w:rPr>
      </w:pPr>
    </w:p>
    <w:p>
      <w:pPr>
        <w:ind w:left="60"/>
        <w:spacing w:after="0"/>
        <w:tabs>
          <w:tab w:leader="none" w:pos="5840" w:val="left"/>
          <w:tab w:leader="none" w:pos="6560" w:val="left"/>
        </w:tabs>
        <w:rPr>
          <w:sz w:val="20"/>
          <w:szCs w:val="20"/>
          <w:color w:val="auto"/>
        </w:rPr>
      </w:pPr>
      <w:r>
        <w:rPr>
          <w:rFonts w:ascii="Times New Roman" w:cs="Times New Roman" w:eastAsia="Times New Roman" w:hAnsi="Times New Roman"/>
          <w:sz w:val="20"/>
          <w:szCs w:val="20"/>
          <w:color w:val="auto"/>
        </w:rPr>
        <w:t>Date: February 27,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Laura A. Francis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4143375</wp:posOffset>
                </wp:positionH>
                <wp:positionV relativeFrom="paragraph">
                  <wp:posOffset>27305</wp:posOffset>
                </wp:positionV>
                <wp:extent cx="271462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4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25pt,2.15pt" to="540pt,2.15pt" o:allowincell="f" strokecolor="#000000" strokeweight="1pt"/>
            </w:pict>
          </mc:Fallback>
        </mc:AlternateContent>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Laura A. Francis</w:t>
      </w:r>
    </w:p>
    <w:p>
      <w:pPr>
        <w:spacing w:after="0" w:line="5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(Duly Authorized Officer and Principal Executive</w:t>
      </w:r>
    </w:p>
    <w:p>
      <w:pPr>
        <w:ind w:left="6580"/>
        <w:spacing w:after="0"/>
        <w:rPr>
          <w:sz w:val="20"/>
          <w:szCs w:val="20"/>
          <w:color w:val="auto"/>
        </w:rPr>
      </w:pPr>
      <w:r>
        <w:rPr>
          <w:rFonts w:ascii="Times New Roman" w:cs="Times New Roman" w:eastAsia="Times New Roman" w:hAnsi="Times New Roman"/>
          <w:sz w:val="20"/>
          <w:szCs w:val="20"/>
          <w:color w:val="auto"/>
        </w:rPr>
        <w:t>Officer</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SI-BONE, Inc.</w:t>
      </w:r>
    </w:p>
    <w:p>
      <w:pPr>
        <w:spacing w:after="0" w:line="200" w:lineRule="exact"/>
        <w:rPr>
          <w:sz w:val="20"/>
          <w:szCs w:val="20"/>
          <w:color w:val="auto"/>
        </w:rPr>
      </w:pPr>
    </w:p>
    <w:p>
      <w:pPr>
        <w:spacing w:after="0" w:line="215" w:lineRule="exact"/>
        <w:rPr>
          <w:sz w:val="20"/>
          <w:szCs w:val="20"/>
          <w:color w:val="auto"/>
        </w:rPr>
      </w:pPr>
    </w:p>
    <w:p>
      <w:pPr>
        <w:ind w:left="60"/>
        <w:spacing w:after="0"/>
        <w:tabs>
          <w:tab w:leader="none" w:pos="5840" w:val="left"/>
          <w:tab w:leader="none" w:pos="6560" w:val="left"/>
        </w:tabs>
        <w:rPr>
          <w:sz w:val="20"/>
          <w:szCs w:val="20"/>
          <w:color w:val="auto"/>
        </w:rPr>
      </w:pPr>
      <w:r>
        <w:rPr>
          <w:rFonts w:ascii="Times New Roman" w:cs="Times New Roman" w:eastAsia="Times New Roman" w:hAnsi="Times New Roman"/>
          <w:sz w:val="20"/>
          <w:szCs w:val="20"/>
          <w:color w:val="auto"/>
        </w:rPr>
        <w:t>Date: February 27,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Anshul Maheshwari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4143375</wp:posOffset>
                </wp:positionH>
                <wp:positionV relativeFrom="paragraph">
                  <wp:posOffset>27305</wp:posOffset>
                </wp:positionV>
                <wp:extent cx="271462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4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25pt,2.15pt" to="540pt,2.15pt" o:allowincell="f" strokecolor="#000000" strokeweight="1pt"/>
            </w:pict>
          </mc:Fallback>
        </mc:AlternateContent>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Anshul Maheshwari</w:t>
      </w:r>
    </w:p>
    <w:p>
      <w:pPr>
        <w:spacing w:after="0" w:line="5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5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ectPr>
          <w:pgSz w:w="12240" w:h="15840" w:orient="portrait"/>
          <w:cols w:equalWidth="0" w:num="1">
            <w:col w:w="10800"/>
          </w:cols>
          <w:pgMar w:left="720" w:top="651" w:right="720" w:bottom="1440" w:gutter="0" w:footer="0" w:header="0"/>
        </w:sectPr>
      </w:pPr>
    </w:p>
    <w:bookmarkStart w:id="110" w:name="page111"/>
    <w:bookmarkEnd w:id="110"/>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Laura A. Francis, and Michael A. Pisetsky,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their or his substitute or substitutes, may lawfully do or cause to be done by virtue hereof.</w:t>
      </w:r>
    </w:p>
    <w:p>
      <w:pPr>
        <w:spacing w:after="0" w:line="212"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ectPr>
          <w:pgSz w:w="12240" w:h="15840" w:orient="portrait"/>
          <w:cols w:equalWidth="0" w:num="1">
            <w:col w:w="10800"/>
          </w:cols>
          <w:pgMar w:left="720" w:top="658" w:right="720" w:bottom="1440" w:gutter="0" w:footer="0" w:header="0"/>
        </w:sectPr>
      </w:pPr>
    </w:p>
    <w:p>
      <w:pPr>
        <w:spacing w:after="0" w:line="3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26670</wp:posOffset>
                </wp:positionV>
                <wp:extent cx="14097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1pt" to="138pt,2.1pt" o:allowincell="f" strokecolor="#000000" strokeweight="1pt"/>
            </w:pict>
          </mc:Fallback>
        </mc:AlternateContent>
      </w:r>
    </w:p>
    <w:p>
      <w:pPr>
        <w:spacing w:after="0" w:line="33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/s/ Laura A. Francis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27305</wp:posOffset>
                </wp:positionV>
                <wp:extent cx="14097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15pt" to="138pt,2.15pt" o:allowincell="f" strokecolor="#000000" strokeweight="1pt"/>
            </w:pict>
          </mc:Fallback>
        </mc:AlternateContent>
      </w:r>
    </w:p>
    <w:p>
      <w:pPr>
        <w:spacing w:after="0" w:line="3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Laura A. Francis</w:t>
      </w:r>
    </w:p>
    <w:p>
      <w:pPr>
        <w:spacing w:after="0" w:line="34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/s/ Anshul Maheshwari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27305</wp:posOffset>
                </wp:positionV>
                <wp:extent cx="14097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15pt" to="138pt,2.15pt" o:allowincell="f" strokecolor="#000000" strokeweight="1pt"/>
            </w:pict>
          </mc:Fallback>
        </mc:AlternateContent>
      </w:r>
    </w:p>
    <w:p>
      <w:pPr>
        <w:spacing w:after="0" w:line="3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Anshul Maheshwari</w:t>
      </w:r>
    </w:p>
    <w:p>
      <w:pPr>
        <w:spacing w:after="0" w:line="35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/s/ Timothy E. Davis, Jr.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27305</wp:posOffset>
                </wp:positionV>
                <wp:extent cx="140970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15pt" to="138pt,2.15pt" o:allowincell="f" strokecolor="#000000" strokeweight="1pt"/>
            </w:pict>
          </mc:Fallback>
        </mc:AlternateContent>
      </w:r>
    </w:p>
    <w:p>
      <w:pPr>
        <w:spacing w:after="0" w:line="3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Timothy E. Davis, Jr.</w:t>
      </w:r>
    </w:p>
    <w:p>
      <w:pPr>
        <w:spacing w:after="0" w:line="35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/s/ Jeffrey W. Dunn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27305</wp:posOffset>
                </wp:positionV>
                <wp:extent cx="140970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15pt" to="138pt,2.15pt" o:allowincell="f" strokecolor="#000000" strokeweight="1pt"/>
            </w:pict>
          </mc:Fallback>
        </mc:AlternateContent>
      </w:r>
    </w:p>
    <w:p>
      <w:pPr>
        <w:spacing w:after="0" w:line="3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Jeffrey W. Dunn</w:t>
      </w:r>
    </w:p>
    <w:p>
      <w:pPr>
        <w:spacing w:after="0" w:line="34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9"/>
          <w:szCs w:val="19"/>
          <w:color w:val="auto"/>
        </w:rPr>
        <w:t>/s/ John G. Freund,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34290</wp:posOffset>
                </wp:positionV>
                <wp:extent cx="140970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7pt" to="138pt,2.7pt" o:allowincell="f" strokecolor="#000000" strokeweight="1pt"/>
            </w:pict>
          </mc:Fallback>
        </mc:AlternateContent>
      </w:r>
    </w:p>
    <w:p>
      <w:pPr>
        <w:spacing w:after="0" w:line="4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John G. Freund, M.D.</w:t>
      </w:r>
    </w:p>
    <w:p>
      <w:pPr>
        <w:spacing w:after="0" w:line="37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/s/ Jeryl L. Hilleman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27305</wp:posOffset>
                </wp:positionV>
                <wp:extent cx="14097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15pt" to="138pt,2.15pt" o:allowincell="f" strokecolor="#000000" strokeweight="1pt"/>
            </w:pict>
          </mc:Fallback>
        </mc:AlternateContent>
      </w:r>
    </w:p>
    <w:p>
      <w:pPr>
        <w:spacing w:after="0" w:line="5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Jeryl L. Hilleman</w:t>
      </w:r>
    </w:p>
    <w:p>
      <w:pPr>
        <w:spacing w:after="0" w:line="35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/s/ Gregory K. Hinckley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27305</wp:posOffset>
                </wp:positionV>
                <wp:extent cx="140970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15pt" to="138pt,2.15pt" o:allowincell="f" strokecolor="#000000" strokeweight="1pt"/>
            </w:pict>
          </mc:Fallback>
        </mc:AlternateContent>
      </w:r>
    </w:p>
    <w:p>
      <w:pPr>
        <w:spacing w:after="0" w:line="3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Gregory K. Hinckley</w:t>
      </w:r>
    </w:p>
    <w:p>
      <w:pPr>
        <w:spacing w:after="0" w:line="35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/s/ Helen Loh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27305</wp:posOffset>
                </wp:positionV>
                <wp:extent cx="140970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15pt" to="138pt,2.15pt" o:allowincell="f" strokecolor="#000000" strokeweight="1pt"/>
            </w:pict>
          </mc:Fallback>
        </mc:AlternateContent>
      </w:r>
    </w:p>
    <w:p>
      <w:pPr>
        <w:spacing w:after="0" w:line="3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Helen Loh</w:t>
      </w:r>
    </w:p>
    <w:p>
      <w:pPr>
        <w:spacing w:after="0" w:line="35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/s/ Mika Nishimura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27305</wp:posOffset>
                </wp:positionV>
                <wp:extent cx="140970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15pt" to="138pt,2.15pt" o:allowincell="f" strokecolor="#000000" strokeweight="1pt"/>
            </w:pict>
          </mc:Fallback>
        </mc:AlternateContent>
      </w:r>
    </w:p>
    <w:p>
      <w:pPr>
        <w:spacing w:after="0" w:line="3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Mika Nishimura</w:t>
      </w:r>
    </w:p>
    <w:p>
      <w:pPr>
        <w:spacing w:after="0" w:line="34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/s/ Keith C. Valentine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27305</wp:posOffset>
                </wp:positionV>
                <wp:extent cx="140970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15pt" to="138pt,2.15pt" o:allowincell="f" strokecolor="#000000" strokeweight="1pt"/>
            </w:pict>
          </mc:Fallback>
        </mc:AlternateContent>
      </w:r>
    </w:p>
    <w:p>
      <w:pPr>
        <w:spacing w:after="0" w:line="3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color w:val="auto"/>
        </w:rPr>
        <w:t>Keith C. Valentine</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504"/>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Executive Officer and 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2024</w:t>
            </w:r>
          </w:p>
        </w:tc>
      </w:tr>
      <w:tr>
        <w:trPr>
          <w:trHeight w:val="264"/>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w:t>
            </w:r>
            <w:r>
              <w:rPr>
                <w:rFonts w:ascii="Times New Roman" w:cs="Times New Roman" w:eastAsia="Times New Roman" w:hAnsi="Times New Roman"/>
                <w:sz w:val="20"/>
                <w:szCs w:val="20"/>
                <w:b w:val="1"/>
                <w:bCs w:val="1"/>
                <w:i w:val="1"/>
                <w:iCs w:val="1"/>
                <w:color w:val="auto"/>
                <w:w w:val="96"/>
              </w:rPr>
              <w:t>Duly Authorized Officer and Principal Executive Officer</w:t>
            </w:r>
            <w:r>
              <w:rPr>
                <w:rFonts w:ascii="Times New Roman" w:cs="Times New Roman" w:eastAsia="Times New Roman" w:hAnsi="Times New Roman"/>
                <w:sz w:val="16"/>
                <w:szCs w:val="16"/>
                <w:color w:val="auto"/>
                <w:w w:val="96"/>
              </w:rPr>
              <w:t>)</w:t>
            </w:r>
          </w:p>
        </w:tc>
        <w:tc>
          <w:tcPr>
            <w:tcW w:w="20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591"/>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2024</w:t>
            </w:r>
          </w:p>
        </w:tc>
      </w:tr>
      <w:tr>
        <w:trPr>
          <w:trHeight w:val="264"/>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Financial and Accounting Officer)</w:t>
            </w:r>
          </w:p>
        </w:tc>
        <w:tc>
          <w:tcPr>
            <w:tcW w:w="20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666"/>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2024</w:t>
            </w:r>
          </w:p>
        </w:tc>
      </w:tr>
      <w:tr>
        <w:trPr>
          <w:trHeight w:val="870"/>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Chairman of the Board of Directors</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2024</w:t>
            </w:r>
          </w:p>
        </w:tc>
      </w:tr>
      <w:tr>
        <w:trPr>
          <w:trHeight w:val="855"/>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2024</w:t>
            </w:r>
          </w:p>
        </w:tc>
      </w:tr>
      <w:tr>
        <w:trPr>
          <w:trHeight w:val="883"/>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2024</w:t>
            </w:r>
          </w:p>
        </w:tc>
      </w:tr>
      <w:tr>
        <w:trPr>
          <w:trHeight w:val="887"/>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2024</w:t>
            </w:r>
          </w:p>
        </w:tc>
      </w:tr>
      <w:tr>
        <w:trPr>
          <w:trHeight w:val="870"/>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2024</w:t>
            </w:r>
          </w:p>
        </w:tc>
      </w:tr>
      <w:tr>
        <w:trPr>
          <w:trHeight w:val="870"/>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2024</w:t>
            </w:r>
          </w:p>
        </w:tc>
      </w:tr>
      <w:tr>
        <w:trPr>
          <w:trHeight w:val="855"/>
        </w:trPr>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2024</w:t>
            </w:r>
          </w:p>
        </w:tc>
      </w:tr>
    </w:tbl>
    <w:p>
      <w:pPr>
        <w:spacing w:after="0" w:line="1" w:lineRule="exact"/>
        <w:rPr>
          <w:sz w:val="20"/>
          <w:szCs w:val="20"/>
          <w:color w:val="auto"/>
        </w:rPr>
      </w:pPr>
    </w:p>
    <w:sectPr>
      <w:pgSz w:w="12240" w:h="15840" w:orient="portrait"/>
      <w:cols w:equalWidth="0" w:num="2">
        <w:col w:w="2640" w:space="360"/>
        <w:col w:w="7800"/>
      </w:cols>
      <w:pgMar w:left="720" w:top="658" w:right="72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lvl w:ilvl="1">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lvl w:ilvl="1">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8"/>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7"/>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
      <w:numFmt w:val="bullet"/>
      <w:start w:val="1"/>
    </w:lvl>
    <w:lvl w:ilvl="1">
      <w:lvlJc w:val="left"/>
      <w:lvlText w:val="%2"/>
      <w:numFmt w:val="decimal"/>
      <w:start w:val="104"/>
    </w:lvl>
  </w:abstractNum>
  <w:abstractNum w:abstractNumId="42">
    <w:nsid w:val="2CD89A32"/>
    <w:multiLevelType w:val="hybridMultilevel"/>
    <w:lvl w:ilvl="0">
      <w:lvlJc w:val="left"/>
      <w:lvlText w:val="**"/>
      <w:numFmt w:val="bullet"/>
      <w:start w:val="1"/>
    </w:lvl>
    <w:lvl w:ilvl="1">
      <w:lvlJc w:val="left"/>
      <w:lvlText w:val="%2"/>
      <w:numFmt w:val="decimal"/>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2024-04-30T19:58:00Z</dcterms:created>
  <dcterms:modified xsi:type="dcterms:W3CDTF">2024-04-30T19:58:00Z</dcterms:modified>
</cp:coreProperties>
</file>