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Pisetsky Michael 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01/06/2022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385"/>
        <w:spacing w:after="0"/>
        <w:rPr>
          <w:sz w:val="20"/>
          <w:szCs w:val="20"/>
          <w:color w:val="auto"/>
        </w:rPr>
      </w:pPr>
      <w:r>
        <w:rPr>
          <w:rFonts w:ascii="Arial" w:cs="Arial" w:eastAsia="Arial" w:hAnsi="Arial"/>
          <w:sz w:val="17"/>
          <w:szCs w:val="17"/>
          <w:color w:val="0000FF"/>
        </w:rPr>
        <w:t>SVP, Ops &amp; Adm/Chief Legal Ofr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SANTA</w:t>
            </w:r>
          </w:p>
        </w:tc>
        <w:tc>
          <w:tcPr>
            <w:tcW w:w="1140" w:type="dxa"/>
            <w:vAlign w:val="bottom"/>
            <w:vMerge w:val="restart"/>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95050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00" w:type="dxa"/>
            <w:vAlign w:val="bottom"/>
            <w:vMerge w:val="restart"/>
          </w:tcPr>
          <w:p>
            <w:pPr>
              <w:spacing w:after="0"/>
              <w:rPr>
                <w:sz w:val="20"/>
                <w:szCs w:val="20"/>
                <w:color w:val="auto"/>
              </w:rPr>
            </w:pPr>
            <w:r>
              <w:rPr>
                <w:rFonts w:ascii="Arial" w:cs="Arial" w:eastAsia="Arial" w:hAnsi="Arial"/>
                <w:sz w:val="17"/>
                <w:szCs w:val="17"/>
                <w:color w:val="0000FF"/>
              </w:rPr>
              <w:t>CLARA</w:t>
            </w:r>
          </w:p>
        </w:tc>
        <w:tc>
          <w:tcPr>
            <w:tcW w:w="11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01/06/2022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5"/>
              </w:rPr>
              <w:t>46,447</w:t>
            </w:r>
            <w:r>
              <w:rPr>
                <w:rFonts w:ascii="Arial" w:cs="Arial" w:eastAsia="Arial" w:hAnsi="Arial"/>
                <w:sz w:val="22"/>
                <w:szCs w:val="22"/>
                <w:color w:val="008000"/>
                <w:w w:val="85"/>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118,663</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vest over four years beginning on January 1, 2022, and will be released in quarterly installments commencing on May 15, 2022, subject to the Reporting Person's continued service through each relevant vesting date.</w:t>
      </w:r>
    </w:p>
    <w:p>
      <w:pPr>
        <w:spacing w:after="0" w:line="25" w:lineRule="exact"/>
        <w:rPr>
          <w:rFonts w:ascii="Arial" w:cs="Arial" w:eastAsia="Arial" w:hAnsi="Arial"/>
          <w:sz w:val="13"/>
          <w:szCs w:val="13"/>
          <w:color w:val="008000"/>
        </w:rPr>
      </w:pPr>
    </w:p>
    <w:p>
      <w:pPr>
        <w:ind w:left="40" w:right="4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94,294 shares issuable on the settlement of restricted stock units granted to the Reporting Person. Each restricted stock unit represents a contingent right to receive one share of the Issuer's common stock.</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4"/>
              </w:rPr>
              <w:t>/s/ Michael A. Pisetsky</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01/10/2022</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54765"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2022-01-10T14:04:39Z</dcterms:created>
  <dcterms:modified xsi:type="dcterms:W3CDTF">2022-01-10T14:04:39Z</dcterms:modified>
</cp:coreProperties>
</file>