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Date of report (Date of earliest event reported): August 3,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SI-BONE,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471 El Camino Real</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Suite 101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Santa Clara, CA 95050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(408) 207-0700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August 3, 2026, SI-BONE,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issued a press release (the “</w:t>
      </w:r>
      <w:r>
        <w:rPr>
          <w:rFonts w:ascii="Times New Roman;serif" w:hAnsi="Times New Roman;serif"/>
          <w:b/>
          <w:color w:val="000000"/>
          <w:sz w:val="20"/>
        </w:rPr>
        <w:t>Press Release</w:t>
      </w:r>
      <w:r>
        <w:rPr>
          <w:color w:val="000000"/>
        </w:rPr>
        <w:t>”</w:t>
      </w:r>
      <w:r>
        <w:rPr>
          <w:rFonts w:ascii="Times New Roman;serif" w:hAnsi="Times New Roman;serif"/>
          <w:b w:val="false"/>
          <w:color w:val="000000"/>
          <w:sz w:val="20"/>
        </w:rPr>
        <w:t>) announcing results for the quarter ended June 30, 2026.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q226earningsrel.htm">
              <w:r>
                <w:rPr>
                  <w:rStyle w:val="InternetLink"/>
                  <w:rFonts w:ascii="Times New Roman;serif" w:hAnsi="Times New Roman;serif"/>
                  <w:b w:val="false"/>
                  <w:color w:val="0000FF"/>
                  <w:sz w:val="20"/>
                  <w:u w:val="single"/>
                </w:rPr>
                <w:t>Press Release dated August 3, 2026</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72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22"/>
        <w:gridCol w:w="222"/>
        <w:gridCol w:w="222"/>
        <w:gridCol w:w="1212"/>
        <w:gridCol w:w="1212"/>
        <w:gridCol w:w="17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672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4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429" w:before="0" w:after="0"/>
        <w:jc w:val="center"/>
        <w:rPr>
          <w:rFonts w:ascii="Times New Roman;serif" w:hAnsi="Times New Roman;serif"/>
          <w:b/>
          <w:color w:val="000000"/>
          <w:sz w:val="22"/>
        </w:rPr>
      </w:pPr>
      <w:r>
        <w:rPr>
          <w:rFonts w:ascii="Times New Roman;serif" w:hAnsi="Times New Roman;serif"/>
          <w:b/>
          <w:color w:val="000000"/>
          <w:sz w:val="22"/>
        </w:rPr>
        <w:t>SI-BONE, Inc. Reports Financial Results for the Second Quarter 2026 and Raises 2026 Guidance</w:t>
      </w:r>
    </w:p>
    <w:p>
      <w:pPr>
        <w:pStyle w:val="TextBody"/>
        <w:bidi w:val="0"/>
        <w:spacing w:lineRule="atLeast" w:line="427"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Delivered ~15% WW revenue growth and ~178% increase in adjusted EBITDA </w:t>
      </w:r>
    </w:p>
    <w:p>
      <w:pPr>
        <w:pStyle w:val="TextBody"/>
        <w:bidi w:val="0"/>
        <w:spacing w:lineRule="atLeast" w:line="427"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~19% increase in U.S. physician base </w:t>
      </w:r>
    </w:p>
    <w:p>
      <w:pPr>
        <w:pStyle w:val="TextBody"/>
        <w:bidi w:val="0"/>
        <w:spacing w:before="0" w:after="0"/>
        <w:jc w:val="center"/>
        <w:rPr/>
      </w:pPr>
      <w:r>
        <w:rPr/>
      </w:r>
    </w:p>
    <w:p>
      <w:pPr>
        <w:pStyle w:val="TextBody"/>
        <w:bidi w:val="0"/>
        <w:spacing w:lineRule="atLeast" w:line="427" w:before="0" w:after="0"/>
        <w:jc w:val="both"/>
        <w:rPr/>
      </w:pPr>
      <w:r>
        <w:rPr>
          <w:rFonts w:ascii="Times New Roman;serif" w:hAnsi="Times New Roman;serif"/>
          <w:b/>
          <w:color w:val="000000"/>
          <w:sz w:val="22"/>
        </w:rPr>
        <w:t>Second Quarter 2026 Financial Highlights</w:t>
      </w:r>
      <w:r>
        <w:rPr>
          <w:color w:val="000000"/>
        </w:rPr>
        <w:t xml:space="preserve"> </w:t>
      </w:r>
      <w:r>
        <w:rPr>
          <w:rFonts w:ascii="Times New Roman;serif" w:hAnsi="Times New Roman;serif"/>
          <w:b w:val="false"/>
          <w:i/>
          <w:color w:val="000000"/>
          <w:sz w:val="22"/>
        </w:rPr>
        <w:t>(all</w:t>
      </w:r>
      <w:r>
        <w:rPr>
          <w:color w:val="3051F2"/>
        </w:rPr>
        <w:t xml:space="preserve"> </w:t>
      </w:r>
      <w:r>
        <w:rPr>
          <w:rFonts w:ascii="Times New Roman;serif" w:hAnsi="Times New Roman;serif"/>
          <w:b w:val="false"/>
          <w:i/>
          <w:color w:val="000000"/>
          <w:sz w:val="22"/>
        </w:rPr>
        <w:t>comparisons are to the prior year period)</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Worldwide revenue of</w:t>
      </w:r>
      <w:r>
        <w:rPr>
          <w:color w:val="FAAC16"/>
        </w:rPr>
        <w:t xml:space="preserve"> </w:t>
      </w:r>
      <w:r>
        <w:rPr>
          <w:rFonts w:ascii="Times New Roman;serif" w:hAnsi="Times New Roman;serif"/>
          <w:b w:val="false"/>
          <w:color w:val="000000"/>
          <w:sz w:val="22"/>
        </w:rPr>
        <w:t>$56.0</w:t>
      </w:r>
      <w:r>
        <w:rPr>
          <w:color w:val="000000"/>
        </w:rPr>
        <w:t xml:space="preserve"> </w:t>
      </w:r>
      <w:r>
        <w:rPr>
          <w:rFonts w:ascii="Times New Roman;serif" w:hAnsi="Times New Roman;serif"/>
          <w:b w:val="false"/>
          <w:color w:val="000000"/>
          <w:sz w:val="22"/>
        </w:rPr>
        <w:t>million, representing growth of 15.2%</w:t>
      </w:r>
      <w:r>
        <w:rPr>
          <w:color w:val="3051F2"/>
        </w:rPr>
        <w:t xml:space="preserve">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U.S. revenue of</w:t>
      </w:r>
      <w:r>
        <w:rPr>
          <w:color w:val="3051F2"/>
        </w:rPr>
        <w:t xml:space="preserve"> </w:t>
      </w:r>
      <w:r>
        <w:rPr>
          <w:rFonts w:ascii="Times New Roman;serif" w:hAnsi="Times New Roman;serif"/>
          <w:b w:val="false"/>
          <w:color w:val="000000"/>
          <w:sz w:val="22"/>
        </w:rPr>
        <w:t>$53.2 million, representing growth of 14.7%</w:t>
      </w:r>
      <w:r>
        <w:rPr>
          <w:color w:val="3051F2"/>
        </w:rPr>
        <w:t xml:space="preserve">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Gross margin of</w:t>
      </w:r>
      <w:r>
        <w:rPr>
          <w:color w:val="FAAC16"/>
        </w:rPr>
        <w:t xml:space="preserve"> </w:t>
      </w:r>
      <w:r>
        <w:rPr>
          <w:rFonts w:ascii="Times New Roman;serif" w:hAnsi="Times New Roman;serif"/>
          <w:b w:val="false"/>
          <w:color w:val="000000"/>
          <w:sz w:val="22"/>
        </w:rPr>
        <w:t xml:space="preserve">79.5%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Net loss of $4.1 million, representing an improvement of</w:t>
      </w:r>
      <w:r>
        <w:rPr>
          <w:color w:val="FAAC16"/>
        </w:rPr>
        <w:t xml:space="preserve"> </w:t>
      </w:r>
      <w:r>
        <w:rPr>
          <w:rFonts w:ascii="Times New Roman;serif" w:hAnsi="Times New Roman;serif"/>
          <w:b w:val="false"/>
          <w:color w:val="000000"/>
          <w:sz w:val="22"/>
        </w:rPr>
        <w:t xml:space="preserve">33.6%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Positive adjusted EBITDA of</w:t>
      </w:r>
      <w:r>
        <w:rPr>
          <w:color w:val="FAAC16"/>
        </w:rPr>
        <w:t xml:space="preserve"> </w:t>
      </w:r>
      <w:r>
        <w:rPr>
          <w:rFonts w:ascii="Times New Roman;serif" w:hAnsi="Times New Roman;serif"/>
          <w:b w:val="false"/>
          <w:color w:val="000000"/>
          <w:sz w:val="22"/>
        </w:rPr>
        <w:t xml:space="preserve">$2.8 million, representing an improvement of 178.0%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Positive cash from operations of $0.8</w:t>
      </w:r>
      <w:r>
        <w:rPr>
          <w:color w:val="000000"/>
          <w:shd w:fill="FFFFFF" w:val="clear"/>
        </w:rPr>
        <w:t xml:space="preserve"> </w:t>
      </w:r>
      <w:r>
        <w:rPr>
          <w:rFonts w:ascii="Times New Roman;serif" w:hAnsi="Times New Roman;serif"/>
          <w:b w:val="false"/>
          <w:color w:val="000000"/>
          <w:sz w:val="22"/>
          <w:shd w:fill="FFFFFF" w:val="clear"/>
        </w:rPr>
        <w:t>m</w:t>
      </w:r>
      <w:r>
        <w:rPr>
          <w:rFonts w:ascii="Times New Roman;serif" w:hAnsi="Times New Roman;serif"/>
          <w:b w:val="false"/>
          <w:color w:val="000000"/>
          <w:sz w:val="22"/>
        </w:rPr>
        <w:t>illion</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$145.9 million in cash and equivalents, representing a sequential increase of $1.3 million</w:t>
      </w:r>
    </w:p>
    <w:p>
      <w:pPr>
        <w:pStyle w:val="TextBody"/>
        <w:bidi w:val="0"/>
        <w:spacing w:lineRule="atLeast" w:line="427" w:before="0" w:after="0"/>
        <w:jc w:val="both"/>
        <w:rPr/>
      </w:pPr>
      <w:r>
        <w:rPr>
          <w:rFonts w:ascii="Times New Roman;serif" w:hAnsi="Times New Roman;serif"/>
          <w:b/>
          <w:color w:val="000000"/>
          <w:sz w:val="22"/>
        </w:rPr>
        <w:t xml:space="preserve">Recent Operational Highlights </w:t>
      </w:r>
      <w:r>
        <w:rPr>
          <w:rFonts w:ascii="Times New Roman;serif" w:hAnsi="Times New Roman;serif"/>
          <w:b w:val="false"/>
          <w:i/>
          <w:color w:val="000000"/>
          <w:sz w:val="22"/>
        </w:rPr>
        <w:t>(any</w:t>
      </w:r>
      <w:r>
        <w:rPr>
          <w:color w:val="3051F2"/>
        </w:rPr>
        <w:t xml:space="preserve"> </w:t>
      </w:r>
      <w:r>
        <w:rPr>
          <w:rFonts w:ascii="Times New Roman;serif" w:hAnsi="Times New Roman;serif"/>
          <w:b w:val="false"/>
          <w:i/>
          <w:color w:val="000000"/>
          <w:sz w:val="22"/>
        </w:rPr>
        <w:t>comparisons are to the prior year period)</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1,715 active U.S. physicians, representing growth of 19% </w:t>
      </w:r>
    </w:p>
    <w:p>
      <w:pPr>
        <w:pStyle w:val="TextBody"/>
        <w:bidi w:val="0"/>
        <w:spacing w:lineRule="atLeast" w:line="427" w:before="0" w:after="0"/>
        <w:ind w:left="0" w:right="0" w:hanging="450"/>
        <w:jc w:val="both"/>
        <w:rPr/>
      </w:pPr>
      <w:r>
        <w:rPr>
          <w:color w:val="000000"/>
        </w:rPr>
        <w:t>•</w:t>
      </w:r>
      <w:r>
        <w:rPr>
          <w:rFonts w:ascii="Times New Roman;serif" w:hAnsi="Times New Roman;serif"/>
          <w:b w:val="false"/>
          <w:color w:val="000000"/>
          <w:sz w:val="22"/>
        </w:rPr>
        <w:t xml:space="preserve">$2.2 million in trailing 12-month average revenue per territory, representing an increase of 5% </w:t>
      </w:r>
    </w:p>
    <w:p>
      <w:pPr>
        <w:pStyle w:val="TextBody"/>
        <w:bidi w:val="0"/>
        <w:spacing w:lineRule="atLeast" w:line="427" w:before="0" w:after="0"/>
        <w:ind w:left="0" w:right="0" w:hanging="450"/>
        <w:jc w:val="left"/>
        <w:rPr/>
      </w:pPr>
      <w:r>
        <w:rPr>
          <w:color w:val="000000"/>
        </w:rPr>
        <w:t>•</w:t>
      </w:r>
      <w:r>
        <w:rPr>
          <w:rFonts w:ascii="Times New Roman;serif" w:hAnsi="Times New Roman;serif"/>
          <w:b w:val="false"/>
          <w:color w:val="000000"/>
          <w:sz w:val="22"/>
        </w:rPr>
        <w:t xml:space="preserve">In June, submitted 510(k) application for the third-breakthrough device targeting one of the largest unmet needs in spine surgery </w:t>
      </w:r>
    </w:p>
    <w:p>
      <w:pPr>
        <w:pStyle w:val="TextBody"/>
        <w:bidi w:val="0"/>
        <w:spacing w:lineRule="atLeast" w:line="427" w:before="0" w:after="0"/>
        <w:ind w:left="0" w:right="0" w:hanging="450"/>
        <w:jc w:val="left"/>
        <w:rPr/>
      </w:pPr>
      <w:r>
        <w:rPr>
          <w:color w:val="000000"/>
        </w:rPr>
        <w:t>•</w:t>
      </w:r>
      <w:r>
        <w:rPr>
          <w:rFonts w:ascii="Times New Roman;serif" w:hAnsi="Times New Roman;serif"/>
          <w:b w:val="false"/>
          <w:color w:val="000000"/>
          <w:sz w:val="22"/>
        </w:rPr>
        <w:t>CMS finalized new MS-DRG family providing higher payments for complex spinal fusion procedures that incorporate iFuse Bedrock Granite in an in-patient setting, effective October 1</w:t>
      </w:r>
    </w:p>
    <w:p>
      <w:pPr>
        <w:pStyle w:val="TextBody"/>
        <w:bidi w:val="0"/>
        <w:spacing w:before="0" w:after="0"/>
        <w:ind w:left="0" w:right="0" w:hanging="90"/>
        <w:jc w:val="both"/>
        <w:rPr/>
      </w:pPr>
      <w:r>
        <w:rPr/>
      </w:r>
    </w:p>
    <w:p>
      <w:pPr>
        <w:pStyle w:val="TextBody"/>
        <w:bidi w:val="0"/>
        <w:spacing w:lineRule="auto" w:line="540" w:before="0" w:after="0"/>
        <w:jc w:val="both"/>
        <w:rPr/>
      </w:pPr>
      <w:r>
        <w:rPr>
          <w:rFonts w:ascii="Times New Roman;serif" w:hAnsi="Times New Roman;serif"/>
          <w:b/>
          <w:color w:val="000000"/>
          <w:sz w:val="22"/>
        </w:rPr>
        <w:t>SANTA CLARA, Calif. August 3, 2026</w:t>
      </w:r>
      <w:r>
        <w:rPr>
          <w:color w:val="000000"/>
        </w:rPr>
        <w:t xml:space="preserve"> </w:t>
      </w:r>
      <w:r>
        <w:rPr>
          <w:rFonts w:ascii="Times New Roman;serif" w:hAnsi="Times New Roman;serif"/>
          <w:b w:val="false"/>
          <w:color w:val="000000"/>
          <w:sz w:val="22"/>
        </w:rPr>
        <w:t>- SI-BONE, Inc. (Nasdaq: SIBN), the global leader in developing procedural solutions to address clinical challenges associated with compromised bone, today reported financial results for the quarter ended June 30, 2026.</w:t>
      </w:r>
    </w:p>
    <w:p>
      <w:pPr>
        <w:pStyle w:val="TextBody"/>
        <w:bidi w:val="0"/>
        <w:spacing w:before="0" w:after="0"/>
        <w:jc w:val="both"/>
        <w:rPr/>
      </w:pPr>
      <w:r>
        <w:rPr/>
      </w:r>
    </w:p>
    <w:p>
      <w:pPr>
        <w:pStyle w:val="TextBody"/>
        <w:bidi w:val="0"/>
        <w:spacing w:lineRule="atLeast" w:line="427"/>
        <w:jc w:val="both"/>
        <w:rPr>
          <w:color w:val="000000"/>
        </w:rPr>
      </w:pPr>
      <w:r>
        <w:rPr>
          <w:color w:val="000000"/>
        </w:rPr>
        <w:t>“</w:t>
      </w:r>
      <w:r>
        <w:rPr>
          <w:rFonts w:ascii="Times New Roman;serif" w:hAnsi="Times New Roman;serif"/>
          <w:b w:val="false"/>
          <w:color w:val="000000"/>
          <w:sz w:val="22"/>
        </w:rPr>
        <w:t xml:space="preserve">Our accelerating growth and expanding profitability reinforces our conviction in the demand for our superior platform technologies and the significant runway ahead,” said Laura Francis, Chief Executive Officer. “This quarter’s record physician engagement reflects our strategy to develop unique procedural solutions for patients with compromised bone and underscores the meaningful market need we are addressing. We are excited about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upcoming third breakthrough device launch in the fourth quarter, a substantially improved reimbursement backdrop, and an expanding commercial reach. Together, these tailwinds position us to expand adoption, broaden patient access, and enter our next phase of strong, sustainable multi-year revenue growth.”</w:t>
      </w:r>
    </w:p>
    <w:p>
      <w:pPr>
        <w:pStyle w:val="TextBody"/>
        <w:bidi w:val="0"/>
        <w:spacing w:before="0" w:after="0"/>
        <w:jc w:val="left"/>
        <w:rPr/>
      </w:pPr>
      <w:r>
        <w:rPr/>
      </w:r>
    </w:p>
    <w:p>
      <w:pPr>
        <w:pStyle w:val="TextBody"/>
        <w:bidi w:val="0"/>
        <w:spacing w:lineRule="auto" w:line="386" w:before="55" w:after="30"/>
        <w:jc w:val="both"/>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Worldwide revenue was $56.0 million in the second quarter 2026, a 15.2% increase from $48.6 million in the corresponding period in 2025. U.S. revenue for the second quarter 2026 was $53.2 million, a 14.7% increase from $46.4 million in the corresponding period in 2025. U.S. revenue growth benefited from 14.9% growth in procedure volume. International revenue for the second quarter 2026 was $2.8 million, a 25.9% increase from $2.2 million in the corresponding period in 2025. International revenue growth reflects the strong initial reception for iFuse TORQ and iFuse TORQ TNT.</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Gross profit was $44.5 million in the second quarter 2026, an increase of 14.8% from $38.8 million in the corresponding period in 2025. Gross margin was 79.5% for the second quarter 2026, compared to 79.8% in the corresponding period in 2025. </w:t>
      </w:r>
    </w:p>
    <w:p>
      <w:pPr>
        <w:pStyle w:val="TextBody"/>
        <w:bidi w:val="0"/>
        <w:spacing w:before="0" w:after="0"/>
        <w:jc w:val="both"/>
        <w:rPr/>
      </w:pPr>
      <w:r>
        <w:rPr/>
      </w:r>
    </w:p>
    <w:p>
      <w:pPr>
        <w:pStyle w:val="TextBody"/>
        <w:bidi w:val="0"/>
        <w:spacing w:lineRule="atLeast" w:line="427" w:before="0" w:after="0"/>
        <w:jc w:val="both"/>
        <w:rPr/>
      </w:pPr>
      <w:r>
        <w:rPr>
          <w:rFonts w:ascii="Times New Roman;serif" w:hAnsi="Times New Roman;serif"/>
          <w:b w:val="false"/>
          <w:color w:val="000000"/>
          <w:sz w:val="22"/>
        </w:rPr>
        <w:t>Operating expenses increased 7.7% to $49.4 million in the second quarter 2026, as compared to</w:t>
      </w:r>
      <w:r>
        <w:rPr>
          <w:color w:val="FAAC16"/>
        </w:rPr>
        <w:t xml:space="preserve"> </w:t>
      </w:r>
      <w:r>
        <w:rPr>
          <w:rFonts w:ascii="Times New Roman;serif" w:hAnsi="Times New Roman;serif"/>
          <w:b w:val="false"/>
          <w:color w:val="000000"/>
          <w:sz w:val="22"/>
        </w:rPr>
        <w:t xml:space="preserve">$45.8 million in the corresponding period in 2025. The change in operating expenses was primarily driven by general commercial activity related to higher revenue and new product rollout as well as increase in research and development spend. </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Operating loss improved by 31.4% to $4.8 million in the second quarter 2026, as compared to an operating loss of $7.0 million in the corresponding period in 2025.</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loss improved by 33.6% to $4.1 million, or $0.09 per diluted share, in the second quarter 2026, as compared to a net loss of $6.2 million, or $0.14 per diluted share, in the corresponding period in 2025. </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was $2.8 million in the second quarter 2026, improving from an adjusted EBITDA of $1.0 million in the corresponding period in 2025.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40" w:before="0" w:after="0"/>
        <w:jc w:val="both"/>
        <w:rPr/>
      </w:pPr>
      <w:r>
        <w:rPr>
          <w:rFonts w:ascii="Times New Roman;serif" w:hAnsi="Times New Roman;serif"/>
          <w:b w:val="false"/>
          <w:color w:val="000000"/>
          <w:sz w:val="22"/>
        </w:rPr>
        <w:t>Cash and equivalents as of June 30, 2026 were $145.9 million,</w:t>
      </w:r>
      <w:r>
        <w:rPr>
          <w:color w:val="3051F2"/>
        </w:rPr>
        <w:t xml:space="preserve"> </w:t>
      </w:r>
      <w:r>
        <w:rPr>
          <w:rFonts w:ascii="Times New Roman;serif" w:hAnsi="Times New Roman;serif"/>
          <w:b w:val="false"/>
          <w:color w:val="000000"/>
          <w:sz w:val="22"/>
        </w:rPr>
        <w:t>compared to</w:t>
      </w:r>
      <w:r>
        <w:rPr>
          <w:color w:val="FAAC16"/>
        </w:rPr>
        <w:t xml:space="preserve"> </w:t>
      </w:r>
      <w:r>
        <w:rPr>
          <w:rFonts w:ascii="Times New Roman;serif" w:hAnsi="Times New Roman;serif"/>
          <w:b w:val="false"/>
          <w:color w:val="000000"/>
          <w:sz w:val="22"/>
        </w:rPr>
        <w:t>$144.7 million</w:t>
      </w:r>
      <w:r>
        <w:rPr>
          <w:color w:val="FAAC16"/>
        </w:rPr>
        <w:t xml:space="preserve"> </w:t>
      </w:r>
      <w:r>
        <w:rPr>
          <w:rFonts w:ascii="Times New Roman;serif" w:hAnsi="Times New Roman;serif"/>
          <w:b w:val="false"/>
          <w:color w:val="000000"/>
          <w:sz w:val="22"/>
        </w:rPr>
        <w:t>as of March 31, 2026. Net cash generated was $1.3 million in the second quarter 2026, compared to $1.1 million in net cash generated during the corresponding period in 2025.</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 xml:space="preserve">Updated Fiscal 2026 Financial Guidance </w:t>
      </w:r>
    </w:p>
    <w:p>
      <w:pPr>
        <w:pStyle w:val="TextBody"/>
        <w:bidi w:val="0"/>
        <w:spacing w:lineRule="auto" w:line="561" w:before="0" w:after="0"/>
        <w:jc w:val="both"/>
        <w:rPr/>
      </w:pPr>
      <w:r>
        <w:rPr>
          <w:rFonts w:ascii="Times New Roman;serif" w:hAnsi="Times New Roman;serif"/>
          <w:b w:val="false"/>
          <w:color w:val="000000"/>
          <w:sz w:val="22"/>
        </w:rPr>
        <w:t xml:space="preserve">SI-BONE increases 2026 worldwide revenue to be in the range of $231 million to </w:t>
      </w:r>
      <w:r>
        <w:rPr>
          <w:rFonts w:ascii="Times New Roman;serif" w:hAnsi="Times New Roman;serif"/>
          <w:b/>
          <w:color w:val="000000"/>
          <w:sz w:val="22"/>
        </w:rPr>
        <w:t>$</w:t>
      </w:r>
      <w:r>
        <w:rPr>
          <w:rFonts w:ascii="Times New Roman;serif" w:hAnsi="Times New Roman;serif"/>
          <w:b w:val="false"/>
          <w:color w:val="000000"/>
          <w:sz w:val="22"/>
        </w:rPr>
        <w:t>233</w:t>
      </w:r>
      <w:r>
        <w:rPr>
          <w:color w:val="000000"/>
        </w:rPr>
        <w:t xml:space="preserve"> </w:t>
      </w:r>
      <w:r>
        <w:rPr>
          <w:rFonts w:ascii="Times New Roman;serif" w:hAnsi="Times New Roman;serif"/>
          <w:b w:val="false"/>
          <w:color w:val="000000"/>
          <w:sz w:val="22"/>
        </w:rPr>
        <w:t xml:space="preserve">million, implying year-over-year growth of ~15% to 16%. The Company is maintaining gross margin guidance at ~79%, and updating operating expenses guidance to now be ~12% compared to the prior guidance of ~12.5%. </w:t>
      </w:r>
    </w:p>
    <w:p>
      <w:pPr>
        <w:pStyle w:val="TextBody"/>
        <w:bidi w:val="0"/>
        <w:spacing w:before="0" w:after="0"/>
        <w:jc w:val="both"/>
        <w:rPr/>
      </w:pPr>
      <w:r>
        <w:rPr/>
      </w:r>
    </w:p>
    <w:tbl>
      <w:tblPr>
        <w:tblW w:w="5518" w:type="dxa"/>
        <w:jc w:val="left"/>
        <w:tblInd w:w="0" w:type="dxa"/>
        <w:tblLayout w:type="fixed"/>
        <w:tblCellMar>
          <w:top w:w="28" w:type="dxa"/>
          <w:left w:w="28" w:type="dxa"/>
          <w:bottom w:w="28" w:type="dxa"/>
          <w:right w:w="28" w:type="dxa"/>
        </w:tblCellMar>
      </w:tblPr>
      <w:tblGrid>
        <w:gridCol w:w="645"/>
        <w:gridCol w:w="569"/>
        <w:gridCol w:w="570"/>
        <w:gridCol w:w="620"/>
        <w:gridCol w:w="620"/>
        <w:gridCol w:w="620"/>
        <w:gridCol w:w="543"/>
        <w:gridCol w:w="543"/>
        <w:gridCol w:w="788"/>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2026 Guidance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New (August 3, 2026)</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Prior (May 11, 2026)</w:t>
            </w:r>
          </w:p>
        </w:tc>
      </w:tr>
      <w:tr>
        <w:trPr/>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8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$231M - $233M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~15-16% growth</w:t>
            </w:r>
          </w:p>
        </w:tc>
        <w:tc>
          <w:tcPr>
            <w:tcW w:w="18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$230M - $233M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~14%-16% growth</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~79.0%</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~79.0%</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~12.0% growth</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revenue midpoint</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~12.5% growth</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 revenue midpoint</w:t>
            </w:r>
          </w:p>
        </w:tc>
      </w:tr>
      <w:tr>
        <w:trPr/>
        <w:tc>
          <w:tcPr>
            <w:tcW w:w="1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8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86"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c>
          <w:tcPr>
            <w:tcW w:w="187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86"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1017" w:before="0" w:after="0"/>
        <w:jc w:val="both"/>
        <w:rPr>
          <w:rFonts w:ascii="Times New Roman;serif" w:hAnsi="Times New Roman;serif"/>
          <w:b/>
          <w:color w:val="000000"/>
          <w:sz w:val="22"/>
        </w:rPr>
      </w:pPr>
      <w:r>
        <w:rPr>
          <w:rFonts w:ascii="Times New Roman;serif" w:hAnsi="Times New Roman;serif"/>
          <w:b/>
          <w:color w:val="000000"/>
          <w:sz w:val="22"/>
        </w:rPr>
        <w:t>Webcast Information</w:t>
      </w:r>
    </w:p>
    <w:p>
      <w:pPr>
        <w:pStyle w:val="TextBody"/>
        <w:bidi w:val="0"/>
        <w:spacing w:lineRule="auto" w:line="561" w:before="0" w:after="0"/>
        <w:jc w:val="both"/>
        <w:rPr/>
      </w:pPr>
      <w:r>
        <w:rPr>
          <w:rFonts w:ascii="Times New Roman;serif" w:hAnsi="Times New Roman;serif"/>
          <w:b w:val="false"/>
          <w:color w:val="000000"/>
          <w:sz w:val="22"/>
        </w:rPr>
        <w:t xml:space="preserve">SI-BONE will host a conference call to discuss the second quarter 2026 financial results after market close on Monday, August 3, 2026 at 4:30 P.M. Eastern Time. The conference call can be accessed live over webcast at </w:t>
      </w:r>
      <w:r>
        <w:rPr>
          <w:rFonts w:ascii="Times New Roman;serif" w:hAnsi="Times New Roman;serif"/>
          <w:b w:val="false"/>
          <w:color w:val="0E32E1"/>
          <w:sz w:val="22"/>
        </w:rPr>
        <w:t>https://edge.media-server.com/mmc/p/4chyjb8g/</w:t>
      </w:r>
      <w:r>
        <w:rPr>
          <w:rFonts w:ascii="Times New Roman;serif" w:hAnsi="Times New Roman;serif"/>
          <w:b w:val="false"/>
          <w:color w:val="3051F2"/>
          <w:sz w:val="22"/>
        </w:rPr>
        <w:t>.</w:t>
      </w:r>
      <w:r>
        <w:rPr>
          <w:color w:val="000000"/>
        </w:rPr>
        <w:t xml:space="preserve"> </w:t>
      </w:r>
      <w:r>
        <w:rPr>
          <w:rFonts w:ascii="Times New Roman;serif" w:hAnsi="Times New Roman;serif"/>
          <w:b w:val="false"/>
          <w:color w:val="000000"/>
          <w:sz w:val="22"/>
        </w:rPr>
        <w:t xml:space="preserve">Live audio of the webcast will be available on the “Investors” section of the company’s website at: </w:t>
      </w:r>
      <w:r>
        <w:rPr>
          <w:rFonts w:ascii="Times New Roman;serif" w:hAnsi="Times New Roman;serif"/>
          <w:b w:val="false"/>
          <w:color w:val="0E32E1"/>
          <w:sz w:val="22"/>
        </w:rPr>
        <w:t>www.si-bone.com</w:t>
      </w:r>
      <w:r>
        <w:rPr>
          <w:rFonts w:ascii="Times New Roman;serif" w:hAnsi="Times New Roman;serif"/>
          <w:b w:val="false"/>
          <w:color w:val="000000"/>
          <w:sz w:val="22"/>
        </w:rPr>
        <w:t>. The webcast will be archived and available for replay for at least 90 days after the event.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About SI-BONE, Inc.</w:t>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SI-BONE (NASDAQ: SIBN) is a global leader in developing procedural solutions to address clinical challenges associated with compromised bone. With expertise in biomechanical design and anatomy specific innovation, SI-BONE has built a technology platform with market-leading applications centered on the spinopelvic anatomy. SI-BONE continues to leverage the deep experience in addressing the challenges of low-density bone in the sacrum to develop unique technologies that are targeting new clinical adjacencies to help improve outcomes for patients with compromised bone. Since 2009, SI-BONE has supported physicians in performing over 150,000 procedures. A unique body of clinical evidence supports the use of SI-BONE's technologies, including four randomized controlled trials and over 190 peer reviewed publications.</w:t>
      </w:r>
    </w:p>
    <w:p>
      <w:pPr>
        <w:pStyle w:val="TextBody"/>
        <w:bidi w:val="0"/>
        <w:spacing w:before="0" w:after="0"/>
        <w:jc w:val="both"/>
        <w:rPr/>
      </w:pPr>
      <w:r>
        <w:rPr/>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For additional information on the company or the products, including risks and benefits, please visit www.si-bone.com.</w:t>
      </w:r>
    </w:p>
    <w:p>
      <w:pPr>
        <w:pStyle w:val="TextBody"/>
        <w:bidi w:val="0"/>
        <w:spacing w:before="0" w:after="0"/>
        <w:jc w:val="both"/>
        <w:rPr/>
      </w:pPr>
      <w:r>
        <w:rPr/>
      </w:r>
    </w:p>
    <w:p>
      <w:pPr>
        <w:pStyle w:val="TextBody"/>
        <w:bidi w:val="0"/>
        <w:spacing w:lineRule="atLeast" w:line="427" w:before="0" w:after="0"/>
        <w:jc w:val="both"/>
        <w:rPr>
          <w:rFonts w:ascii="Times New Roman;serif" w:hAnsi="Times New Roman;serif"/>
          <w:b w:val="false"/>
          <w:color w:val="000000"/>
          <w:sz w:val="22"/>
        </w:rPr>
      </w:pPr>
      <w:r>
        <w:rPr>
          <w:rFonts w:ascii="Times New Roman;serif" w:hAnsi="Times New Roman;serif"/>
          <w:b w:val="false"/>
          <w:color w:val="000000"/>
          <w:sz w:val="22"/>
        </w:rPr>
        <w:t>SI-BONE®, iFuse Bedrock Granite®, iFuse TORQ® and iFuse TORQ TNT® are registered trademarks of SI-BONE, Inc. All other marks referenced herein are property of their respective owners. ©2026 SI-BONE, Inc. All Rights Reserved.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The statements in this press release regarding expectations of future events or results, including SI-BONE’s expectations of continued revenue and procedure growth and financial outlook,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or deterioration in economic conditions as a result of tariffs and retaliation by U.S. trading partners on the ability and desire of patients to undergo elective procedures including those using SI-BONE’s products,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products. Actual results and the timing of events could differ materially from those anticipated in such forward-looking statements as a result of these and other risks and uncertainties, many of which are described in SI-BONE’s most recent filings on Form 10-K and Form 10-Q, and SI-BONE’s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540"/>
        <w:jc w:val="both"/>
        <w:rPr>
          <w:rFonts w:ascii="Times New Roman;serif" w:hAnsi="Times New Roman;serif"/>
          <w:b w:val="false"/>
          <w:color w:val="000000"/>
          <w:sz w:val="22"/>
        </w:rPr>
      </w:pPr>
      <w:r>
        <w:rPr>
          <w:rFonts w:ascii="Times New Roman;serif" w:hAnsi="Times New Roman;serif"/>
          <w:b w:val="false"/>
          <w:color w:val="000000"/>
          <w:sz w:val="22"/>
        </w:rPr>
        <w:t xml:space="preserve">To supplement our condensed consolidated financial statements, which are prepared and presented in accordance with generally accepted accounting principles in the United States ("GAAP"), SI-BONE uses two non-GAAP financial measures: Adjusted EBITDA and free cash flow. Non-GAAP measures should be considered supplemental to, and not a substitute for, financial information prepared in accordance with GAAP. Adjusted EBITDA excludes the effect of items that increase or decrease SI-BONE’s reported results of operations. Free cash flow is not intended to represent our residual cash flow available for discretionary expenditures.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strongly encourages investors to review, when they become available, the company's consolidated financial statements and publicly filed reports in their entirety. The company's definition of adjusted EBITDA and free cash flow may differ from similarly titled measures used by others.</w:t>
      </w:r>
    </w:p>
    <w:p>
      <w:pPr>
        <w:pStyle w:val="TextBody"/>
        <w:bidi w:val="0"/>
        <w:spacing w:before="0" w:after="0"/>
        <w:jc w:val="both"/>
        <w:rPr/>
      </w:pPr>
      <w:r>
        <w:rPr/>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Adjusted EBITDA excludes from net loss the effects of interest income, interest expense, depreciation and amortization, and stock-based compensation. Free cash flow is defined as net cash provided by operating activities less purchases of property and equipment. SI-BONE believes the presentation of these financial measures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non-GAAP financial measures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spacing w:before="0" w:after="0"/>
        <w:jc w:val="left"/>
        <w:rPr/>
      </w:pPr>
      <w:r>
        <w:rPr/>
      </w:r>
    </w:p>
    <w:p>
      <w:pPr>
        <w:pStyle w:val="TextBody"/>
        <w:bidi w:val="0"/>
        <w:spacing w:lineRule="auto" w:line="448"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Saqib Iqbal</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VP, FP&amp;A, and Investor Relations</w:t>
      </w:r>
    </w:p>
    <w:p>
      <w:pPr>
        <w:pStyle w:val="TextBody"/>
        <w:bidi w:val="0"/>
        <w:spacing w:lineRule="auto" w:line="540" w:before="0" w:after="0"/>
        <w:jc w:val="both"/>
        <w:rPr>
          <w:rFonts w:ascii="Times New Roman;serif" w:hAnsi="Times New Roman;serif"/>
          <w:b w:val="false"/>
          <w:color w:val="000000"/>
          <w:sz w:val="22"/>
        </w:rPr>
      </w:pPr>
      <w:r>
        <w:rPr>
          <w:rFonts w:ascii="Times New Roman;serif" w:hAnsi="Times New Roman;serif"/>
          <w:b w:val="false"/>
          <w:color w:val="000000"/>
          <w:sz w:val="22"/>
        </w:rPr>
        <w:t>investors@SI-BONE.com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5"/>
        <w:gridCol w:w="1194"/>
        <w:gridCol w:w="1123"/>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40"/>
        <w:gridCol w:w="841"/>
        <w:gridCol w:w="109"/>
        <w:gridCol w:w="109"/>
        <w:gridCol w:w="109"/>
        <w:gridCol w:w="109"/>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44,477,113 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42,788,123 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44,222,928 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42,564,158 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7780" w:type="dxa"/>
        <w:jc w:val="left"/>
        <w:tblInd w:w="0" w:type="dxa"/>
        <w:tblLayout w:type="fixed"/>
        <w:tblCellMar>
          <w:top w:w="28" w:type="dxa"/>
          <w:left w:w="28" w:type="dxa"/>
          <w:bottom w:w="28" w:type="dxa"/>
          <w:right w:w="28" w:type="dxa"/>
        </w:tblCellMar>
      </w:tblPr>
      <w:tblGrid>
        <w:gridCol w:w="1705"/>
        <w:gridCol w:w="1499"/>
        <w:gridCol w:w="1506"/>
        <w:gridCol w:w="212"/>
        <w:gridCol w:w="833"/>
        <w:gridCol w:w="109"/>
        <w:gridCol w:w="109"/>
        <w:gridCol w:w="109"/>
        <w:gridCol w:w="109"/>
        <w:gridCol w:w="281"/>
        <w:gridCol w:w="1103"/>
        <w:gridCol w:w="205"/>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NON-GAAP ADJUSTED EBITDA</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188" w:type="dxa"/>
        <w:jc w:val="left"/>
        <w:tblInd w:w="0" w:type="dxa"/>
        <w:tblLayout w:type="fixed"/>
        <w:tblCellMar>
          <w:top w:w="28" w:type="dxa"/>
          <w:left w:w="28" w:type="dxa"/>
          <w:bottom w:w="28" w:type="dxa"/>
          <w:right w:w="28" w:type="dxa"/>
        </w:tblCellMar>
      </w:tblPr>
      <w:tblGrid>
        <w:gridCol w:w="941"/>
        <w:gridCol w:w="821"/>
        <w:gridCol w:w="832"/>
        <w:gridCol w:w="109"/>
        <w:gridCol w:w="109"/>
        <w:gridCol w:w="109"/>
        <w:gridCol w:w="219"/>
        <w:gridCol w:w="719"/>
        <w:gridCol w:w="113"/>
        <w:gridCol w:w="113"/>
        <w:gridCol w:w="113"/>
        <w:gridCol w:w="113"/>
        <w:gridCol w:w="219"/>
        <w:gridCol w:w="719"/>
        <w:gridCol w:w="113"/>
        <w:gridCol w:w="109"/>
        <w:gridCol w:w="109"/>
        <w:gridCol w:w="109"/>
        <w:gridCol w:w="211"/>
        <w:gridCol w:w="691"/>
        <w:gridCol w:w="109"/>
        <w:gridCol w:w="109"/>
        <w:gridCol w:w="109"/>
        <w:gridCol w:w="109"/>
        <w:gridCol w:w="211"/>
        <w:gridCol w:w="79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RECONCILIATION OF FREE CASH FLOW</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44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282" w:type="dxa"/>
        <w:jc w:val="left"/>
        <w:tblInd w:w="0" w:type="dxa"/>
        <w:tblLayout w:type="fixed"/>
        <w:tblCellMar>
          <w:top w:w="28" w:type="dxa"/>
          <w:left w:w="28" w:type="dxa"/>
          <w:bottom w:w="28" w:type="dxa"/>
          <w:right w:w="28" w:type="dxa"/>
        </w:tblCellMar>
      </w:tblPr>
      <w:tblGrid>
        <w:gridCol w:w="1129"/>
        <w:gridCol w:w="994"/>
        <w:gridCol w:w="997"/>
        <w:gridCol w:w="109"/>
        <w:gridCol w:w="109"/>
        <w:gridCol w:w="109"/>
        <w:gridCol w:w="109"/>
        <w:gridCol w:w="109"/>
        <w:gridCol w:w="198"/>
        <w:gridCol w:w="198"/>
        <w:gridCol w:w="383"/>
        <w:gridCol w:w="1257"/>
        <w:gridCol w:w="198"/>
        <w:gridCol w:w="109"/>
        <w:gridCol w:w="109"/>
        <w:gridCol w:w="109"/>
        <w:gridCol w:w="211"/>
        <w:gridCol w:w="69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4"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383" w:type="dxa"/>
            <w:gridSpan w:val="6"/>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2472</Words>
  <Characters>14537</Characters>
  <CharactersWithSpaces>16757</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