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08/17/2020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3,134</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20.8293</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231,022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0000FF"/>
              </w:rPr>
              <w:t>195,940</w:t>
            </w:r>
          </w:p>
        </w:tc>
        <w:tc>
          <w:tcPr>
            <w:tcW w:w="920" w:type="dxa"/>
            <w:vAlign w:val="bottom"/>
          </w:tcPr>
          <w:p>
            <w:pPr>
              <w:ind w:left="300"/>
              <w:spacing w:after="0" w:line="320"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(3)</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185,903 shares issuable on the settlement of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08/19/2020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2020-08-19T15:46:13Z</dcterms:created>
  <dcterms:modified xsi:type="dcterms:W3CDTF">2020-08-19T15:46:13Z</dcterms:modified>
</cp:coreProperties>
</file>