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997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997700"/>
                    </a:xfrm>
                    <a:prstGeom prst="rect">
                      <a:avLst/>
                    </a:prstGeom>
                    <a:noFill/>
                  </pic:spPr>
                </pic:pic>
              </a:graphicData>
            </a:graphic>
          </wp:anchor>
        </w:drawing>
      </w:r>
    </w:p>
    <w:p>
      <w:pPr>
        <w:spacing w:after="0" w:line="1285" w:lineRule="exact"/>
        <w:rPr>
          <w:sz w:val="24"/>
          <w:szCs w:val="24"/>
          <w:color w:val="auto"/>
        </w:rPr>
      </w:pPr>
    </w:p>
    <w:p>
      <w:pPr>
        <w:sectPr>
          <w:pgSz w:w="11900" w:h="16870"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FRANCIS LAURA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70"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47"/>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80"/>
              <w:spacing w:after="0"/>
              <w:rPr>
                <w:sz w:val="20"/>
                <w:szCs w:val="20"/>
                <w:color w:val="auto"/>
              </w:rPr>
            </w:pPr>
            <w:r>
              <w:rPr>
                <w:rFonts w:ascii="Times New Roman" w:cs="Times New Roman" w:eastAsia="Times New Roman" w:hAnsi="Times New Roman"/>
                <w:sz w:val="17"/>
                <w:szCs w:val="17"/>
                <w:color w:val="0000FF"/>
              </w:rPr>
              <w:t>05/16/2025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250</w:t>
            </w:r>
          </w:p>
        </w:tc>
        <w:tc>
          <w:tcPr>
            <w:tcW w:w="440" w:type="dxa"/>
            <w:vAlign w:val="bottom"/>
            <w:tcBorders>
              <w:bottom w:val="single" w:sz="8" w:color="2C2C2C"/>
            </w:tcBorders>
          </w:tcPr>
          <w:p>
            <w:pPr>
              <w:jc w:val="center"/>
              <w:ind w:right="7"/>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20.008</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506,511</w:t>
            </w:r>
          </w:p>
        </w:tc>
        <w:tc>
          <w:tcPr>
            <w:tcW w:w="92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80"/>
              <w:spacing w:after="0"/>
              <w:rPr>
                <w:sz w:val="20"/>
                <w:szCs w:val="20"/>
                <w:color w:val="auto"/>
              </w:rPr>
            </w:pPr>
            <w:r>
              <w:rPr>
                <w:rFonts w:ascii="Times New Roman" w:cs="Times New Roman" w:eastAsia="Times New Roman" w:hAnsi="Times New Roman"/>
                <w:sz w:val="17"/>
                <w:szCs w:val="17"/>
                <w:color w:val="0000FF"/>
              </w:rPr>
              <w:t>05/16/2025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2,028</w:t>
            </w:r>
          </w:p>
        </w:tc>
        <w:tc>
          <w:tcPr>
            <w:tcW w:w="440" w:type="dxa"/>
            <w:vAlign w:val="bottom"/>
            <w:tcBorders>
              <w:bottom w:val="single" w:sz="8" w:color="2C2C2C"/>
            </w:tcBorders>
          </w:tcPr>
          <w:p>
            <w:pPr>
              <w:jc w:val="center"/>
              <w:ind w:right="7"/>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19.6877</w:t>
            </w:r>
            <w:r>
              <w:rPr>
                <w:rFonts w:ascii="Times New Roman" w:cs="Times New Roman" w:eastAsia="Times New Roman" w:hAnsi="Times New Roman"/>
                <w:sz w:val="22"/>
                <w:szCs w:val="22"/>
                <w:color w:val="008000"/>
                <w:w w:val="97"/>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504,483</w:t>
            </w:r>
          </w:p>
        </w:tc>
        <w:tc>
          <w:tcPr>
            <w:tcW w:w="92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80"/>
              <w:spacing w:after="0"/>
              <w:rPr>
                <w:sz w:val="20"/>
                <w:szCs w:val="20"/>
                <w:color w:val="auto"/>
              </w:rPr>
            </w:pPr>
            <w:r>
              <w:rPr>
                <w:rFonts w:ascii="Times New Roman" w:cs="Times New Roman" w:eastAsia="Times New Roman" w:hAnsi="Times New Roman"/>
                <w:sz w:val="17"/>
                <w:szCs w:val="17"/>
                <w:color w:val="0000FF"/>
              </w:rPr>
              <w:t>05/16/2025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3,785</w:t>
            </w:r>
          </w:p>
        </w:tc>
        <w:tc>
          <w:tcPr>
            <w:tcW w:w="440" w:type="dxa"/>
            <w:vAlign w:val="bottom"/>
            <w:tcBorders>
              <w:bottom w:val="single" w:sz="8" w:color="2C2C2C"/>
            </w:tcBorders>
          </w:tcPr>
          <w:p>
            <w:pPr>
              <w:jc w:val="center"/>
              <w:ind w:right="7"/>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19.662</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500,698</w:t>
            </w:r>
          </w:p>
        </w:tc>
        <w:tc>
          <w:tcPr>
            <w:tcW w:w="92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80"/>
              <w:spacing w:after="0"/>
              <w:rPr>
                <w:sz w:val="20"/>
                <w:szCs w:val="20"/>
                <w:color w:val="auto"/>
              </w:rPr>
            </w:pPr>
            <w:r>
              <w:rPr>
                <w:rFonts w:ascii="Times New Roman" w:cs="Times New Roman" w:eastAsia="Times New Roman" w:hAnsi="Times New Roman"/>
                <w:sz w:val="17"/>
                <w:szCs w:val="17"/>
                <w:color w:val="0000FF"/>
              </w:rPr>
              <w:t>05/16/2025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3,097</w:t>
            </w:r>
          </w:p>
        </w:tc>
        <w:tc>
          <w:tcPr>
            <w:tcW w:w="440" w:type="dxa"/>
            <w:vAlign w:val="bottom"/>
            <w:tcBorders>
              <w:bottom w:val="single" w:sz="8" w:color="2C2C2C"/>
            </w:tcBorders>
          </w:tcPr>
          <w:p>
            <w:pPr>
              <w:jc w:val="center"/>
              <w:ind w:right="7"/>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19.6781</w:t>
            </w:r>
            <w:r>
              <w:rPr>
                <w:rFonts w:ascii="Times New Roman" w:cs="Times New Roman" w:eastAsia="Times New Roman" w:hAnsi="Times New Roman"/>
                <w:sz w:val="22"/>
                <w:szCs w:val="22"/>
                <w:color w:val="008000"/>
                <w:w w:val="97"/>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497,601</w:t>
            </w:r>
          </w:p>
        </w:tc>
        <w:tc>
          <w:tcPr>
            <w:tcW w:w="92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80"/>
              <w:spacing w:after="0"/>
              <w:rPr>
                <w:sz w:val="20"/>
                <w:szCs w:val="20"/>
                <w:color w:val="auto"/>
              </w:rPr>
            </w:pPr>
            <w:r>
              <w:rPr>
                <w:rFonts w:ascii="Times New Roman" w:cs="Times New Roman" w:eastAsia="Times New Roman" w:hAnsi="Times New Roman"/>
                <w:sz w:val="17"/>
                <w:szCs w:val="17"/>
                <w:color w:val="0000FF"/>
              </w:rPr>
              <w:t>05/16/2025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40" w:type="dxa"/>
            <w:vAlign w:val="bottom"/>
            <w:tcBorders>
              <w:bottom w:val="single" w:sz="8" w:color="2C2C2C"/>
            </w:tcBorders>
          </w:tcPr>
          <w:p>
            <w:pPr>
              <w:jc w:val="center"/>
              <w:ind w:right="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gridSpan w:val="2"/>
          </w:tcPr>
          <w:p>
            <w:pPr>
              <w:jc w:val="center"/>
              <w:ind w:left="10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20.01</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497,501</w:t>
            </w:r>
          </w:p>
        </w:tc>
        <w:tc>
          <w:tcPr>
            <w:tcW w:w="92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80"/>
              <w:spacing w:after="0"/>
              <w:rPr>
                <w:sz w:val="20"/>
                <w:szCs w:val="20"/>
                <w:color w:val="auto"/>
              </w:rPr>
            </w:pPr>
            <w:r>
              <w:rPr>
                <w:rFonts w:ascii="Times New Roman" w:cs="Times New Roman" w:eastAsia="Times New Roman" w:hAnsi="Times New Roman"/>
                <w:sz w:val="17"/>
                <w:szCs w:val="17"/>
                <w:color w:val="0000FF"/>
              </w:rPr>
              <w:t>05/16/2025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40" w:type="dxa"/>
            <w:vAlign w:val="bottom"/>
            <w:tcBorders>
              <w:bottom w:val="single" w:sz="8" w:color="2C2C2C"/>
            </w:tcBorders>
          </w:tcPr>
          <w:p>
            <w:pPr>
              <w:jc w:val="center"/>
              <w:ind w:right="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gridSpan w:val="2"/>
          </w:tcPr>
          <w:p>
            <w:pPr>
              <w:jc w:val="center"/>
              <w:ind w:left="10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20.01</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497,401</w:t>
            </w:r>
          </w:p>
        </w:tc>
        <w:tc>
          <w:tcPr>
            <w:tcW w:w="92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80"/>
              <w:spacing w:after="0"/>
              <w:rPr>
                <w:sz w:val="20"/>
                <w:szCs w:val="20"/>
                <w:color w:val="auto"/>
              </w:rPr>
            </w:pPr>
            <w:r>
              <w:rPr>
                <w:rFonts w:ascii="Times New Roman" w:cs="Times New Roman" w:eastAsia="Times New Roman" w:hAnsi="Times New Roman"/>
                <w:sz w:val="17"/>
                <w:szCs w:val="17"/>
                <w:color w:val="0000FF"/>
              </w:rPr>
              <w:t>05/16/2025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2,231</w:t>
            </w:r>
          </w:p>
        </w:tc>
        <w:tc>
          <w:tcPr>
            <w:tcW w:w="440" w:type="dxa"/>
            <w:vAlign w:val="bottom"/>
            <w:tcBorders>
              <w:bottom w:val="single" w:sz="8" w:color="2C2C2C"/>
            </w:tcBorders>
          </w:tcPr>
          <w:p>
            <w:pPr>
              <w:jc w:val="center"/>
              <w:ind w:right="7"/>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19.6812</w:t>
            </w:r>
            <w:r>
              <w:rPr>
                <w:rFonts w:ascii="Times New Roman" w:cs="Times New Roman" w:eastAsia="Times New Roman" w:hAnsi="Times New Roman"/>
                <w:sz w:val="22"/>
                <w:szCs w:val="22"/>
                <w:color w:val="008000"/>
                <w:w w:val="97"/>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495,170</w:t>
            </w:r>
          </w:p>
        </w:tc>
        <w:tc>
          <w:tcPr>
            <w:tcW w:w="92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80"/>
              <w:spacing w:after="0"/>
              <w:rPr>
                <w:sz w:val="20"/>
                <w:szCs w:val="20"/>
                <w:color w:val="auto"/>
              </w:rPr>
            </w:pPr>
            <w:r>
              <w:rPr>
                <w:rFonts w:ascii="Times New Roman" w:cs="Times New Roman" w:eastAsia="Times New Roman" w:hAnsi="Times New Roman"/>
                <w:sz w:val="17"/>
                <w:szCs w:val="17"/>
                <w:color w:val="0000FF"/>
              </w:rPr>
              <w:t>05/16/2025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794</w:t>
            </w:r>
          </w:p>
        </w:tc>
        <w:tc>
          <w:tcPr>
            <w:tcW w:w="440" w:type="dxa"/>
            <w:vAlign w:val="bottom"/>
            <w:tcBorders>
              <w:bottom w:val="single" w:sz="8" w:color="2C2C2C"/>
            </w:tcBorders>
          </w:tcPr>
          <w:p>
            <w:pPr>
              <w:jc w:val="center"/>
              <w:ind w:right="7"/>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19.4801</w:t>
            </w:r>
            <w:r>
              <w:rPr>
                <w:rFonts w:ascii="Times New Roman" w:cs="Times New Roman" w:eastAsia="Times New Roman" w:hAnsi="Times New Roman"/>
                <w:sz w:val="22"/>
                <w:szCs w:val="22"/>
                <w:color w:val="008000"/>
                <w:w w:val="97"/>
                <w:vertAlign w:val="superscript"/>
              </w:rPr>
              <w:t>(6)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496,399</w:t>
            </w:r>
          </w:p>
        </w:tc>
        <w:tc>
          <w:tcPr>
            <w:tcW w:w="92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80"/>
              <w:spacing w:after="0"/>
              <w:rPr>
                <w:sz w:val="20"/>
                <w:szCs w:val="20"/>
                <w:color w:val="auto"/>
              </w:rPr>
            </w:pPr>
            <w:r>
              <w:rPr>
                <w:rFonts w:ascii="Times New Roman" w:cs="Times New Roman" w:eastAsia="Times New Roman" w:hAnsi="Times New Roman"/>
                <w:sz w:val="17"/>
                <w:szCs w:val="17"/>
                <w:color w:val="0000FF"/>
              </w:rPr>
              <w:t>05/19/2025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(7)</w:t>
            </w:r>
          </w:p>
        </w:tc>
        <w:tc>
          <w:tcPr>
            <w:tcW w:w="84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5,412</w:t>
            </w:r>
          </w:p>
        </w:tc>
        <w:tc>
          <w:tcPr>
            <w:tcW w:w="440" w:type="dxa"/>
            <w:vAlign w:val="bottom"/>
            <w:tcBorders>
              <w:bottom w:val="single" w:sz="8" w:color="2C2C2C"/>
            </w:tcBorders>
          </w:tcPr>
          <w:p>
            <w:pPr>
              <w:jc w:val="center"/>
              <w:ind w:right="7"/>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19.487</w:t>
            </w:r>
            <w:r>
              <w:rPr>
                <w:rFonts w:ascii="Times New Roman" w:cs="Times New Roman" w:eastAsia="Times New Roman" w:hAnsi="Times New Roman"/>
                <w:sz w:val="22"/>
                <w:szCs w:val="22"/>
                <w:color w:val="008000"/>
                <w:w w:val="95"/>
                <w:vertAlign w:val="superscript"/>
              </w:rPr>
              <w:t>(8)</w:t>
            </w:r>
          </w:p>
        </w:tc>
        <w:tc>
          <w:tcPr>
            <w:tcW w:w="1200" w:type="dxa"/>
            <w:vAlign w:val="bottom"/>
            <w:tcBorders>
              <w:bottom w:val="single" w:sz="8" w:color="2C2C2C"/>
            </w:tcBorders>
            <w:gridSpan w:val="2"/>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3"/>
                <w:vertAlign w:val="subscript"/>
              </w:rPr>
              <w:t>490,987</w:t>
            </w:r>
            <w:r>
              <w:rPr>
                <w:rFonts w:ascii="Times New Roman" w:cs="Times New Roman" w:eastAsia="Times New Roman" w:hAnsi="Times New Roman"/>
                <w:sz w:val="11"/>
                <w:szCs w:val="11"/>
                <w:color w:val="008000"/>
                <w:w w:val="83"/>
              </w:rPr>
              <w:t>(9)(10)</w:t>
            </w:r>
          </w:p>
        </w:tc>
        <w:tc>
          <w:tcPr>
            <w:tcW w:w="92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302,958</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$20.00 USD to $20.01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$19.01 USD to $20.005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$19.00 USD to $19.96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$19.01 USD to $20.00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ectPr>
          <w:pgSz w:w="11900" w:h="16870" w:orient="portrait"/>
          <w:cols w:equalWidth="0" w:num="1">
            <w:col w:w="11080"/>
          </w:cols>
          <w:pgMar w:left="460" w:top="219" w:right="359" w:bottom="0" w:gutter="0" w:footer="0" w:header="0"/>
          <w:type w:val="continuous"/>
        </w:sectPr>
      </w:pPr>
    </w:p>
    <w:bookmarkStart w:id="1" w:name="page2"/>
    <w:bookmarkEnd w:id="1"/>
    <w:p>
      <w:pPr>
        <w:jc w:val="both"/>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$18.98 USD to $19.955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w:t>
      </w:r>
    </w:p>
    <w:p>
      <w:pPr>
        <w:spacing w:after="0" w:line="5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$19.26 USD to $19.64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2,023 shares acquired under the SI-BONE, Inc. 2018 Employee Stock Purchase Plan on May 15, 2025.</w:t>
      </w:r>
    </w:p>
    <w:p>
      <w:pPr>
        <w:spacing w:after="0" w:line="50" w:lineRule="exact"/>
        <w:rPr>
          <w:rFonts w:ascii="Times New Roman" w:cs="Times New Roman" w:eastAsia="Times New Roman" w:hAnsi="Times New Roman"/>
          <w:sz w:val="13"/>
          <w:szCs w:val="13"/>
          <w:color w:val="008000"/>
        </w:rPr>
      </w:pPr>
    </w:p>
    <w:p>
      <w:pPr>
        <w:ind w:right="14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418,615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David &amp; Laura Joint Rev Tr.</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Attorney-in-Fact for Laura A.</w:t>
        <w:tab/>
        <w:t>05/20/2025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23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2025-05-20T18:50:47Z</dcterms:created>
  <dcterms:modified xsi:type="dcterms:W3CDTF">2025-05-20T18:50:47Z</dcterms:modified>
</cp:coreProperties>
</file>