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filed with the U.S. Securities and Exchange Commission on February 24,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Registration No. 333-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24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FORM 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REGISTRATION STATEMENT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SECURITIES ACT OF 1933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SI-BONE, Inc.</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302" w:type="dxa"/>
        <w:jc w:val="center"/>
        <w:tblInd w:w="0" w:type="dxa"/>
        <w:tblLayout w:type="fixed"/>
        <w:tblCellMar>
          <w:top w:w="28" w:type="dxa"/>
          <w:left w:w="28" w:type="dxa"/>
          <w:bottom w:w="28" w:type="dxa"/>
          <w:right w:w="28" w:type="dxa"/>
        </w:tblCellMar>
      </w:tblPr>
      <w:tblGrid>
        <w:gridCol w:w="1553"/>
        <w:gridCol w:w="1370"/>
        <w:gridCol w:w="138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471 El Camino Real,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California 95050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(408) 207-0700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 2018 Equity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 2018 Employee Stock Purchase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titles of the plans)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Anshul Maheshwari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Operating Officer &amp;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471 El Camino Real,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California 95050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(408) 207-0700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address of agent for service)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Copies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Matthew B. Hemington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Kate Nichols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Allison Pang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Cooley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3175 Hanover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California 94304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843-5000</w:t>
      </w:r>
    </w:p>
    <w:p>
      <w:pPr>
        <w:pStyle w:val="TextBody"/>
        <w:bidi w:val="0"/>
        <w:spacing w:before="0" w:after="0"/>
        <w:jc w:val="center"/>
        <w:rPr/>
      </w:pPr>
      <w:r>
        <w:rPr/>
      </w:r>
    </w:p>
    <w:p>
      <w:pPr>
        <w:pStyle w:val="TextBody"/>
        <w:bidi w:val="0"/>
        <w:spacing w:lineRule="auto" w:line="288" w:before="0" w:after="128"/>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4478" w:type="dxa"/>
        <w:jc w:val="center"/>
        <w:tblInd w:w="0" w:type="dxa"/>
        <w:tblLayout w:type="fixed"/>
        <w:tblCellMar>
          <w:top w:w="28" w:type="dxa"/>
          <w:left w:w="28" w:type="dxa"/>
          <w:bottom w:w="28" w:type="dxa"/>
          <w:right w:w="28" w:type="dxa"/>
        </w:tblCellMar>
      </w:tblPr>
      <w:tblGrid>
        <w:gridCol w:w="619"/>
        <w:gridCol w:w="544"/>
        <w:gridCol w:w="546"/>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68" w:before="0" w:after="0"/>
        <w:ind w:left="0" w:right="0" w:firstLine="450"/>
        <w:jc w:val="both"/>
        <w:rPr/>
      </w:pPr>
      <w:r>
        <w:rPr>
          <w:rFonts w:ascii="Times New Roman;serif" w:hAnsi="Times New Roman;serif"/>
          <w:b w:val="false"/>
          <w:color w:val="000000"/>
          <w:sz w:val="20"/>
        </w:rPr>
        <w:t>Pursuant to General Instruction E of Form S-8, SI-BONE, Inc.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is filing this Registration Statement for the purpose of registering (a) an additional 2,182,356 shares of its common stock, issuable to eligible persons under its 2018 Equity Incentive Plan (the “2018 Plan”), which common stock is in addition to the shares of common stock previously registered on the Registrant’s Form S-8 registration statements filed on October 19, 2018 (File No. 333-227907), March 22, 2019 (File No. 333-230473), March 11, 2020 (File No. 333-237091), March 10, 2021 (File No. 333-254086), March 1, 2022 (File No. 333-263189), March 2, 2023 (File No. 333-270230), February 27, 2024 (File No. 333-277402), and February 25, 2025 (File No. 333-285206) (the “</w:t>
      </w:r>
      <w:r>
        <w:rPr>
          <w:rFonts w:ascii="Times New Roman;serif" w:hAnsi="Times New Roman;serif"/>
          <w:b/>
          <w:i/>
          <w:color w:val="000000"/>
          <w:sz w:val="20"/>
        </w:rPr>
        <w:t>Prior Forms S-8</w:t>
      </w:r>
      <w:r>
        <w:rPr>
          <w:color w:val="000000"/>
        </w:rPr>
        <w:t>”</w:t>
      </w:r>
      <w:r>
        <w:rPr>
          <w:rFonts w:ascii="Times New Roman;serif" w:hAnsi="Times New Roman;serif"/>
          <w:b w:val="false"/>
          <w:color w:val="000000"/>
          <w:sz w:val="20"/>
        </w:rPr>
        <w:t xml:space="preserve">) and (b) an additional 436,471 shares of its common stock, issuable to eligible persons under its 2018 Employee Stock Purchase Plan (the “2018 ESPP”), which common stock is in addition to the shares of common stock previously registered on the Prior Forms S-8. The contents of the Prior Forms S-8 are incorporated by reference in this Registration Statement. </w:t>
      </w:r>
    </w:p>
    <w:p>
      <w:pPr>
        <w:pStyle w:val="TextBody"/>
        <w:bidi w:val="0"/>
        <w:spacing w:before="240" w:after="283"/>
        <w:ind w:left="0" w:right="0" w:firstLine="495"/>
        <w:jc w:val="both"/>
        <w:rPr/>
      </w:pPr>
      <w:r>
        <w:rPr/>
      </w:r>
    </w:p>
    <w:p>
      <w:pPr>
        <w:pStyle w:val="TextBody"/>
        <w:bidi w:val="0"/>
        <w:spacing w:lineRule="auto" w:line="324" w:before="0" w:after="20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324" w:before="0" w:after="200"/>
        <w:jc w:val="both"/>
        <w:rPr/>
      </w:pPr>
      <w:r>
        <w:rPr>
          <w:rFonts w:ascii="Times New Roman;serif" w:hAnsi="Times New Roman;serif"/>
          <w:b/>
          <w:color w:val="000000"/>
          <w:sz w:val="20"/>
        </w:rPr>
        <w:t>ITEM 3.</w:t>
      </w:r>
      <w:r>
        <w:rPr>
          <w:color w:val="000000"/>
        </w:rPr>
        <w:t>    </w:t>
      </w:r>
      <w:r>
        <w:rPr>
          <w:rFonts w:ascii="Times New Roman;serif" w:hAnsi="Times New Roman;serif"/>
          <w:b/>
          <w:color w:val="000000"/>
          <w:sz w:val="20"/>
        </w:rPr>
        <w:t>INCORPORATION OF CERTAIN DOCUMENTS BY REFERENCE</w:t>
      </w:r>
    </w:p>
    <w:p>
      <w:pPr>
        <w:pStyle w:val="TextBody"/>
        <w:bidi w:val="0"/>
        <w:spacing w:lineRule="auto" w:line="324" w:before="0" w:after="195"/>
        <w:ind w:left="0" w:right="0" w:firstLine="720"/>
        <w:jc w:val="both"/>
        <w:rPr/>
      </w:pPr>
      <w:r>
        <w:rPr>
          <w:rFonts w:ascii="Times New Roman;serif" w:hAnsi="Times New Roman;serif"/>
          <w:b w:val="false"/>
          <w:color w:val="000000"/>
          <w:sz w:val="20"/>
        </w:rPr>
        <w:t>The following documents filed by the Registrant with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are incorporated by reference into this Registration Statement:</w:t>
      </w:r>
    </w:p>
    <w:p>
      <w:pPr>
        <w:pStyle w:val="TextBody"/>
        <w:bidi w:val="0"/>
        <w:spacing w:lineRule="auto" w:line="324" w:before="0" w:after="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 xml:space="preserve">The contents of the earlier registration statements on Form S-8 relating to the 2018 Plan and 2018 ESPP, filed with the SEC on </w:t>
      </w:r>
      <w:hyperlink r:id="rId2">
        <w:r>
          <w:rPr>
            <w:rStyle w:val="InternetLink"/>
            <w:rFonts w:ascii="Times New Roman;serif" w:hAnsi="Times New Roman;serif"/>
            <w:b w:val="false"/>
            <w:color w:val="0000FF"/>
            <w:sz w:val="20"/>
            <w:u w:val="single"/>
          </w:rPr>
          <w:t>October 19, 2018</w:t>
        </w:r>
      </w:hyperlink>
      <w:r>
        <w:rPr>
          <w:color w:val="000000"/>
        </w:rPr>
        <w:t xml:space="preserve"> </w:t>
      </w:r>
      <w:r>
        <w:rPr>
          <w:rFonts w:ascii="Times New Roman;serif" w:hAnsi="Times New Roman;serif"/>
          <w:b w:val="false"/>
          <w:color w:val="000000"/>
          <w:sz w:val="20"/>
        </w:rPr>
        <w:t xml:space="preserve">(File No. 333-227907), </w:t>
      </w:r>
      <w:hyperlink r:id="rId3">
        <w:r>
          <w:rPr>
            <w:rStyle w:val="InternetLink"/>
            <w:rFonts w:ascii="Times New Roman;serif" w:hAnsi="Times New Roman;serif"/>
            <w:b w:val="false"/>
            <w:color w:val="0000FF"/>
            <w:sz w:val="20"/>
            <w:u w:val="single"/>
          </w:rPr>
          <w:t>March 22, 2019</w:t>
        </w:r>
      </w:hyperlink>
      <w:r>
        <w:rPr>
          <w:color w:val="000000"/>
        </w:rPr>
        <w:t xml:space="preserve"> </w:t>
      </w:r>
      <w:r>
        <w:rPr>
          <w:rFonts w:ascii="Times New Roman;serif" w:hAnsi="Times New Roman;serif"/>
          <w:b w:val="false"/>
          <w:color w:val="000000"/>
          <w:sz w:val="20"/>
        </w:rPr>
        <w:t xml:space="preserve">(File No. 333-230473), </w:t>
      </w:r>
      <w:hyperlink r:id="rId4">
        <w:r>
          <w:rPr>
            <w:rStyle w:val="InternetLink"/>
            <w:rFonts w:ascii="Times New Roman;serif" w:hAnsi="Times New Roman;serif"/>
            <w:b w:val="false"/>
            <w:color w:val="0000FF"/>
            <w:sz w:val="20"/>
            <w:u w:val="single"/>
          </w:rPr>
          <w:t>March 11, 2020</w:t>
        </w:r>
      </w:hyperlink>
      <w:r>
        <w:rPr>
          <w:color w:val="000000"/>
        </w:rPr>
        <w:t xml:space="preserve"> </w:t>
      </w:r>
      <w:r>
        <w:rPr>
          <w:rFonts w:ascii="Times New Roman;serif" w:hAnsi="Times New Roman;serif"/>
          <w:b w:val="false"/>
          <w:color w:val="000000"/>
          <w:sz w:val="20"/>
        </w:rPr>
        <w:t xml:space="preserve">(File No. 333-237091), </w:t>
      </w:r>
      <w:hyperlink r:id="rId5">
        <w:r>
          <w:rPr>
            <w:rStyle w:val="InternetLink"/>
            <w:rFonts w:ascii="Times New Roman;serif" w:hAnsi="Times New Roman;serif"/>
            <w:b w:val="false"/>
            <w:color w:val="0000FF"/>
            <w:sz w:val="20"/>
            <w:u w:val="single"/>
          </w:rPr>
          <w:t>March 10, 2021</w:t>
        </w:r>
      </w:hyperlink>
      <w:r>
        <w:rPr>
          <w:color w:val="000000"/>
        </w:rPr>
        <w:t xml:space="preserve"> </w:t>
      </w:r>
      <w:r>
        <w:rPr>
          <w:rFonts w:ascii="Times New Roman;serif" w:hAnsi="Times New Roman;serif"/>
          <w:b w:val="false"/>
          <w:color w:val="000000"/>
          <w:sz w:val="20"/>
        </w:rPr>
        <w:t xml:space="preserve">(File No. 333-254086), </w:t>
      </w:r>
      <w:hyperlink r:id="rId6">
        <w:r>
          <w:rPr>
            <w:rStyle w:val="InternetLink"/>
            <w:rFonts w:ascii="Times New Roman;serif" w:hAnsi="Times New Roman;serif"/>
            <w:b w:val="false"/>
            <w:color w:val="0000FF"/>
            <w:sz w:val="20"/>
            <w:u w:val="single"/>
          </w:rPr>
          <w:t>March 1, 2022</w:t>
        </w:r>
      </w:hyperlink>
      <w:r>
        <w:rPr>
          <w:color w:val="000000"/>
        </w:rPr>
        <w:t xml:space="preserve"> </w:t>
      </w:r>
      <w:r>
        <w:rPr>
          <w:rFonts w:ascii="Times New Roman;serif" w:hAnsi="Times New Roman;serif"/>
          <w:b w:val="false"/>
          <w:color w:val="000000"/>
          <w:sz w:val="20"/>
        </w:rPr>
        <w:t xml:space="preserve">(File No. 333-263189), </w:t>
      </w:r>
      <w:hyperlink r:id="rId7">
        <w:r>
          <w:rPr>
            <w:rStyle w:val="InternetLink"/>
            <w:rFonts w:ascii="Times New Roman;serif" w:hAnsi="Times New Roman;serif"/>
            <w:b w:val="false"/>
            <w:color w:val="0000FF"/>
            <w:sz w:val="20"/>
            <w:u w:val="single"/>
          </w:rPr>
          <w:t>March 2, 2023</w:t>
        </w:r>
      </w:hyperlink>
      <w:r>
        <w:rPr>
          <w:color w:val="000000"/>
        </w:rPr>
        <w:t xml:space="preserve"> </w:t>
      </w:r>
      <w:r>
        <w:rPr>
          <w:rFonts w:ascii="Times New Roman;serif" w:hAnsi="Times New Roman;serif"/>
          <w:b w:val="false"/>
          <w:color w:val="000000"/>
          <w:sz w:val="20"/>
        </w:rPr>
        <w:t xml:space="preserve">(File No. 333-270230), </w:t>
      </w:r>
      <w:hyperlink r:id="rId8">
        <w:r>
          <w:rPr>
            <w:rStyle w:val="InternetLink"/>
            <w:rFonts w:ascii="Times New Roman;serif" w:hAnsi="Times New Roman;serif"/>
            <w:b w:val="false"/>
            <w:color w:val="0000FF"/>
            <w:sz w:val="20"/>
            <w:u w:val="single"/>
          </w:rPr>
          <w:t>February 27, 2024</w:t>
        </w:r>
      </w:hyperlink>
      <w:r>
        <w:rPr>
          <w:color w:val="000000"/>
        </w:rPr>
        <w:t xml:space="preserve"> </w:t>
      </w:r>
      <w:r>
        <w:rPr>
          <w:rFonts w:ascii="Times New Roman;serif" w:hAnsi="Times New Roman;serif"/>
          <w:b w:val="false"/>
          <w:color w:val="000000"/>
          <w:sz w:val="20"/>
        </w:rPr>
        <w:t xml:space="preserve">(File No. 333-277402), and </w:t>
      </w:r>
      <w:hyperlink r:id="rId9">
        <w:r>
          <w:rPr>
            <w:rStyle w:val="InternetLink"/>
            <w:rFonts w:ascii="Times New Roman;serif" w:hAnsi="Times New Roman;serif"/>
            <w:b w:val="false"/>
            <w:color w:val="0000FF"/>
            <w:sz w:val="20"/>
            <w:u w:val="single"/>
          </w:rPr>
          <w:t>February 25, 2025</w:t>
        </w:r>
      </w:hyperlink>
      <w:r>
        <w:rPr>
          <w:color w:val="000000"/>
        </w:rPr>
        <w:t xml:space="preserve"> </w:t>
      </w:r>
      <w:r>
        <w:rPr>
          <w:rFonts w:ascii="Times New Roman;serif" w:hAnsi="Times New Roman;serif"/>
          <w:b w:val="false"/>
          <w:color w:val="000000"/>
          <w:sz w:val="20"/>
        </w:rPr>
        <w:t>(File No. 333-285206).</w:t>
      </w:r>
    </w:p>
    <w:p>
      <w:pPr>
        <w:pStyle w:val="TextBody"/>
        <w:bidi w:val="0"/>
        <w:spacing w:lineRule="auto" w:line="324" w:before="0" w:after="0"/>
        <w:jc w:val="both"/>
        <w:rPr>
          <w:color w:val="000000"/>
          <w:shd w:fill="FFFFFF" w:val="clear"/>
        </w:rPr>
      </w:pPr>
      <w:r>
        <w:rPr>
          <w:color w:val="000000"/>
          <w:shd w:fill="FFFFFF" w:val="clear"/>
        </w:rPr>
        <w:t> </w:t>
      </w:r>
    </w:p>
    <w:p>
      <w:pPr>
        <w:pStyle w:val="TextBody"/>
        <w:bidi w:val="0"/>
        <w:spacing w:lineRule="auto" w:line="324" w:before="0" w:after="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Registrant’s Annual Report on Form 10-K for the year ended December 31, 2025, filed with the SEC on </w:t>
      </w:r>
      <w:hyperlink r:id="rId10">
        <w:r>
          <w:rPr>
            <w:rStyle w:val="InternetLink"/>
            <w:rFonts w:ascii="Times New Roman;serif" w:hAnsi="Times New Roman;serif"/>
            <w:b w:val="false"/>
            <w:color w:val="0000FF"/>
            <w:sz w:val="20"/>
            <w:u w:val="single"/>
          </w:rPr>
          <w:t>February 24, 2026</w:t>
        </w:r>
      </w:hyperlink>
      <w:r>
        <w:rPr>
          <w:rFonts w:ascii="Times New Roman;serif" w:hAnsi="Times New Roman;serif"/>
          <w:b w:val="false"/>
          <w:color w:val="000000"/>
          <w:sz w:val="20"/>
        </w:rPr>
        <w:t>.</w:t>
      </w:r>
    </w:p>
    <w:p>
      <w:pPr>
        <w:pStyle w:val="TextBody"/>
        <w:bidi w:val="0"/>
        <w:spacing w:lineRule="auto" w:line="324" w:before="0" w:after="0"/>
        <w:jc w:val="both"/>
        <w:rPr>
          <w:color w:val="000000"/>
        </w:rPr>
      </w:pPr>
      <w:r>
        <w:rPr>
          <w:color w:val="000000"/>
        </w:rPr>
        <w:t> </w:t>
      </w:r>
    </w:p>
    <w:p>
      <w:pPr>
        <w:pStyle w:val="TextBody"/>
        <w:bidi w:val="0"/>
        <w:spacing w:lineRule="auto" w:line="324" w:before="0" w:after="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 xml:space="preserve">The description of the Registrant’s Common Stock which is contained in a registration statement on </w:t>
      </w:r>
      <w:hyperlink r:id="rId11">
        <w:r>
          <w:rPr>
            <w:rStyle w:val="InternetLink"/>
            <w:rFonts w:ascii="Times New Roman;serif" w:hAnsi="Times New Roman;serif"/>
            <w:b w:val="false"/>
            <w:color w:val="0000FF"/>
            <w:sz w:val="20"/>
            <w:u w:val="single"/>
          </w:rPr>
          <w:t>Form 8-A filed on October 11, 2018</w:t>
        </w:r>
      </w:hyperlink>
      <w:r>
        <w:rPr>
          <w:color w:val="000000"/>
        </w:rPr>
        <w:t xml:space="preserve"> </w:t>
      </w:r>
      <w:r>
        <w:rPr>
          <w:rFonts w:ascii="Times New Roman;serif" w:hAnsi="Times New Roman;serif"/>
          <w:b w:val="false"/>
          <w:color w:val="000000"/>
          <w:sz w:val="20"/>
        </w:rPr>
        <w:t>(File No. 001-38701) under the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including any amendment or report filed for the purpose of updating such description, including the Description of SI-BONE, Inc. Common Stock filed as Exhibit 4.3 to the Registrant's Quarterly Report on Form 10-Q filed with the SEC on May 5, 2020.</w:t>
      </w:r>
    </w:p>
    <w:p>
      <w:pPr>
        <w:pStyle w:val="TextBody"/>
        <w:bidi w:val="0"/>
        <w:spacing w:lineRule="auto" w:line="324" w:before="0" w:after="0"/>
        <w:jc w:val="both"/>
        <w:rPr>
          <w:color w:val="000000"/>
        </w:rPr>
      </w:pPr>
      <w:r>
        <w:rPr>
          <w:color w:val="000000"/>
        </w:rPr>
        <w:t> </w:t>
      </w:r>
    </w:p>
    <w:p>
      <w:pPr>
        <w:pStyle w:val="TextBody"/>
        <w:bidi w:val="0"/>
        <w:spacing w:lineRule="auto" w:line="324" w:before="0" w:after="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val="false"/>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color w:val="000000"/>
          <w:sz w:val="20"/>
        </w:rPr>
        <w:t>ITEM 8.</w:t>
      </w:r>
      <w:r>
        <w:rPr>
          <w:color w:val="000000"/>
        </w:rPr>
        <w:t>    </w:t>
      </w:r>
      <w:r>
        <w:rPr>
          <w:rFonts w:ascii="Times New Roman;serif" w:hAnsi="Times New Roman;serif"/>
          <w:b/>
          <w:color w:val="000000"/>
          <w:sz w:val="20"/>
        </w:rPr>
        <w:t>EXHIBITS</w:t>
      </w:r>
    </w:p>
    <w:p>
      <w:pPr>
        <w:pStyle w:val="TextBody"/>
        <w:bidi w:val="0"/>
        <w:spacing w:lineRule="auto" w:line="417"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exhibits to this Registration Statement are listed below.</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1583"/>
        <w:gridCol w:w="818"/>
        <w:gridCol w:w="826"/>
        <w:gridCol w:w="109"/>
        <w:gridCol w:w="109"/>
        <w:gridCol w:w="109"/>
        <w:gridCol w:w="265"/>
        <w:gridCol w:w="265"/>
        <w:gridCol w:w="266"/>
        <w:gridCol w:w="109"/>
        <w:gridCol w:w="109"/>
        <w:gridCol w:w="109"/>
        <w:gridCol w:w="266"/>
        <w:gridCol w:w="266"/>
        <w:gridCol w:w="267"/>
        <w:gridCol w:w="109"/>
        <w:gridCol w:w="109"/>
        <w:gridCol w:w="109"/>
        <w:gridCol w:w="225"/>
        <w:gridCol w:w="225"/>
        <w:gridCol w:w="226"/>
        <w:gridCol w:w="109"/>
        <w:gridCol w:w="109"/>
        <w:gridCol w:w="109"/>
        <w:gridCol w:w="478"/>
        <w:gridCol w:w="297"/>
        <w:gridCol w:w="288"/>
        <w:gridCol w:w="109"/>
        <w:gridCol w:w="109"/>
        <w:gridCol w:w="109"/>
        <w:gridCol w:w="266"/>
        <w:gridCol w:w="266"/>
        <w:gridCol w:w="38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Schedule</w:t>
              <w:b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 xml:space="preserve">Amended and Restated Certificate of Incorporation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19,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Registrant’s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51-sx8cooleysopinion.htm">
              <w:r>
                <w:rPr>
                  <w:rStyle w:val="InternetLink"/>
                  <w:rFonts w:ascii="Times New Roman;serif" w:hAnsi="Times New Roman;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1-s8consent.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fe9e1d8d8f4440eb334ada31f8187d0_4">
              <w:r>
                <w:rPr>
                  <w:rStyle w:val="InternetLink"/>
                  <w:rFonts w:ascii="Times New Roman;serif" w:hAnsi="Times New Roman;serif"/>
                  <w:b w:val="false"/>
                  <w:color w:val="0000FF"/>
                  <w:sz w:val="20"/>
                  <w:u w:val="single"/>
                </w:rPr>
                <w:t>Power of Attorney (included on the signature page of this Form S-8).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Forms of Stock Option Grant Notice, Option Agreement and Notice of Exercise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Forms of Restricted Stock Unit Grant Notice and Restricted Stock Unit Award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October 5,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Financial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22"/>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24th day of February 2026.</w:t>
      </w:r>
    </w:p>
    <w:tbl>
      <w:tblPr>
        <w:tblW w:w="2719" w:type="dxa"/>
        <w:jc w:val="right"/>
        <w:tblInd w:w="0" w:type="dxa"/>
        <w:tblLayout w:type="fixed"/>
        <w:tblCellMar>
          <w:top w:w="28" w:type="dxa"/>
          <w:left w:w="28" w:type="dxa"/>
          <w:bottom w:w="28" w:type="dxa"/>
          <w:right w:w="28" w:type="dxa"/>
        </w:tblCellMar>
      </w:tblPr>
      <w:tblGrid>
        <w:gridCol w:w="236"/>
        <w:gridCol w:w="207"/>
        <w:gridCol w:w="207"/>
        <w:gridCol w:w="601"/>
        <w:gridCol w:w="601"/>
        <w:gridCol w:w="867"/>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20"/>
        <w:ind w:left="0" w:right="0" w:firstLine="630"/>
        <w:jc w:val="both"/>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that each person whose signature appears below constitutes and appoints Laura A. Francis, 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tbl>
      <w:tblPr>
        <w:tblW w:w="9277" w:type="dxa"/>
        <w:jc w:val="center"/>
        <w:tblInd w:w="0" w:type="dxa"/>
        <w:tblLayout w:type="fixed"/>
        <w:tblCellMar>
          <w:top w:w="28" w:type="dxa"/>
          <w:left w:w="28" w:type="dxa"/>
          <w:bottom w:w="28" w:type="dxa"/>
          <w:right w:w="28" w:type="dxa"/>
        </w:tblCellMar>
      </w:tblPr>
      <w:tblGrid>
        <w:gridCol w:w="770"/>
        <w:gridCol w:w="677"/>
        <w:gridCol w:w="682"/>
        <w:gridCol w:w="109"/>
        <w:gridCol w:w="109"/>
        <w:gridCol w:w="109"/>
        <w:gridCol w:w="1613"/>
        <w:gridCol w:w="1613"/>
        <w:gridCol w:w="1633"/>
        <w:gridCol w:w="109"/>
        <w:gridCol w:w="109"/>
        <w:gridCol w:w="109"/>
        <w:gridCol w:w="476"/>
        <w:gridCol w:w="476"/>
        <w:gridCol w:w="683"/>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Duly Authorized Officer and Principal Executive Officer</w:t>
            </w:r>
            <w:r>
              <w:rPr>
                <w:rFonts w:ascii="Times New Roman;serif" w:hAnsi="Times New Roman;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Anshul Maheshwari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86"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Timothy E. Davis, Jr.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John G. Freund, M.D.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Gregory K. Hinckley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9" w:type="dxa"/>
            <w:gridSpan w:val="3"/>
            <w:tcBorders/>
            <w:vAlign w:val="center"/>
          </w:tcPr>
          <w:p>
            <w:pPr>
              <w:pStyle w:val="TableContents"/>
              <w:bidi w:val="0"/>
              <w:spacing w:before="0" w:after="283"/>
              <w:jc w:val="left"/>
              <w:rPr>
                <w:sz w:val="4"/>
                <w:szCs w:val="4"/>
              </w:rPr>
            </w:pPr>
            <w:r>
              <w:rPr>
                <w:sz w:val="4"/>
                <w:szCs w:val="4"/>
              </w:rPr>
            </w:r>
          </w:p>
        </w:tc>
        <w:tc>
          <w:tcPr>
            <w:tcW w:w="196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SI-BONE,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132"/>
        <w:gridCol w:w="1284"/>
        <w:gridCol w:w="1193"/>
        <w:gridCol w:w="1183"/>
        <w:gridCol w:w="1683"/>
        <w:gridCol w:w="1126"/>
        <w:gridCol w:w="1412"/>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3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8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132" w:type="dxa"/>
            <w:tcBorders/>
            <w:shd w:fill="E7E7E2" w:val="clear"/>
            <w:vAlign w:val="center"/>
          </w:tcPr>
          <w:p>
            <w:pPr>
              <w:pStyle w:val="TableContents"/>
              <w:bidi w:val="0"/>
              <w:spacing w:before="0" w:after="283"/>
              <w:jc w:val="left"/>
              <w:rPr/>
            </w:pPr>
            <w:r>
              <w:rPr/>
              <w:t xml:space="preserve">Common Stock, $0.0001 par value per share, SI-BONE, Inc. 2018 Equity Incentive Plan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2,182,356 </w:t>
            </w:r>
          </w:p>
        </w:tc>
        <w:tc>
          <w:tcPr>
            <w:tcW w:w="1183" w:type="dxa"/>
            <w:tcBorders/>
            <w:shd w:fill="E7E7E2" w:val="clear"/>
            <w:vAlign w:val="center"/>
          </w:tcPr>
          <w:p>
            <w:pPr>
              <w:pStyle w:val="TableContents"/>
              <w:bidi w:val="0"/>
              <w:spacing w:before="0" w:after="283"/>
              <w:jc w:val="right"/>
              <w:rPr/>
            </w:pPr>
            <w:r>
              <w:rPr/>
              <w:t xml:space="preserve">$ 15.62 </w:t>
            </w:r>
          </w:p>
        </w:tc>
        <w:tc>
          <w:tcPr>
            <w:tcW w:w="1683" w:type="dxa"/>
            <w:tcBorders/>
            <w:shd w:fill="E7E7E2" w:val="clear"/>
            <w:vAlign w:val="center"/>
          </w:tcPr>
          <w:p>
            <w:pPr>
              <w:pStyle w:val="TableContents"/>
              <w:bidi w:val="0"/>
              <w:spacing w:before="0" w:after="283"/>
              <w:jc w:val="right"/>
              <w:rPr/>
            </w:pPr>
            <w:r>
              <w:rPr/>
              <w:t xml:space="preserve">$ 34,088,400.72 </w:t>
            </w:r>
          </w:p>
        </w:tc>
        <w:tc>
          <w:tcPr>
            <w:tcW w:w="1126" w:type="dxa"/>
            <w:tcBorders/>
            <w:shd w:fill="E7E7E2" w:val="clear"/>
            <w:vAlign w:val="center"/>
          </w:tcPr>
          <w:p>
            <w:pPr>
              <w:pStyle w:val="TableContents"/>
              <w:bidi w:val="0"/>
              <w:spacing w:before="0" w:after="283"/>
              <w:jc w:val="right"/>
              <w:rPr/>
            </w:pPr>
            <w:r>
              <w:rPr/>
              <w:t xml:space="preserve">0.0001381 </w:t>
            </w:r>
          </w:p>
        </w:tc>
        <w:tc>
          <w:tcPr>
            <w:tcW w:w="1412" w:type="dxa"/>
            <w:tcBorders/>
            <w:shd w:fill="E7E7E2" w:val="clear"/>
            <w:vAlign w:val="center"/>
          </w:tcPr>
          <w:p>
            <w:pPr>
              <w:pStyle w:val="TableContents"/>
              <w:bidi w:val="0"/>
              <w:spacing w:before="0" w:after="283"/>
              <w:jc w:val="right"/>
              <w:rPr/>
            </w:pPr>
            <w:r>
              <w:rPr/>
              <w:t xml:space="preserve">$ 4,707.61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1" w:type="dxa"/>
            <w:tcBorders/>
            <w:shd w:fill="E7E7E2" w:val="clear"/>
            <w:vAlign w:val="center"/>
          </w:tcPr>
          <w:p>
            <w:pPr>
              <w:pStyle w:val="TableContents"/>
              <w:bidi w:val="0"/>
              <w:spacing w:before="0" w:after="283"/>
              <w:jc w:val="left"/>
              <w:rPr/>
            </w:pPr>
            <w:r>
              <w:rPr/>
              <w:t xml:space="preserve">Equity </w:t>
            </w:r>
          </w:p>
        </w:tc>
        <w:tc>
          <w:tcPr>
            <w:tcW w:w="1132" w:type="dxa"/>
            <w:tcBorders/>
            <w:shd w:fill="E7E7E2" w:val="clear"/>
            <w:vAlign w:val="center"/>
          </w:tcPr>
          <w:p>
            <w:pPr>
              <w:pStyle w:val="TableContents"/>
              <w:bidi w:val="0"/>
              <w:spacing w:before="0" w:after="283"/>
              <w:jc w:val="left"/>
              <w:rPr/>
            </w:pPr>
            <w:r>
              <w:rPr/>
              <w:t xml:space="preserve">Common Stock, $0.0001 par value per share, SI-BONE, Inc. 2018 Employee Stock Purchase Plan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436,471 </w:t>
            </w:r>
          </w:p>
        </w:tc>
        <w:tc>
          <w:tcPr>
            <w:tcW w:w="1183" w:type="dxa"/>
            <w:tcBorders/>
            <w:shd w:fill="E7E7E2" w:val="clear"/>
            <w:vAlign w:val="center"/>
          </w:tcPr>
          <w:p>
            <w:pPr>
              <w:pStyle w:val="TableContents"/>
              <w:bidi w:val="0"/>
              <w:spacing w:before="0" w:after="283"/>
              <w:jc w:val="right"/>
              <w:rPr/>
            </w:pPr>
            <w:r>
              <w:rPr/>
              <w:t xml:space="preserve">$ 13.28 </w:t>
            </w:r>
          </w:p>
        </w:tc>
        <w:tc>
          <w:tcPr>
            <w:tcW w:w="1683" w:type="dxa"/>
            <w:tcBorders/>
            <w:shd w:fill="E7E7E2" w:val="clear"/>
            <w:vAlign w:val="center"/>
          </w:tcPr>
          <w:p>
            <w:pPr>
              <w:pStyle w:val="TableContents"/>
              <w:bidi w:val="0"/>
              <w:spacing w:before="0" w:after="283"/>
              <w:jc w:val="right"/>
              <w:rPr/>
            </w:pPr>
            <w:r>
              <w:rPr/>
              <w:t xml:space="preserve">$ 5,796,334.88 </w:t>
            </w:r>
          </w:p>
        </w:tc>
        <w:tc>
          <w:tcPr>
            <w:tcW w:w="1126" w:type="dxa"/>
            <w:tcBorders/>
            <w:shd w:fill="E7E7E2" w:val="clear"/>
            <w:vAlign w:val="center"/>
          </w:tcPr>
          <w:p>
            <w:pPr>
              <w:pStyle w:val="TableContents"/>
              <w:bidi w:val="0"/>
              <w:spacing w:before="0" w:after="283"/>
              <w:jc w:val="right"/>
              <w:rPr/>
            </w:pPr>
            <w:r>
              <w:rPr/>
              <w:t xml:space="preserve">0.0001381 </w:t>
            </w:r>
          </w:p>
        </w:tc>
        <w:tc>
          <w:tcPr>
            <w:tcW w:w="1412" w:type="dxa"/>
            <w:tcBorders/>
            <w:shd w:fill="E7E7E2" w:val="clear"/>
            <w:vAlign w:val="center"/>
          </w:tcPr>
          <w:p>
            <w:pPr>
              <w:pStyle w:val="TableContents"/>
              <w:bidi w:val="0"/>
              <w:spacing w:before="0" w:after="283"/>
              <w:jc w:val="right"/>
              <w:rPr/>
            </w:pPr>
            <w:r>
              <w:rPr/>
              <w:t xml:space="preserve">$ 800.47 </w:t>
            </w:r>
          </w:p>
        </w:tc>
      </w:tr>
      <w:tr>
        <w:trPr/>
        <w:tc>
          <w:tcPr>
            <w:tcW w:w="4801"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0"/>
              <w:ind w:left="0" w:right="0" w:hanging="0"/>
              <w:jc w:val="right"/>
              <w:rPr/>
            </w:pPr>
            <w:bookmarkStart w:id="4" w:name="MaxAggtOfferingPrice"/>
            <w:bookmarkEnd w:id="4"/>
            <w:r>
              <w:rPr/>
              <w:t xml:space="preserve">$ 39,884,735.60 </w:t>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$ 5,508.08 </w:t>
            </w:r>
          </w:p>
        </w:tc>
      </w:tr>
      <w:tr>
        <w:trPr/>
        <w:tc>
          <w:tcPr>
            <w:tcW w:w="4801"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01"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7" w:name="NetFeeAmt"/>
            <w:bookmarkEnd w:id="7"/>
            <w:r>
              <w:rPr/>
              <w:t xml:space="preserve">$ 5,508.08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416(a) of the Securities Act of 1933, as amended (the "Securities Act"), this Registration Statement also covers any additional securities that may be offered or become issuable under the SI-BONE, Inc. 2018 Equity Incentive Plan in connection with any stock split, stock dividend, recapitalization or any other similar transaction effected without receipt of consideration, which results in an increase in the number of the Registrant's outstanding shares of Common Stock. Estimated in accordance with Rules 457(c) and 457(h) under the Securities Act, solely for the purposes of calculating the registration fee, based upon $15.62 per share, which is the average of the high and low selling prices of the Registrant's Common Stock as reported on the Nasdaq Global Market on February 19,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Pursuant to Rule 416(a) of the Securities Act, this Registration Statement also covers any additional securities that may be offered or become issuable under the SI-Bone, Inc. 2018 Employee Stock Purchase Plan (the "2018 ESPP") in connection with any stock split, stock dividend, recapitalization or any other similar transaction effected without receipt of consideration, which results in an increase in the number of the Registrant's outstanding shares of Common Stock. Estimated in accordance with Rules 457(c) and 457(h) under the Securities Act solely for the purpose of calculating the registration fee, based upon $15.62 per share, which is the average of the high and low selling prices of the Registrant's Common Stock as reported on the Nasdaq Global Market on February 19, 2026, multiplied by 85%, which is the percentage of the price per share applicable to purchases under the 2018 ESPP.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left"/>
        <w:rPr/>
      </w:pPr>
      <w:r>
        <w:rPr/>
        <w:drawing>
          <wp:inline distT="0" distB="0" distL="0" distR="0">
            <wp:extent cx="1266825" cy="4762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2"/>
                    <a:stretch>
                      <a:fillRect/>
                    </a:stretch>
                  </pic:blipFill>
                  <pic:spPr bwMode="auto">
                    <a:xfrm>
                      <a:off x="0" y="0"/>
                      <a:ext cx="1266825" cy="476250"/>
                    </a:xfrm>
                    <a:prstGeom prst="rect">
                      <a:avLst/>
                    </a:prstGeom>
                  </pic:spPr>
                </pic:pic>
              </a:graphicData>
            </a:graphic>
          </wp:inline>
        </w:drawing>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Kate Nichols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 +1 650 843 5877</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knichols@cooley.com</w:t>
      </w:r>
    </w:p>
    <w:p>
      <w:pPr>
        <w:pStyle w:val="TextBody"/>
        <w:bidi w:val="0"/>
        <w:spacing w:lineRule="auto" w:line="288" w:before="360" w:after="240"/>
        <w:jc w:val="left"/>
        <w:rPr>
          <w:rFonts w:ascii="Arial;sans-serif" w:hAnsi="Arial;sans-serif"/>
          <w:b w:val="false"/>
          <w:color w:val="000000"/>
          <w:sz w:val="20"/>
        </w:rPr>
      </w:pPr>
      <w:r>
        <w:rPr>
          <w:rFonts w:ascii="Arial;sans-serif" w:hAnsi="Arial;sans-serif"/>
          <w:b w:val="false"/>
          <w:color w:val="000000"/>
          <w:sz w:val="20"/>
        </w:rPr>
        <w:t>February 24,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SI-BONE,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471 El Camino Real, Suite 101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Santa Clara, CA 95050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    Registration on Form S-8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0"/>
        <w:jc w:val="both"/>
        <w:rPr/>
      </w:pPr>
      <w:r>
        <w:rPr>
          <w:rFonts w:ascii="Arial;sans-serif" w:hAnsi="Arial;sans-serif"/>
          <w:b w:val="false"/>
          <w:color w:val="000000"/>
          <w:sz w:val="20"/>
        </w:rPr>
        <w:t>We have acted as counsel to SI-BONE,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of a Registration Statement on Form S-8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covering the offering of up to 2,618,827 shares (the “</w:t>
      </w:r>
      <w:r>
        <w:rPr>
          <w:rFonts w:ascii="Arial;sans-serif" w:hAnsi="Arial;sans-serif"/>
          <w:b/>
          <w:i/>
          <w:color w:val="000000"/>
          <w:sz w:val="20"/>
        </w:rPr>
        <w:t>Shares</w:t>
      </w:r>
      <w:r>
        <w:rPr>
          <w:color w:val="000000"/>
        </w:rPr>
        <w:t>”</w:t>
      </w:r>
      <w:r>
        <w:rPr>
          <w:rFonts w:ascii="Arial;sans-serif" w:hAnsi="Arial;sans-serif"/>
          <w:b w:val="false"/>
          <w:color w:val="000000"/>
          <w:sz w:val="20"/>
        </w:rPr>
        <w:t>) of the Company’s common stock, par value $0.0001 per share (“</w:t>
      </w:r>
      <w:r>
        <w:rPr>
          <w:rFonts w:ascii="Arial;sans-serif" w:hAnsi="Arial;sans-serif"/>
          <w:b/>
          <w:i/>
          <w:color w:val="000000"/>
          <w:sz w:val="20"/>
        </w:rPr>
        <w:t>Common Stock</w:t>
      </w:r>
      <w:r>
        <w:rPr>
          <w:color w:val="000000"/>
        </w:rPr>
        <w:t>”</w:t>
      </w:r>
      <w:r>
        <w:rPr>
          <w:rFonts w:ascii="Arial;sans-serif" w:hAnsi="Arial;sans-serif"/>
          <w:b w:val="false"/>
          <w:color w:val="000000"/>
          <w:sz w:val="20"/>
        </w:rPr>
        <w:t>), consisting of (a) 2,182,356 shares of Common Stock issuable pursuant to the Company’s 2018 Equity Incentive Plan (the “</w:t>
      </w:r>
      <w:r>
        <w:rPr>
          <w:rFonts w:ascii="Arial;sans-serif" w:hAnsi="Arial;sans-serif"/>
          <w:b/>
          <w:i/>
          <w:color w:val="000000"/>
          <w:sz w:val="20"/>
        </w:rPr>
        <w:t>EIP</w:t>
      </w:r>
      <w:r>
        <w:rPr>
          <w:color w:val="000000"/>
        </w:rPr>
        <w:t>”</w:t>
      </w:r>
      <w:r>
        <w:rPr>
          <w:rFonts w:ascii="Arial;sans-serif" w:hAnsi="Arial;sans-serif"/>
          <w:b w:val="false"/>
          <w:color w:val="000000"/>
          <w:sz w:val="20"/>
        </w:rPr>
        <w:t>), and (b) 436,471 shares of Common Stock issuable pursuant to the Company’s 2018 Employee Stock Purchase Plan (together with the EIP, the “</w:t>
      </w:r>
      <w:r>
        <w:rPr>
          <w:rFonts w:ascii="Arial;sans-serif" w:hAnsi="Arial;sans-serif"/>
          <w:b/>
          <w:i/>
          <w:color w:val="000000"/>
          <w:sz w:val="20"/>
        </w:rPr>
        <w:t>Plans</w:t>
      </w:r>
      <w:r>
        <w:rPr>
          <w:color w:val="000000"/>
        </w:rPr>
        <w:t>”</w:t>
      </w:r>
      <w:r>
        <w:rPr>
          <w:rFonts w:ascii="Arial;sans-serif" w:hAnsi="Arial;sans-serif"/>
          <w:b w:val="false"/>
          <w:color w:val="000000"/>
          <w:sz w:val="20"/>
        </w:rPr>
        <w:t xml:space="preserve">). </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 xml:space="preserve">In connection with this opinion, we have examined and relied upon (a) the Registration Statement and the related prospectuses, (b) the Plans,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8765"/>
                <wp:effectExtent l="0" t="0" r="0" b="0"/>
                <wp:wrapNone/>
                <wp:docPr id="7" name="Frame6"/>
                <a:graphic xmlns:a="http://schemas.openxmlformats.org/drawingml/2006/main">
                  <a:graphicData uri="http://schemas.microsoft.com/office/word/2010/wordprocessingShape">
                    <wps:wsp>
                      <wps:cNvSpPr txBox="1"/>
                      <wps:spPr>
                        <a:xfrm>
                          <a:off x="0" y="0"/>
                          <a:ext cx="6480175" cy="27876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r>
                              <w:br w:type="page"/>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40" w:after="340"/>
        <w:jc w:val="both"/>
        <w:rPr>
          <w:rFonts w:ascii="Arial;sans-serif" w:hAnsi="Arial;sans-serif"/>
          <w:b/>
          <w:color w:val="000000"/>
          <w:sz w:val="20"/>
        </w:rPr>
      </w:pPr>
      <w:r>
        <w:rPr>
          <w:rFonts w:ascii="Arial;sans-serif" w:hAnsi="Arial;sans-serif"/>
          <w:b/>
          <w:color w:val="000000"/>
          <w:sz w:val="20"/>
        </w:rPr>
        <w:t>Cooley LLP</w:t>
      </w:r>
    </w:p>
    <w:p>
      <w:pPr>
        <w:pStyle w:val="TextBody"/>
        <w:bidi w:val="0"/>
        <w:spacing w:before="240" w:after="340"/>
        <w:jc w:val="both"/>
        <w:rPr/>
      </w:pPr>
      <w:r>
        <w:rPr/>
      </w:r>
    </w:p>
    <w:tbl>
      <w:tblPr>
        <w:tblW w:w="2024" w:type="dxa"/>
        <w:jc w:val="left"/>
        <w:tblInd w:w="0" w:type="dxa"/>
        <w:tblLayout w:type="fixed"/>
        <w:tblCellMar>
          <w:top w:w="28" w:type="dxa"/>
          <w:left w:w="28" w:type="dxa"/>
          <w:bottom w:w="28" w:type="dxa"/>
          <w:right w:w="28" w:type="dxa"/>
        </w:tblCellMar>
      </w:tblPr>
      <w:tblGrid>
        <w:gridCol w:w="173"/>
        <w:gridCol w:w="153"/>
        <w:gridCol w:w="154"/>
        <w:gridCol w:w="452"/>
        <w:gridCol w:w="452"/>
        <w:gridCol w:w="640"/>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By: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Kate Nichols</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Kate Nichols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Georgia;serif" w:hAnsi="Georgia;serif"/>
          <w:b/>
          <w:color w:val="000000"/>
          <w:sz w:val="20"/>
        </w:rPr>
      </w:pPr>
      <w:r>
        <w:rPr>
          <w:rFonts w:ascii="Georgia;serif" w:hAnsi="Georgia;serif"/>
          <w:b/>
          <w:color w:val="000000"/>
          <w:sz w:val="20"/>
        </w:rPr>
        <w:t>Exhibit 23.1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8765"/>
                <wp:effectExtent l="0" t="0" r="0" b="0"/>
                <wp:wrapNone/>
                <wp:docPr id="8" name="Frame7"/>
                <a:graphic xmlns:a="http://schemas.openxmlformats.org/drawingml/2006/main">
                  <a:graphicData uri="http://schemas.microsoft.com/office/word/2010/wordprocessingShape">
                    <wps:wsp>
                      <wps:cNvSpPr txBox="1"/>
                      <wps:spPr>
                        <a:xfrm>
                          <a:off x="0" y="0"/>
                          <a:ext cx="6480175" cy="27876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5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Cooley LLP 3175 Hanover Street Palo Alto, CA 94304-1130 </w:t>
                      </w:r>
                    </w:p>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xml:space="preserve">t: (650) 843-5000 f: (650) 849-7400 cooley.com </w:t>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120"/>
        <w:jc w:val="left"/>
        <w:rPr/>
      </w:pPr>
      <w:r>
        <w:rPr>
          <w:rFonts w:ascii="Georgia;serif" w:hAnsi="Georgia;serif"/>
          <w:b w:val="false"/>
          <w:color w:val="000000"/>
          <w:sz w:val="20"/>
        </w:rPr>
        <w:t>We hereby consent to the incorporation by reference in this Registration Statement on Form S-8 of SI-BONE, Inc. of our report dated February 24, 2026</w:t>
      </w:r>
      <w:r>
        <w:rPr>
          <w:color w:val="000000"/>
        </w:rPr>
        <w:t xml:space="preserve"> </w:t>
      </w:r>
      <w:r>
        <w:rPr>
          <w:rFonts w:ascii="Georgia;serif" w:hAnsi="Georgia;serif"/>
          <w:b w:val="false"/>
          <w:color w:val="000000"/>
          <w:sz w:val="20"/>
        </w:rPr>
        <w:t>relating to the financial statements and the effectiveness of internal control over financial reporting, which appears in SI-BONE, Inc.'s Annual Report on Form 10-K for the year ended December 31, 2025. We also consent to the reference to us under the heading “Experts”</w:t>
      </w:r>
      <w:r>
        <w:rPr>
          <w:color w:val="000000"/>
        </w:rPr>
        <w:t xml:space="preserve"> </w:t>
      </w:r>
      <w:r>
        <w:rPr>
          <w:rFonts w:ascii="Georgia;serif" w:hAnsi="Georgia;serif"/>
          <w:b w:val="false"/>
          <w:color w:val="000000"/>
          <w:sz w:val="20"/>
        </w:rPr>
        <w:t>in such Registration Statement.</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pPr>
      <w:r>
        <w:rPr>
          <w:rFonts w:ascii="Georgia;serif" w:hAnsi="Georgia;serif"/>
          <w:b w:val="false"/>
          <w:color w:val="000000"/>
          <w:sz w:val="20"/>
        </w:rPr>
        <w:t>/s/ PricewaterhouseCoopers LLP</w:t>
        <w:br/>
        <w:t>San Jose, California</w:t>
      </w:r>
      <w:r>
        <w:rPr>
          <w:color w:val="FF0000"/>
        </w:rPr>
        <w:t xml:space="preserve"> </w:t>
      </w:r>
      <w:r>
        <w:rPr>
          <w:rFonts w:ascii="Georgia;serif" w:hAnsi="Georgia;serif"/>
          <w:b w:val="false"/>
          <w:color w:val="000000"/>
          <w:sz w:val="20"/>
        </w:rPr>
        <w:br/>
        <w:t>February 24,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3240"/>
                <wp:effectExtent l="0" t="0" r="0" b="0"/>
                <wp:wrapNone/>
                <wp:docPr id="9" name="Frame8"/>
                <a:graphic xmlns:a="http://schemas.openxmlformats.org/drawingml/2006/main">
                  <a:graphicData uri="http://schemas.microsoft.com/office/word/2010/wordprocessingShape">
                    <wps:wsp>
                      <wps:cNvSpPr txBox="1"/>
                      <wps:spPr>
                        <a:xfrm>
                          <a:off x="0" y="0"/>
                          <a:ext cx="6480175" cy="523240"/>
                        </a:xfrm>
                        <a:prstGeom prst="rect"/>
                        <a:solidFill>
                          <a:srgbClr val="FFFFFF"/>
                        </a:solidFill>
                      </wps:spPr>
                      <wps:txb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158/d635537ds8.htm" TargetMode="External"/><Relationship Id="rId3" Type="http://schemas.openxmlformats.org/officeDocument/2006/relationships/hyperlink" Target="https://www.sec.gov/Archives/edgar/data/1459839/000145983919000015/s-8evergreen2019.htm" TargetMode="External"/><Relationship Id="rId4" Type="http://schemas.openxmlformats.org/officeDocument/2006/relationships/hyperlink" Target="https://www.sec.gov/Archives/edgar/data/1459839/000145983920000032/s-8evergreen2020.htm" TargetMode="External"/><Relationship Id="rId5" Type="http://schemas.openxmlformats.org/officeDocument/2006/relationships/hyperlink" Target="https://www.sec.gov/Archives/edgar/data/1459839/000145983921000015/s-8evergreenjanuary2021.htm" TargetMode="External"/><Relationship Id="rId6" Type="http://schemas.openxmlformats.org/officeDocument/2006/relationships/hyperlink" Target="https://www.sec.gov/Archives/edgar/data/1459839/000145983922000020/s-8evergreenjanuary2022.htm" TargetMode="External"/><Relationship Id="rId7" Type="http://schemas.openxmlformats.org/officeDocument/2006/relationships/hyperlink" Target="https://www.sec.gov/Archives/edgar/data/1459839/000145983923000022/s-8evergreenjanuary2023.htm" TargetMode="External"/><Relationship Id="rId8" Type="http://schemas.openxmlformats.org/officeDocument/2006/relationships/hyperlink" Target="https://www.sec.gov/Archives/edgar/data/1459839/000145983924000017/s-8evergreenfebruary27.htm" TargetMode="External"/><Relationship Id="rId9" Type="http://schemas.openxmlformats.org/officeDocument/2006/relationships/hyperlink" Target="https://www.sec.gov/Archives/edgar/data/1459839/000145983925000038/s-8evergreenfebruary25_fy25.htm" TargetMode="External"/><Relationship Id="rId10" Type="http://schemas.openxmlformats.org/officeDocument/2006/relationships/hyperlink" Target="https://www.sec.gov/ix?doc=/Archives/edgar/data/0001459839/000145983926000036/sibn-20251231.htm" TargetMode="External"/><Relationship Id="rId11" Type="http://schemas.openxmlformats.org/officeDocument/2006/relationships/hyperlink" Target="https://www.sec.gov/Archives/edgar/data/1459839/000119312518297571/d486750d8a12b.htm" TargetMode="External"/><Relationship Id="rId12" Type="http://schemas.openxmlformats.org/officeDocument/2006/relationships/hyperlink" Target="https://www.sec.gov/Archives/edgar/data/1459839/000119312518303020/d641574dex31.htm" TargetMode="External"/><Relationship Id="rId13" Type="http://schemas.openxmlformats.org/officeDocument/2006/relationships/hyperlink" Target="https://www.sec.gov/ix?doc=/Archives/edgar/data/0001459839/000145983924000048/sibn-20240625.htm" TargetMode="External"/><Relationship Id="rId14" Type="http://schemas.openxmlformats.org/officeDocument/2006/relationships/hyperlink" Target="https://www.sec.gov/Archives/edgar/data/1459839/000145983923000095/secondamendedandrestatedby.htm" TargetMode="External"/><Relationship Id="rId15" Type="http://schemas.openxmlformats.org/officeDocument/2006/relationships/hyperlink" Target="https://www.sec.gov/Archives/edgar/data/1459839/000119312518293978/d452987dex41.htm" TargetMode="External"/><Relationship Id="rId16" Type="http://schemas.openxmlformats.org/officeDocument/2006/relationships/hyperlink" Target="https://www.sec.gov/Archives/edgar/data/1459839/000119312518293978/d452987dex103.htm" TargetMode="External"/><Relationship Id="rId17" Type="http://schemas.openxmlformats.org/officeDocument/2006/relationships/hyperlink" Target="https://www.sec.gov/Archives/edgar/data/1459839/000119312518293978/d452987dex104.htm" TargetMode="External"/><Relationship Id="rId18" Type="http://schemas.openxmlformats.org/officeDocument/2006/relationships/hyperlink" Target="https://www.sec.gov/Archives/edgar/data/1459839/000119312518293978/d452987dex105.htm" TargetMode="External"/><Relationship Id="rId19" Type="http://schemas.openxmlformats.org/officeDocument/2006/relationships/hyperlink" Target="https://www.sec.gov/Archives/edgar/data/1459839/000119312518293978/d452987dex106.htm" TargetMode="External"/><Relationship Id="rId20" Type="http://schemas.openxmlformats.org/officeDocument/2006/relationships/hyperlink" Target="https://www.sec.gov/Archives/edgar/data/1459839/000145983922000006/si-bonexformofprsugrantp.htm" TargetMode="External"/><Relationship Id="rId21" Type="http://schemas.openxmlformats.org/officeDocument/2006/relationships/hyperlink" Target="https://www.sec.gov/Archives/edgar/data/1459839/000145983925000036/sibn-ex1029_formoffinancia.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2668</Words>
  <Characters>14353</Characters>
  <CharactersWithSpaces>16865</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