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ind w:left="482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INFORMATION TO BE INCLUDED IN STATEMENTS FILED PURSUANT TO RULES 13d-1 (b), (c) AND (d) AND AMENDMENTS THERETO</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FILED PURSUANT TO 13d-2 (b)</w:t>
      </w:r>
    </w:p>
    <w:p>
      <w:pPr>
        <w:spacing w:after="0" w:line="9"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3380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338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825704109</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338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2018</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338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60" w:hanging="650"/>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60" w:hanging="650"/>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8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35901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00"/>
          </w:cols>
          <w:pgMar w:left="160" w:top="35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260" w:type="dxa"/>
            <w:vAlign w:val="bottom"/>
          </w:tcPr>
          <w:p>
            <w:pPr>
              <w:ind w:left="60"/>
              <w:spacing w:after="0"/>
              <w:rPr>
                <w:sz w:val="20"/>
                <w:szCs w:val="20"/>
                <w:color w:val="auto"/>
              </w:rPr>
            </w:pPr>
            <w:r>
              <w:rPr>
                <w:rFonts w:ascii="Arial" w:cs="Arial" w:eastAsia="Arial" w:hAnsi="Arial"/>
                <w:sz w:val="18"/>
                <w:szCs w:val="18"/>
                <w:color w:val="auto"/>
              </w:rPr>
              <w:t>CUSIP No.</w:t>
            </w:r>
          </w:p>
        </w:tc>
        <w:tc>
          <w:tcPr>
            <w:tcW w:w="8300" w:type="dxa"/>
            <w:vAlign w:val="bottom"/>
          </w:tcPr>
          <w:p>
            <w:pPr>
              <w:ind w:left="2360"/>
              <w:spacing w:after="0"/>
              <w:rPr>
                <w:sz w:val="20"/>
                <w:szCs w:val="20"/>
                <w:color w:val="auto"/>
              </w:rPr>
            </w:pPr>
            <w:r>
              <w:rPr>
                <w:rFonts w:ascii="Arial" w:cs="Arial" w:eastAsia="Arial" w:hAnsi="Arial"/>
                <w:sz w:val="18"/>
                <w:szCs w:val="18"/>
                <w:color w:val="auto"/>
              </w:rPr>
              <w:t>13 G</w:t>
            </w:r>
          </w:p>
        </w:tc>
      </w:tr>
      <w:tr>
        <w:trPr>
          <w:trHeight w:val="54"/>
        </w:trPr>
        <w:tc>
          <w:tcPr>
            <w:tcW w:w="326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80" w:right="8380" w:hanging="640"/>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Arboretum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6694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20" w:lineRule="exact"/>
        <w:rPr>
          <w:sz w:val="20"/>
          <w:szCs w:val="20"/>
          <w:color w:val="auto"/>
        </w:rPr>
      </w:pPr>
    </w:p>
    <w:p>
      <w:pPr>
        <w:ind w:left="1080" w:hanging="640"/>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26"/>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26"/>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48895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-164465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80" w:hanging="640"/>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48895</wp:posOffset>
            </wp:positionV>
            <wp:extent cx="6694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1080" w:right="7860" w:hanging="640"/>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6694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3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6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1,695,036 shares of Common Stock (2)</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6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3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1,695,036 shares of Common Stock (2)</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80" w:right="5680" w:hanging="640"/>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1,695,036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66948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66" w:lineRule="exact"/>
        <w:rPr>
          <w:sz w:val="20"/>
          <w:szCs w:val="20"/>
          <w:color w:val="auto"/>
        </w:rPr>
      </w:pPr>
    </w:p>
    <w:p>
      <w:pPr>
        <w:ind w:left="1080" w:hanging="640"/>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80" w:right="6820" w:hanging="640"/>
        <w:spacing w:after="0" w:line="277"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7.0% (3)</w:t>
      </w:r>
    </w:p>
    <w:p>
      <w:pPr>
        <w:spacing w:after="0" w:line="386" w:lineRule="exact"/>
        <w:rPr>
          <w:rFonts w:ascii="Arial" w:cs="Arial" w:eastAsia="Arial" w:hAnsi="Arial"/>
          <w:sz w:val="18"/>
          <w:szCs w:val="18"/>
          <w:color w:val="auto"/>
        </w:rPr>
      </w:pPr>
    </w:p>
    <w:p>
      <w:pPr>
        <w:ind w:left="1080" w:hanging="640"/>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71" w:lineRule="auto"/>
        <w:tabs>
          <w:tab w:leader="none" w:pos="34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Schedule 13G is filed by Arboretum Ventures IV, L.P., a Delaware limited partnership (“IV LP”), Arboretum Investment Manager IV, LLC (“IV GP”), Jan L. Garfinkle (“Garfinkle”), Timothy B. Petersen (“Petersen”) and Paul McCreadie (“McCreadie” and together with IV LP, IV GP, Garfinkle and Petersen, collectively, the “Reporting Persons”). The Reporting Persons expressly disclaim status as a “group” for purposes of this Schedule 13G.</w:t>
      </w:r>
    </w:p>
    <w:p>
      <w:pPr>
        <w:ind w:right="240" w:firstLine="8"/>
        <w:spacing w:after="0" w:line="250" w:lineRule="auto"/>
        <w:tabs>
          <w:tab w:leader="none" w:pos="34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shares are held by IV LP. IV GP serves as the sole general partner of IV LP and owns no securities of the Issuer directly. Garfinkle, Petersen and McCreadie are managing directors of IV LLC and share voting and dispositive power over the shares held by IV LP.</w:t>
      </w:r>
    </w:p>
    <w:p>
      <w:pPr>
        <w:ind w:right="40" w:firstLine="8"/>
        <w:spacing w:after="0" w:line="260" w:lineRule="auto"/>
        <w:tabs>
          <w:tab w:leader="none" w:pos="34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is calculated based upon 24,335,690 shares of Common Stock outstanding as of November 28, 2018 as set forth in the Issuer’s most recent 10-Q filed with the Securities and Exchange Commission on November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-1261110</wp:posOffset>
            </wp:positionV>
            <wp:extent cx="66948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-1809750</wp:posOffset>
            </wp:positionV>
            <wp:extent cx="66948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-2358390</wp:posOffset>
            </wp:positionV>
            <wp:extent cx="66948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-1047115</wp:posOffset>
            </wp:positionV>
            <wp:extent cx="18516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35901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315" w:right="1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3260" w:type="dxa"/>
            <w:vAlign w:val="bottom"/>
          </w:tcPr>
          <w:p>
            <w:pPr>
              <w:ind w:left="60"/>
              <w:spacing w:after="0"/>
              <w:rPr>
                <w:sz w:val="20"/>
                <w:szCs w:val="20"/>
                <w:color w:val="auto"/>
              </w:rPr>
            </w:pPr>
            <w:r>
              <w:rPr>
                <w:rFonts w:ascii="Arial" w:cs="Arial" w:eastAsia="Arial" w:hAnsi="Arial"/>
                <w:sz w:val="18"/>
                <w:szCs w:val="18"/>
                <w:color w:val="auto"/>
              </w:rPr>
              <w:t>CUSIP No.</w:t>
            </w:r>
          </w:p>
        </w:tc>
        <w:tc>
          <w:tcPr>
            <w:tcW w:w="8300" w:type="dxa"/>
            <w:vAlign w:val="bottom"/>
          </w:tcPr>
          <w:p>
            <w:pPr>
              <w:ind w:left="2360"/>
              <w:spacing w:after="0"/>
              <w:rPr>
                <w:sz w:val="20"/>
                <w:szCs w:val="20"/>
                <w:color w:val="auto"/>
              </w:rPr>
            </w:pPr>
            <w:r>
              <w:rPr>
                <w:rFonts w:ascii="Arial" w:cs="Arial" w:eastAsia="Arial" w:hAnsi="Arial"/>
                <w:sz w:val="18"/>
                <w:szCs w:val="18"/>
                <w:color w:val="auto"/>
              </w:rPr>
              <w:t>13 G</w:t>
            </w:r>
          </w:p>
        </w:tc>
      </w:tr>
      <w:tr>
        <w:trPr>
          <w:trHeight w:val="54"/>
        </w:trPr>
        <w:tc>
          <w:tcPr>
            <w:tcW w:w="326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80" w:right="7520" w:hanging="640"/>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Names of Reporting Persons. Arboretum Investment Manager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6694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20" w:lineRule="exact"/>
        <w:rPr>
          <w:sz w:val="20"/>
          <w:szCs w:val="20"/>
          <w:color w:val="auto"/>
        </w:rPr>
      </w:pPr>
    </w:p>
    <w:p>
      <w:pPr>
        <w:ind w:left="1080" w:hanging="640"/>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26"/>
        <w:spacing w:after="0"/>
        <w:tabs>
          <w:tab w:leader="none" w:pos="1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26"/>
        <w:spacing w:after="0"/>
        <w:tabs>
          <w:tab w:leader="none" w:pos="1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48895</wp:posOffset>
            </wp:positionV>
            <wp:extent cx="62922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-164465</wp:posOffset>
            </wp:positionV>
            <wp:extent cx="62922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80" w:hanging="640"/>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48895</wp:posOffset>
            </wp:positionV>
            <wp:extent cx="66948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1080" w:right="7860" w:hanging="640"/>
        <w:spacing w:after="0" w:line="34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66948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3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6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1,695,036 shares of Common Stock (2)</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6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3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1,695,036 shares of Common Stock (2)</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80" w:right="5680" w:hanging="640"/>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1,695,036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66948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66" w:lineRule="exact"/>
        <w:rPr>
          <w:sz w:val="20"/>
          <w:szCs w:val="20"/>
          <w:color w:val="auto"/>
        </w:rPr>
      </w:pPr>
    </w:p>
    <w:p>
      <w:pPr>
        <w:ind w:left="1080" w:hanging="640"/>
        <w:spacing w:after="0"/>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80" w:right="6820" w:hanging="640"/>
        <w:spacing w:after="0" w:line="277"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7.0% (3)</w:t>
      </w:r>
    </w:p>
    <w:p>
      <w:pPr>
        <w:spacing w:after="0" w:line="386" w:lineRule="exact"/>
        <w:rPr>
          <w:rFonts w:ascii="Arial" w:cs="Arial" w:eastAsia="Arial" w:hAnsi="Arial"/>
          <w:sz w:val="18"/>
          <w:szCs w:val="18"/>
          <w:color w:val="auto"/>
        </w:rPr>
      </w:pPr>
    </w:p>
    <w:p>
      <w:pPr>
        <w:ind w:left="1080" w:hanging="640"/>
        <w:spacing w:after="0"/>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60" w:hanging="352"/>
        <w:spacing w:after="0"/>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46" w:lineRule="exact"/>
        <w:rPr>
          <w:rFonts w:ascii="Arial" w:cs="Arial" w:eastAsia="Arial" w:hAnsi="Arial"/>
          <w:sz w:val="16"/>
          <w:szCs w:val="16"/>
          <w:color w:val="auto"/>
        </w:rPr>
      </w:pPr>
    </w:p>
    <w:p>
      <w:pPr>
        <w:ind w:right="240" w:firstLine="8"/>
        <w:spacing w:after="0" w:line="250" w:lineRule="auto"/>
        <w:tabs>
          <w:tab w:leader="none" w:pos="3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shares are held by IV LP. IV GP serves as the sole general partner of IV LP and owns no securities of the Issuer directly. Garfinkle, Petersen and McCreadie are managing directors of IV LLC and share voting and dispositive power over the shares held by IV LP..</w:t>
      </w:r>
    </w:p>
    <w:p>
      <w:pPr>
        <w:ind w:right="40" w:firstLine="8"/>
        <w:spacing w:after="0" w:line="260" w:lineRule="auto"/>
        <w:tabs>
          <w:tab w:leader="none" w:pos="3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percentage is calculated based upon 24,335,690 shares of Common Stock outstanding as of November 28, 2018 as set forth in the Issuer’s most recent 10-Q filed with the Securities and Exchange Commission on November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-986790</wp:posOffset>
            </wp:positionV>
            <wp:extent cx="66948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-1535430</wp:posOffset>
            </wp:positionV>
            <wp:extent cx="66948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-2084070</wp:posOffset>
            </wp:positionV>
            <wp:extent cx="66948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-772795</wp:posOffset>
            </wp:positionV>
            <wp:extent cx="18516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35901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315" w:right="1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260" w:type="dxa"/>
            <w:vAlign w:val="bottom"/>
          </w:tcPr>
          <w:p>
            <w:pPr>
              <w:ind w:left="60"/>
              <w:spacing w:after="0"/>
              <w:rPr>
                <w:sz w:val="20"/>
                <w:szCs w:val="20"/>
                <w:color w:val="auto"/>
              </w:rPr>
            </w:pPr>
            <w:r>
              <w:rPr>
                <w:rFonts w:ascii="Arial" w:cs="Arial" w:eastAsia="Arial" w:hAnsi="Arial"/>
                <w:sz w:val="18"/>
                <w:szCs w:val="18"/>
                <w:color w:val="auto"/>
              </w:rPr>
              <w:t>CUSIP No.</w:t>
            </w:r>
          </w:p>
        </w:tc>
        <w:tc>
          <w:tcPr>
            <w:tcW w:w="8300" w:type="dxa"/>
            <w:vAlign w:val="bottom"/>
          </w:tcPr>
          <w:p>
            <w:pPr>
              <w:ind w:left="2360"/>
              <w:spacing w:after="0"/>
              <w:rPr>
                <w:sz w:val="20"/>
                <w:szCs w:val="20"/>
                <w:color w:val="auto"/>
              </w:rPr>
            </w:pPr>
            <w:r>
              <w:rPr>
                <w:rFonts w:ascii="Arial" w:cs="Arial" w:eastAsia="Arial" w:hAnsi="Arial"/>
                <w:sz w:val="18"/>
                <w:szCs w:val="18"/>
                <w:color w:val="auto"/>
              </w:rPr>
              <w:t>13 G</w:t>
            </w:r>
          </w:p>
        </w:tc>
      </w:tr>
      <w:tr>
        <w:trPr>
          <w:trHeight w:val="54"/>
        </w:trPr>
        <w:tc>
          <w:tcPr>
            <w:tcW w:w="326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80" w:right="8420" w:hanging="640"/>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 Jan L.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66948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66" w:lineRule="exact"/>
        <w:rPr>
          <w:sz w:val="20"/>
          <w:szCs w:val="20"/>
          <w:color w:val="auto"/>
        </w:rPr>
      </w:pPr>
    </w:p>
    <w:p>
      <w:pPr>
        <w:ind w:left="1080" w:hanging="640"/>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26"/>
        <w:spacing w:after="0"/>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26"/>
        <w:spacing w:after="0"/>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48895</wp:posOffset>
            </wp:positionV>
            <wp:extent cx="62922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-164465</wp:posOffset>
            </wp:positionV>
            <wp:extent cx="62922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80" w:hanging="640"/>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48895</wp:posOffset>
            </wp:positionV>
            <wp:extent cx="66948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80" w:right="7860" w:hanging="640"/>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66948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3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6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1,695,036 shares of Common Stock (2)</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6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3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1,695,036 shares of Common Stock (2)</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80" w:right="5680" w:hanging="640"/>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1,695,036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66948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66" w:lineRule="exact"/>
        <w:rPr>
          <w:sz w:val="20"/>
          <w:szCs w:val="20"/>
          <w:color w:val="auto"/>
        </w:rPr>
      </w:pPr>
    </w:p>
    <w:p>
      <w:pPr>
        <w:ind w:left="1080" w:hanging="640"/>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80" w:right="6820" w:hanging="640"/>
        <w:spacing w:after="0" w:line="277" w:lineRule="auto"/>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7.0% (3)</w:t>
      </w:r>
    </w:p>
    <w:p>
      <w:pPr>
        <w:spacing w:after="0" w:line="386" w:lineRule="exact"/>
        <w:rPr>
          <w:rFonts w:ascii="Arial" w:cs="Arial" w:eastAsia="Arial" w:hAnsi="Arial"/>
          <w:sz w:val="18"/>
          <w:szCs w:val="18"/>
          <w:color w:val="auto"/>
        </w:rPr>
      </w:pPr>
    </w:p>
    <w:p>
      <w:pPr>
        <w:ind w:left="1080" w:hanging="640"/>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60" w:hanging="352"/>
        <w:spacing w:after="0"/>
        <w:tabs>
          <w:tab w:leader="none" w:pos="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46" w:lineRule="exact"/>
        <w:rPr>
          <w:rFonts w:ascii="Arial" w:cs="Arial" w:eastAsia="Arial" w:hAnsi="Arial"/>
          <w:sz w:val="16"/>
          <w:szCs w:val="16"/>
          <w:color w:val="auto"/>
        </w:rPr>
      </w:pPr>
    </w:p>
    <w:p>
      <w:pPr>
        <w:ind w:right="340" w:firstLine="8"/>
        <w:spacing w:after="0" w:line="250"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shares are held by IV LP. IV GP serves as the sole general partner of IV LP and owns no securities of the Issuer directly. Garfinkle, Petersen and McCreadie are managing directors of IV LLC and share voting and dispositive power over the shares held by IV LP.</w:t>
      </w:r>
    </w:p>
    <w:p>
      <w:pPr>
        <w:ind w:right="120" w:firstLine="8"/>
        <w:spacing w:after="0" w:line="260"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percentage is calculated based upon 24,335,690 shares of Common Stock outstanding as of November 28, 2018 as set forth in the Issuer’s most recent 10-Q filed with the Securities and Exchange Commission on November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-986790</wp:posOffset>
            </wp:positionV>
            <wp:extent cx="66948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-1535430</wp:posOffset>
            </wp:positionV>
            <wp:extent cx="66948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-2084070</wp:posOffset>
            </wp:positionV>
            <wp:extent cx="66948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-772795</wp:posOffset>
            </wp:positionV>
            <wp:extent cx="18516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35901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315" w:right="1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3260" w:type="dxa"/>
            <w:vAlign w:val="bottom"/>
          </w:tcPr>
          <w:p>
            <w:pPr>
              <w:ind w:left="60"/>
              <w:spacing w:after="0"/>
              <w:rPr>
                <w:sz w:val="20"/>
                <w:szCs w:val="20"/>
                <w:color w:val="auto"/>
              </w:rPr>
            </w:pPr>
            <w:r>
              <w:rPr>
                <w:rFonts w:ascii="Arial" w:cs="Arial" w:eastAsia="Arial" w:hAnsi="Arial"/>
                <w:sz w:val="18"/>
                <w:szCs w:val="18"/>
                <w:color w:val="auto"/>
              </w:rPr>
              <w:t>CUSIP No.</w:t>
            </w:r>
          </w:p>
        </w:tc>
        <w:tc>
          <w:tcPr>
            <w:tcW w:w="8300" w:type="dxa"/>
            <w:vAlign w:val="bottom"/>
          </w:tcPr>
          <w:p>
            <w:pPr>
              <w:ind w:left="2360"/>
              <w:spacing w:after="0"/>
              <w:rPr>
                <w:sz w:val="20"/>
                <w:szCs w:val="20"/>
                <w:color w:val="auto"/>
              </w:rPr>
            </w:pPr>
            <w:r>
              <w:rPr>
                <w:rFonts w:ascii="Arial" w:cs="Arial" w:eastAsia="Arial" w:hAnsi="Arial"/>
                <w:sz w:val="18"/>
                <w:szCs w:val="18"/>
                <w:color w:val="auto"/>
              </w:rPr>
              <w:t>13 G</w:t>
            </w:r>
          </w:p>
        </w:tc>
      </w:tr>
      <w:tr>
        <w:trPr>
          <w:trHeight w:val="54"/>
        </w:trPr>
        <w:tc>
          <w:tcPr>
            <w:tcW w:w="326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80" w:right="8420" w:hanging="640"/>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Names of Reporting Persons Timothy B.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66948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20" w:lineRule="exact"/>
        <w:rPr>
          <w:sz w:val="20"/>
          <w:szCs w:val="20"/>
          <w:color w:val="auto"/>
        </w:rPr>
      </w:pPr>
    </w:p>
    <w:p>
      <w:pPr>
        <w:ind w:left="1080" w:hanging="640"/>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26"/>
        <w:spacing w:after="0"/>
        <w:tabs>
          <w:tab w:leader="none" w:pos="1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26"/>
        <w:spacing w:after="0"/>
        <w:tabs>
          <w:tab w:leader="none" w:pos="17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48895</wp:posOffset>
            </wp:positionV>
            <wp:extent cx="62922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-164465</wp:posOffset>
            </wp:positionV>
            <wp:extent cx="62922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80" w:hanging="640"/>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48895</wp:posOffset>
            </wp:positionV>
            <wp:extent cx="66948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80" w:right="7860" w:hanging="640"/>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66948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3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6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1,695,036 shares of Common Stock (2)</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6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3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1,695,036 shares of Common Stock (2)</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80" w:right="5680" w:hanging="640"/>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1,695,036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66948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66" w:lineRule="exact"/>
        <w:rPr>
          <w:sz w:val="20"/>
          <w:szCs w:val="20"/>
          <w:color w:val="auto"/>
        </w:rPr>
      </w:pPr>
    </w:p>
    <w:p>
      <w:pPr>
        <w:ind w:left="1080" w:hanging="640"/>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80" w:right="6820" w:hanging="640"/>
        <w:spacing w:after="0" w:line="277" w:lineRule="auto"/>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9 7.0% (3)</w:t>
      </w:r>
    </w:p>
    <w:p>
      <w:pPr>
        <w:spacing w:after="0" w:line="386" w:lineRule="exact"/>
        <w:rPr>
          <w:rFonts w:ascii="Arial" w:cs="Arial" w:eastAsia="Arial" w:hAnsi="Arial"/>
          <w:sz w:val="18"/>
          <w:szCs w:val="18"/>
          <w:color w:val="auto"/>
        </w:rPr>
      </w:pPr>
    </w:p>
    <w:p>
      <w:pPr>
        <w:ind w:left="1080" w:hanging="640"/>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60" w:hanging="352"/>
        <w:spacing w:after="0"/>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46" w:lineRule="exact"/>
        <w:rPr>
          <w:rFonts w:ascii="Arial" w:cs="Arial" w:eastAsia="Arial" w:hAnsi="Arial"/>
          <w:sz w:val="16"/>
          <w:szCs w:val="16"/>
          <w:color w:val="auto"/>
        </w:rPr>
      </w:pPr>
    </w:p>
    <w:p>
      <w:pPr>
        <w:ind w:right="240" w:firstLine="8"/>
        <w:spacing w:after="0" w:line="250" w:lineRule="auto"/>
        <w:tabs>
          <w:tab w:leader="none" w:pos="3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shares are held by IV LP. IV GP serves as the sole general partner of IV LP and owns no securities of the Issuer directly. Garfinkle, Petersen and McCreadie are managing directors of IV LLC and share voting and dispositive power over the shares held by IV LP.</w:t>
      </w:r>
    </w:p>
    <w:p>
      <w:pPr>
        <w:ind w:right="40" w:firstLine="8"/>
        <w:spacing w:after="0" w:line="260" w:lineRule="auto"/>
        <w:tabs>
          <w:tab w:leader="none" w:pos="3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percentage is calculated based upon 24,335,690 shares of Common Stock outstanding as of November 28, 2018 as set forth in the Issuer’s most recent 10-Q filed with the Securities and Exchange Commission on November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-986790</wp:posOffset>
            </wp:positionV>
            <wp:extent cx="66948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-1535430</wp:posOffset>
            </wp:positionV>
            <wp:extent cx="66948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-2084070</wp:posOffset>
            </wp:positionV>
            <wp:extent cx="66948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-772795</wp:posOffset>
            </wp:positionV>
            <wp:extent cx="18516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35901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315" w:right="1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3260" w:type="dxa"/>
            <w:vAlign w:val="bottom"/>
          </w:tcPr>
          <w:p>
            <w:pPr>
              <w:ind w:left="60"/>
              <w:spacing w:after="0"/>
              <w:rPr>
                <w:sz w:val="20"/>
                <w:szCs w:val="20"/>
                <w:color w:val="auto"/>
              </w:rPr>
            </w:pPr>
            <w:r>
              <w:rPr>
                <w:rFonts w:ascii="Arial" w:cs="Arial" w:eastAsia="Arial" w:hAnsi="Arial"/>
                <w:sz w:val="18"/>
                <w:szCs w:val="18"/>
                <w:color w:val="auto"/>
              </w:rPr>
              <w:t>CUSIP No.</w:t>
            </w:r>
          </w:p>
        </w:tc>
        <w:tc>
          <w:tcPr>
            <w:tcW w:w="8300" w:type="dxa"/>
            <w:vAlign w:val="bottom"/>
          </w:tcPr>
          <w:p>
            <w:pPr>
              <w:ind w:left="2360"/>
              <w:spacing w:after="0"/>
              <w:rPr>
                <w:sz w:val="20"/>
                <w:szCs w:val="20"/>
                <w:color w:val="auto"/>
              </w:rPr>
            </w:pPr>
            <w:r>
              <w:rPr>
                <w:rFonts w:ascii="Arial" w:cs="Arial" w:eastAsia="Arial" w:hAnsi="Arial"/>
                <w:sz w:val="18"/>
                <w:szCs w:val="18"/>
                <w:color w:val="auto"/>
              </w:rPr>
              <w:t>13 G</w:t>
            </w:r>
          </w:p>
        </w:tc>
      </w:tr>
      <w:tr>
        <w:trPr>
          <w:trHeight w:val="54"/>
        </w:trPr>
        <w:tc>
          <w:tcPr>
            <w:tcW w:w="326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r>
    </w:tbl>
    <w:p>
      <w:pPr>
        <w:spacing w:after="0" w:line="364" w:lineRule="exact"/>
        <w:rPr>
          <w:sz w:val="20"/>
          <w:szCs w:val="20"/>
          <w:color w:val="auto"/>
        </w:rPr>
      </w:pPr>
    </w:p>
    <w:p>
      <w:pPr>
        <w:ind w:left="1080" w:right="8420" w:hanging="640"/>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Names of Reporting Persons Paul McCreadie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66948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66" w:lineRule="exact"/>
        <w:rPr>
          <w:sz w:val="20"/>
          <w:szCs w:val="20"/>
          <w:color w:val="auto"/>
        </w:rPr>
      </w:pPr>
    </w:p>
    <w:p>
      <w:pPr>
        <w:ind w:left="1080" w:hanging="640"/>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00" w:hanging="626"/>
        <w:spacing w:after="0"/>
        <w:tabs>
          <w:tab w:leader="none" w:pos="1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00" w:hanging="626"/>
        <w:spacing w:after="0"/>
        <w:tabs>
          <w:tab w:leader="none" w:pos="1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48895</wp:posOffset>
            </wp:positionV>
            <wp:extent cx="62922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-164465</wp:posOffset>
            </wp:positionV>
            <wp:extent cx="62922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80" w:hanging="640"/>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48895</wp:posOffset>
            </wp:positionV>
            <wp:extent cx="66948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80" w:right="7860" w:hanging="640"/>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66948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3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60" w:type="dxa"/>
            <w:vAlign w:val="bottom"/>
            <w:vMerge w:val="continue"/>
          </w:tcPr>
          <w:p>
            <w:pPr>
              <w:spacing w:after="0"/>
              <w:rPr>
                <w:sz w:val="24"/>
                <w:szCs w:val="24"/>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1,695,036 shares of Common Stock (2)</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7</w:t>
            </w: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36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6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8</w:t>
            </w:r>
          </w:p>
        </w:tc>
        <w:tc>
          <w:tcPr>
            <w:tcW w:w="93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60" w:type="dxa"/>
            <w:vAlign w:val="bottom"/>
          </w:tcPr>
          <w:p>
            <w:pPr>
              <w:ind w:left="60"/>
              <w:spacing w:after="0"/>
              <w:rPr>
                <w:sz w:val="20"/>
                <w:szCs w:val="20"/>
                <w:color w:val="auto"/>
              </w:rPr>
            </w:pPr>
            <w:r>
              <w:rPr>
                <w:rFonts w:ascii="Arial" w:cs="Arial" w:eastAsia="Arial" w:hAnsi="Arial"/>
                <w:sz w:val="18"/>
                <w:szCs w:val="18"/>
                <w:color w:val="auto"/>
              </w:rPr>
              <w:t>1,695,036 shares of Common Stock (2)</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80" w:right="5680" w:hanging="640"/>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1,695,036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14605</wp:posOffset>
            </wp:positionV>
            <wp:extent cx="66948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66" w:lineRule="exact"/>
        <w:rPr>
          <w:sz w:val="20"/>
          <w:szCs w:val="20"/>
          <w:color w:val="auto"/>
        </w:rPr>
      </w:pPr>
    </w:p>
    <w:p>
      <w:pPr>
        <w:ind w:left="1080" w:hanging="640"/>
        <w:spacing w:after="0"/>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80" w:right="6820" w:hanging="640"/>
        <w:spacing w:after="0" w:line="277"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9 7.0% (3)</w:t>
      </w:r>
    </w:p>
    <w:p>
      <w:pPr>
        <w:spacing w:after="0" w:line="386" w:lineRule="exact"/>
        <w:rPr>
          <w:rFonts w:ascii="Arial" w:cs="Arial" w:eastAsia="Arial" w:hAnsi="Arial"/>
          <w:sz w:val="18"/>
          <w:szCs w:val="18"/>
          <w:color w:val="auto"/>
        </w:rPr>
      </w:pPr>
    </w:p>
    <w:p>
      <w:pPr>
        <w:ind w:left="1080" w:hanging="640"/>
        <w:spacing w:after="0"/>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360" w:hanging="352"/>
        <w:spacing w:after="0"/>
        <w:tabs>
          <w:tab w:leader="none" w:pos="3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46" w:lineRule="exact"/>
        <w:rPr>
          <w:rFonts w:ascii="Arial" w:cs="Arial" w:eastAsia="Arial" w:hAnsi="Arial"/>
          <w:sz w:val="16"/>
          <w:szCs w:val="16"/>
          <w:color w:val="auto"/>
        </w:rPr>
      </w:pPr>
    </w:p>
    <w:p>
      <w:pPr>
        <w:ind w:right="240" w:firstLine="8"/>
        <w:spacing w:after="0" w:line="250" w:lineRule="auto"/>
        <w:tabs>
          <w:tab w:leader="none" w:pos="3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shares are held by IV LP. IV GP serves as the sole general partner of IV LP and owns no securities of the Issuer directly. Garfinkle, Petersen and McCreadie are managing directors of IV LLC and share voting and dispositive power over the shares held by IV LP.</w:t>
      </w:r>
    </w:p>
    <w:p>
      <w:pPr>
        <w:ind w:right="40" w:firstLine="8"/>
        <w:spacing w:after="0" w:line="260" w:lineRule="auto"/>
        <w:tabs>
          <w:tab w:leader="none" w:pos="3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percentage is calculated based upon 24,335,690 shares of Common Stock outstanding as of November 28, 2018 as set forth in the Issuer’s most recent 10-Q filed with the Securities and Exchange Commission on November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-986790</wp:posOffset>
            </wp:positionV>
            <wp:extent cx="66948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-1535430</wp:posOffset>
            </wp:positionV>
            <wp:extent cx="66948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-2084070</wp:posOffset>
            </wp:positionV>
            <wp:extent cx="66948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-772795</wp:posOffset>
            </wp:positionV>
            <wp:extent cx="18516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35901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315" w:right="179" w:bottom="1440" w:gutter="0" w:footer="0" w:header="0"/>
        </w:sectPr>
      </w:pPr>
    </w:p>
    <w:bookmarkStart w:id="6" w:name="page7"/>
    <w:bookmarkEnd w:id="6"/>
    <w:p>
      <w:pPr>
        <w:ind w:right="200"/>
        <w:spacing w:after="0" w:line="277" w:lineRule="auto"/>
        <w:rPr>
          <w:sz w:val="20"/>
          <w:szCs w:val="20"/>
          <w:color w:val="auto"/>
        </w:rPr>
      </w:pPr>
      <w:r>
        <w:rPr>
          <w:rFonts w:ascii="Arial" w:cs="Arial" w:eastAsia="Arial" w:hAnsi="Arial"/>
          <w:sz w:val="18"/>
          <w:szCs w:val="18"/>
          <w:color w:val="auto"/>
        </w:rPr>
        <w:t>Introductory Note: This Statement on Schedule 13G is filed on behalf of the Reporting Persons, in respect of shares of Common Stock, par value $0.0001 per share (“Common Stock”), of SI-Bone, Inc. (the “Issuer”).</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2020" w:right="8400" w:hanging="1000"/>
        <w:spacing w:after="0" w:line="342" w:lineRule="auto"/>
        <w:tabs>
          <w:tab w:leader="none" w:pos="2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Name of Issuer: SI-Bone, Inc.</w:t>
      </w:r>
    </w:p>
    <w:p>
      <w:pPr>
        <w:spacing w:after="0" w:line="29" w:lineRule="exact"/>
        <w:rPr>
          <w:rFonts w:ascii="Arial" w:cs="Arial" w:eastAsia="Arial" w:hAnsi="Arial"/>
          <w:sz w:val="16"/>
          <w:szCs w:val="16"/>
          <w:color w:val="auto"/>
        </w:rPr>
      </w:pPr>
    </w:p>
    <w:p>
      <w:pPr>
        <w:ind w:left="2020" w:right="6080"/>
        <w:spacing w:after="0" w:line="258" w:lineRule="auto"/>
        <w:rPr>
          <w:rFonts w:ascii="Arial" w:cs="Arial" w:eastAsia="Arial" w:hAnsi="Arial"/>
          <w:sz w:val="16"/>
          <w:szCs w:val="16"/>
          <w:color w:val="auto"/>
        </w:rPr>
      </w:pPr>
      <w:r>
        <w:rPr>
          <w:rFonts w:ascii="Arial" w:cs="Arial" w:eastAsia="Arial" w:hAnsi="Arial"/>
          <w:sz w:val="18"/>
          <w:szCs w:val="18"/>
          <w:color w:val="auto"/>
        </w:rPr>
        <w:t>Address of Issuer’s Principal Executive Offices: 471 El Camino Real, Suite 101</w:t>
      </w:r>
    </w:p>
    <w:p>
      <w:pPr>
        <w:spacing w:after="0" w:line="1" w:lineRule="exact"/>
        <w:rPr>
          <w:rFonts w:ascii="Arial" w:cs="Arial" w:eastAsia="Arial" w:hAnsi="Arial"/>
          <w:sz w:val="16"/>
          <w:szCs w:val="16"/>
          <w:color w:val="auto"/>
        </w:rPr>
      </w:pPr>
    </w:p>
    <w:p>
      <w:pPr>
        <w:ind w:left="2020"/>
        <w:spacing w:after="0"/>
        <w:rPr>
          <w:rFonts w:ascii="Arial" w:cs="Arial" w:eastAsia="Arial" w:hAnsi="Arial"/>
          <w:sz w:val="16"/>
          <w:szCs w:val="16"/>
          <w:color w:val="auto"/>
        </w:rPr>
      </w:pPr>
      <w:r>
        <w:rPr>
          <w:rFonts w:ascii="Arial" w:cs="Arial" w:eastAsia="Arial" w:hAnsi="Arial"/>
          <w:sz w:val="18"/>
          <w:szCs w:val="18"/>
          <w:color w:val="auto"/>
        </w:rPr>
        <w:t>Santa Clara, CA 95050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40005</wp:posOffset>
            </wp:positionV>
            <wp:extent cx="60947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-447675</wp:posOffset>
            </wp:positionV>
            <wp:extent cx="60947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9473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2040" w:hanging="507"/>
        <w:spacing w:after="0"/>
        <w:tabs>
          <w:tab w:leader="none" w:pos="2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 of Person(s) Filing:</w:t>
      </w:r>
    </w:p>
    <w:p>
      <w:pPr>
        <w:spacing w:after="0" w:line="23"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Arboretum Ventures IV, L.P. (“IV LP”)</w:t>
      </w:r>
    </w:p>
    <w:p>
      <w:pPr>
        <w:spacing w:after="0" w:line="9" w:lineRule="exact"/>
        <w:rPr>
          <w:rFonts w:ascii="Arial" w:cs="Arial" w:eastAsia="Arial" w:hAnsi="Arial"/>
          <w:sz w:val="18"/>
          <w:szCs w:val="18"/>
          <w:color w:val="auto"/>
        </w:rPr>
      </w:pPr>
    </w:p>
    <w:p>
      <w:pPr>
        <w:ind w:left="2040" w:right="5600"/>
        <w:spacing w:after="0" w:line="250" w:lineRule="auto"/>
        <w:rPr>
          <w:rFonts w:ascii="Arial" w:cs="Arial" w:eastAsia="Arial" w:hAnsi="Arial"/>
          <w:sz w:val="18"/>
          <w:szCs w:val="18"/>
          <w:color w:val="auto"/>
        </w:rPr>
      </w:pPr>
      <w:r>
        <w:rPr>
          <w:rFonts w:ascii="Arial" w:cs="Arial" w:eastAsia="Arial" w:hAnsi="Arial"/>
          <w:sz w:val="18"/>
          <w:szCs w:val="18"/>
          <w:color w:val="auto"/>
        </w:rPr>
        <w:t>Arboretum Investment Manager IV, LLC (“IV LLC”) Jan L. Garfinkle (“Garfinkle”)</w:t>
      </w:r>
    </w:p>
    <w:p>
      <w:pPr>
        <w:ind w:left="2040" w:right="7100"/>
        <w:spacing w:after="0" w:line="323" w:lineRule="auto"/>
        <w:rPr>
          <w:rFonts w:ascii="Arial" w:cs="Arial" w:eastAsia="Arial" w:hAnsi="Arial"/>
          <w:sz w:val="18"/>
          <w:szCs w:val="18"/>
          <w:color w:val="auto"/>
        </w:rPr>
      </w:pPr>
      <w:r>
        <w:rPr>
          <w:rFonts w:ascii="Arial" w:cs="Arial" w:eastAsia="Arial" w:hAnsi="Arial"/>
          <w:sz w:val="16"/>
          <w:szCs w:val="16"/>
          <w:color w:val="auto"/>
        </w:rPr>
        <w:t>Timothy B. Petersen (“Petersen”) Paul McCreadie (“McCreadie”)</w:t>
      </w:r>
    </w:p>
    <w:p>
      <w:pPr>
        <w:spacing w:after="0" w:line="43" w:lineRule="exact"/>
        <w:rPr>
          <w:rFonts w:ascii="Arial" w:cs="Arial" w:eastAsia="Arial" w:hAnsi="Arial"/>
          <w:sz w:val="18"/>
          <w:szCs w:val="18"/>
          <w:color w:val="auto"/>
        </w:rPr>
      </w:pPr>
    </w:p>
    <w:p>
      <w:pPr>
        <w:ind w:left="2040" w:right="6800" w:hanging="507"/>
        <w:spacing w:after="0" w:line="258" w:lineRule="auto"/>
        <w:tabs>
          <w:tab w:leader="none" w:pos="2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Address of Principal Business Office: c/o Arboretum Ventures</w:t>
      </w:r>
    </w:p>
    <w:p>
      <w:pPr>
        <w:spacing w:after="0" w:line="1"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Market Place Building</w:t>
      </w:r>
    </w:p>
    <w:p>
      <w:pPr>
        <w:spacing w:after="0" w:line="9" w:lineRule="exact"/>
        <w:rPr>
          <w:rFonts w:ascii="Arial" w:cs="Arial" w:eastAsia="Arial" w:hAnsi="Arial"/>
          <w:sz w:val="18"/>
          <w:szCs w:val="18"/>
          <w:color w:val="auto"/>
        </w:rPr>
      </w:pPr>
    </w:p>
    <w:p>
      <w:pPr>
        <w:ind w:left="2040" w:right="7440"/>
        <w:spacing w:after="0" w:line="260" w:lineRule="auto"/>
        <w:rPr>
          <w:rFonts w:ascii="Arial" w:cs="Arial" w:eastAsia="Arial" w:hAnsi="Arial"/>
          <w:sz w:val="18"/>
          <w:szCs w:val="18"/>
          <w:color w:val="auto"/>
        </w:rPr>
      </w:pPr>
      <w:r>
        <w:rPr>
          <w:rFonts w:ascii="Arial" w:cs="Arial" w:eastAsia="Arial" w:hAnsi="Arial"/>
          <w:sz w:val="18"/>
          <w:szCs w:val="18"/>
          <w:color w:val="auto"/>
        </w:rPr>
        <w:t>303 Detroit Street, Suite 301 Ann Arbor, MI 48104</w:t>
      </w:r>
    </w:p>
    <w:p>
      <w:pPr>
        <w:spacing w:after="0" w:line="90" w:lineRule="exact"/>
        <w:rPr>
          <w:rFonts w:ascii="Arial" w:cs="Arial" w:eastAsia="Arial" w:hAnsi="Arial"/>
          <w:sz w:val="18"/>
          <w:szCs w:val="18"/>
          <w:color w:val="auto"/>
        </w:rPr>
      </w:pPr>
    </w:p>
    <w:p>
      <w:pPr>
        <w:ind w:left="2040" w:hanging="507"/>
        <w:spacing w:after="0"/>
        <w:tabs>
          <w:tab w:leader="none" w:pos="2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-164465</wp:posOffset>
            </wp:positionV>
            <wp:extent cx="60775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-927735</wp:posOffset>
            </wp:positionV>
            <wp:extent cx="60775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pacing w:after="0" w:line="43"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1380" w:type="dxa"/>
            <w:vAlign w:val="bottom"/>
          </w:tcPr>
          <w:p>
            <w:pPr>
              <w:ind w:left="40"/>
              <w:spacing w:after="0"/>
              <w:rPr>
                <w:sz w:val="20"/>
                <w:szCs w:val="20"/>
                <w:color w:val="auto"/>
              </w:rPr>
            </w:pPr>
            <w:r>
              <w:rPr>
                <w:rFonts w:ascii="Arial" w:cs="Arial" w:eastAsia="Arial" w:hAnsi="Arial"/>
                <w:sz w:val="18"/>
                <w:szCs w:val="18"/>
                <w:color w:val="auto"/>
              </w:rPr>
              <w:t>Entities:</w:t>
            </w:r>
          </w:p>
        </w:tc>
        <w:tc>
          <w:tcPr>
            <w:tcW w:w="1760" w:type="dxa"/>
            <w:vAlign w:val="bottom"/>
          </w:tcPr>
          <w:p>
            <w:pPr>
              <w:ind w:left="460"/>
              <w:spacing w:after="0"/>
              <w:rPr>
                <w:sz w:val="20"/>
                <w:szCs w:val="20"/>
                <w:color w:val="auto"/>
              </w:rPr>
            </w:pPr>
            <w:r>
              <w:rPr>
                <w:rFonts w:ascii="Arial" w:cs="Arial" w:eastAsia="Arial" w:hAnsi="Arial"/>
                <w:sz w:val="18"/>
                <w:szCs w:val="18"/>
                <w:color w:val="auto"/>
              </w:rPr>
              <w:t>IV LP</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580" w:type="dxa"/>
            <w:vAlign w:val="bottom"/>
          </w:tcPr>
          <w:p>
            <w:pPr>
              <w:ind w:left="260"/>
              <w:spacing w:after="0"/>
              <w:rPr>
                <w:sz w:val="20"/>
                <w:szCs w:val="20"/>
                <w:color w:val="auto"/>
              </w:rPr>
            </w:pPr>
            <w:r>
              <w:rPr>
                <w:rFonts w:ascii="Arial" w:cs="Arial" w:eastAsia="Arial" w:hAnsi="Arial"/>
                <w:sz w:val="18"/>
                <w:szCs w:val="18"/>
                <w:color w:val="auto"/>
              </w:rPr>
              <w:t>Delaware, United States of America</w:t>
            </w:r>
          </w:p>
        </w:tc>
      </w:tr>
      <w:tr>
        <w:trPr>
          <w:trHeight w:val="230"/>
        </w:trPr>
        <w:tc>
          <w:tcPr>
            <w:tcW w:w="1380" w:type="dxa"/>
            <w:vAlign w:val="bottom"/>
          </w:tcPr>
          <w:p>
            <w:pPr>
              <w:spacing w:after="0"/>
              <w:rPr>
                <w:sz w:val="20"/>
                <w:szCs w:val="20"/>
                <w:color w:val="auto"/>
              </w:rPr>
            </w:pPr>
          </w:p>
        </w:tc>
        <w:tc>
          <w:tcPr>
            <w:tcW w:w="1760" w:type="dxa"/>
            <w:vAlign w:val="bottom"/>
          </w:tcPr>
          <w:p>
            <w:pPr>
              <w:ind w:left="460"/>
              <w:spacing w:after="0"/>
              <w:rPr>
                <w:sz w:val="20"/>
                <w:szCs w:val="20"/>
                <w:color w:val="auto"/>
              </w:rPr>
            </w:pPr>
            <w:r>
              <w:rPr>
                <w:rFonts w:ascii="Arial" w:cs="Arial" w:eastAsia="Arial" w:hAnsi="Arial"/>
                <w:sz w:val="18"/>
                <w:szCs w:val="18"/>
                <w:color w:val="auto"/>
              </w:rPr>
              <w:t>IV LLC</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580" w:type="dxa"/>
            <w:vAlign w:val="bottom"/>
          </w:tcPr>
          <w:p>
            <w:pPr>
              <w:ind w:left="260"/>
              <w:spacing w:after="0"/>
              <w:rPr>
                <w:sz w:val="20"/>
                <w:szCs w:val="20"/>
                <w:color w:val="auto"/>
              </w:rPr>
            </w:pPr>
            <w:r>
              <w:rPr>
                <w:rFonts w:ascii="Arial" w:cs="Arial" w:eastAsia="Arial" w:hAnsi="Arial"/>
                <w:sz w:val="18"/>
                <w:szCs w:val="18"/>
                <w:color w:val="auto"/>
              </w:rPr>
              <w:t>Delaware, United States of America</w:t>
            </w:r>
          </w:p>
        </w:tc>
      </w:tr>
      <w:tr>
        <w:trPr>
          <w:trHeight w:val="418"/>
        </w:trPr>
        <w:tc>
          <w:tcPr>
            <w:tcW w:w="1380" w:type="dxa"/>
            <w:vAlign w:val="bottom"/>
          </w:tcPr>
          <w:p>
            <w:pPr>
              <w:ind w:left="40"/>
              <w:spacing w:after="0"/>
              <w:rPr>
                <w:sz w:val="20"/>
                <w:szCs w:val="20"/>
                <w:color w:val="auto"/>
              </w:rPr>
            </w:pPr>
            <w:r>
              <w:rPr>
                <w:rFonts w:ascii="Arial" w:cs="Arial" w:eastAsia="Arial" w:hAnsi="Arial"/>
                <w:sz w:val="18"/>
                <w:szCs w:val="18"/>
                <w:color w:val="auto"/>
              </w:rPr>
              <w:t>Individuals:</w:t>
            </w:r>
          </w:p>
        </w:tc>
        <w:tc>
          <w:tcPr>
            <w:tcW w:w="1760" w:type="dxa"/>
            <w:vAlign w:val="bottom"/>
          </w:tcPr>
          <w:p>
            <w:pPr>
              <w:ind w:left="460"/>
              <w:spacing w:after="0"/>
              <w:rPr>
                <w:sz w:val="20"/>
                <w:szCs w:val="20"/>
                <w:color w:val="auto"/>
              </w:rPr>
            </w:pPr>
            <w:r>
              <w:rPr>
                <w:rFonts w:ascii="Arial" w:cs="Arial" w:eastAsia="Arial" w:hAnsi="Arial"/>
                <w:sz w:val="18"/>
                <w:szCs w:val="18"/>
                <w:color w:val="auto"/>
              </w:rPr>
              <w:t>Garfinkle</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580" w:type="dxa"/>
            <w:vAlign w:val="bottom"/>
          </w:tcPr>
          <w:p>
            <w:pPr>
              <w:ind w:left="260"/>
              <w:spacing w:after="0"/>
              <w:rPr>
                <w:sz w:val="20"/>
                <w:szCs w:val="20"/>
                <w:color w:val="auto"/>
              </w:rPr>
            </w:pPr>
            <w:r>
              <w:rPr>
                <w:rFonts w:ascii="Arial" w:cs="Arial" w:eastAsia="Arial" w:hAnsi="Arial"/>
                <w:sz w:val="18"/>
                <w:szCs w:val="18"/>
                <w:color w:val="auto"/>
              </w:rPr>
              <w:t>United States of America</w:t>
            </w:r>
          </w:p>
        </w:tc>
      </w:tr>
      <w:tr>
        <w:trPr>
          <w:trHeight w:val="216"/>
        </w:trPr>
        <w:tc>
          <w:tcPr>
            <w:tcW w:w="1380" w:type="dxa"/>
            <w:vAlign w:val="bottom"/>
          </w:tcPr>
          <w:p>
            <w:pPr>
              <w:spacing w:after="0"/>
              <w:rPr>
                <w:sz w:val="18"/>
                <w:szCs w:val="18"/>
                <w:color w:val="auto"/>
              </w:rPr>
            </w:pPr>
          </w:p>
        </w:tc>
        <w:tc>
          <w:tcPr>
            <w:tcW w:w="1760" w:type="dxa"/>
            <w:vAlign w:val="bottom"/>
          </w:tcPr>
          <w:p>
            <w:pPr>
              <w:ind w:left="460"/>
              <w:spacing w:after="0"/>
              <w:rPr>
                <w:sz w:val="20"/>
                <w:szCs w:val="20"/>
                <w:color w:val="auto"/>
              </w:rPr>
            </w:pPr>
            <w:r>
              <w:rPr>
                <w:rFonts w:ascii="Arial" w:cs="Arial" w:eastAsia="Arial" w:hAnsi="Arial"/>
                <w:sz w:val="18"/>
                <w:szCs w:val="18"/>
                <w:color w:val="auto"/>
              </w:rPr>
              <w:t>Petersen</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580" w:type="dxa"/>
            <w:vAlign w:val="bottom"/>
          </w:tcPr>
          <w:p>
            <w:pPr>
              <w:ind w:left="260"/>
              <w:spacing w:after="0"/>
              <w:rPr>
                <w:sz w:val="20"/>
                <w:szCs w:val="20"/>
                <w:color w:val="auto"/>
              </w:rPr>
            </w:pPr>
            <w:r>
              <w:rPr>
                <w:rFonts w:ascii="Arial" w:cs="Arial" w:eastAsia="Arial" w:hAnsi="Arial"/>
                <w:sz w:val="18"/>
                <w:szCs w:val="18"/>
                <w:color w:val="auto"/>
              </w:rPr>
              <w:t>United States of America</w:t>
            </w:r>
          </w:p>
        </w:tc>
      </w:tr>
      <w:tr>
        <w:trPr>
          <w:trHeight w:val="230"/>
        </w:trPr>
        <w:tc>
          <w:tcPr>
            <w:tcW w:w="13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McCreadie</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55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United States of America</w:t>
            </w:r>
          </w:p>
        </w:tc>
      </w:tr>
    </w:tbl>
    <w:p>
      <w:pPr>
        <w:spacing w:after="0" w:line="40" w:lineRule="exact"/>
        <w:rPr>
          <w:sz w:val="20"/>
          <w:szCs w:val="20"/>
          <w:color w:val="auto"/>
        </w:rPr>
      </w:pPr>
    </w:p>
    <w:p>
      <w:pPr>
        <w:ind w:left="2040" w:right="7560" w:hanging="507"/>
        <w:spacing w:after="0" w:line="342" w:lineRule="auto"/>
        <w:tabs>
          <w:tab w:leader="none" w:pos="2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2040" w:right="8320" w:hanging="507"/>
        <w:spacing w:after="0" w:line="342" w:lineRule="auto"/>
        <w:tabs>
          <w:tab w:leader="none" w:pos="2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CUSIP Number: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-14605</wp:posOffset>
            </wp:positionV>
            <wp:extent cx="60775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-366395</wp:posOffset>
            </wp:positionV>
            <wp:extent cx="60775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pacing w:after="0" w:line="329" w:lineRule="exact"/>
        <w:rPr>
          <w:sz w:val="20"/>
          <w:szCs w:val="20"/>
          <w:color w:val="auto"/>
        </w:rPr>
      </w:pPr>
    </w:p>
    <w:p>
      <w:pPr>
        <w:ind w:left="60"/>
        <w:spacing w:after="0"/>
        <w:tabs>
          <w:tab w:leader="none" w:pos="2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color w:val="auto"/>
        </w:rPr>
        <w:t>Not applicable.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35901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1" w:right="179" w:bottom="1440" w:gutter="0" w:footer="0" w:header="0"/>
        </w:sectPr>
      </w:pPr>
    </w:p>
    <w:bookmarkStart w:id="7" w:name="page8"/>
    <w:bookmarkEnd w:id="7"/>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r>
        <w:rPr>
          <w:rFonts w:ascii="Arial" w:cs="Arial" w:eastAsia="Arial" w:hAnsi="Arial"/>
          <w:sz w:val="16"/>
          <w:szCs w:val="16"/>
          <w:color w:val="auto"/>
        </w:rPr>
        <w:t>.</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information with respect to the ownership of the Common Stock by the Reporting Persons filing this statement on Schedule 13G is provided as of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 Held</w:t>
            </w:r>
          </w:p>
        </w:tc>
        <w:tc>
          <w:tcPr>
            <w:tcW w:w="13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Sole Voting</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Shared</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Sole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Shared</w:t>
            </w:r>
          </w:p>
        </w:tc>
        <w:tc>
          <w:tcPr>
            <w:tcW w:w="13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Beneficial</w:t>
            </w:r>
          </w:p>
        </w:tc>
        <w:tc>
          <w:tcPr>
            <w:tcW w:w="13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Persons</w:t>
            </w:r>
          </w:p>
        </w:tc>
        <w:tc>
          <w:tcPr>
            <w:tcW w:w="260" w:type="dxa"/>
            <w:vAlign w:val="bottom"/>
            <w:vMerge w:val="restart"/>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Voting</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Dispositive</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Dispositive</w:t>
            </w:r>
          </w:p>
        </w:tc>
        <w:tc>
          <w:tcPr>
            <w:tcW w:w="138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Directly</w:t>
            </w: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Power</w:t>
            </w: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Ownership</w:t>
            </w: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of Class (2)</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IV LP (1)</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1,695,036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1,695,036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1,695,036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1,695,036</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IV LLC</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1,695,036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1,695,036</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1,695,036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Garfinkle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1,695,036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1,695,036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1,695,036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2"/>
        </w:trPr>
        <w:tc>
          <w:tcPr>
            <w:tcW w:w="2000" w:type="dxa"/>
            <w:vAlign w:val="bottom"/>
            <w:gridSpan w:val="2"/>
          </w:tcPr>
          <w:p>
            <w:pPr>
              <w:spacing w:after="0" w:line="201" w:lineRule="exact"/>
              <w:rPr>
                <w:sz w:val="20"/>
                <w:szCs w:val="20"/>
                <w:color w:val="auto"/>
              </w:rPr>
            </w:pPr>
            <w:r>
              <w:rPr>
                <w:rFonts w:ascii="Arial" w:cs="Arial" w:eastAsia="Arial" w:hAnsi="Arial"/>
                <w:sz w:val="18"/>
                <w:szCs w:val="18"/>
                <w:color w:val="auto"/>
              </w:rPr>
              <w:t>Petersen</w:t>
            </w: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1,695,036</w:t>
            </w:r>
          </w:p>
        </w:tc>
        <w:tc>
          <w:tcPr>
            <w:tcW w:w="13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0</w:t>
            </w:r>
          </w:p>
        </w:tc>
        <w:tc>
          <w:tcPr>
            <w:tcW w:w="138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1,695,036</w:t>
            </w:r>
          </w:p>
        </w:tc>
        <w:tc>
          <w:tcPr>
            <w:tcW w:w="13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1,695,036</w:t>
            </w:r>
          </w:p>
        </w:tc>
        <w:tc>
          <w:tcPr>
            <w:tcW w:w="13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00" w:type="dxa"/>
            <w:vAlign w:val="bottom"/>
            <w:gridSpan w:val="2"/>
          </w:tcPr>
          <w:p>
            <w:pPr>
              <w:spacing w:after="0"/>
              <w:rPr>
                <w:sz w:val="20"/>
                <w:szCs w:val="20"/>
                <w:color w:val="auto"/>
              </w:rPr>
            </w:pPr>
            <w:r>
              <w:rPr>
                <w:rFonts w:ascii="Arial" w:cs="Arial" w:eastAsia="Arial" w:hAnsi="Arial"/>
                <w:sz w:val="18"/>
                <w:szCs w:val="18"/>
                <w:color w:val="auto"/>
              </w:rPr>
              <w:t>McCreadie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1,695,036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1,695,036</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1,695,036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516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right="180" w:hanging="252"/>
        <w:spacing w:after="0" w:line="277" w:lineRule="auto"/>
        <w:tabs>
          <w:tab w:leader="none" w:pos="267" w:val="left"/>
        </w:tabs>
        <w:numPr>
          <w:ilvl w:val="0"/>
          <w:numId w:val="40"/>
        </w:numPr>
        <w:rPr>
          <w:rFonts w:ascii="Arial" w:cs="Arial" w:eastAsia="Arial" w:hAnsi="Arial"/>
          <w:sz w:val="18"/>
          <w:szCs w:val="18"/>
          <w:color w:val="auto"/>
        </w:rPr>
      </w:pPr>
      <w:r>
        <w:rPr>
          <w:rFonts w:ascii="Arial" w:cs="Arial" w:eastAsia="Arial" w:hAnsi="Arial"/>
          <w:sz w:val="18"/>
          <w:szCs w:val="18"/>
          <w:color w:val="auto"/>
        </w:rPr>
        <w:t>IV GP serves as the sole general partner of IV LP and owns no securities of the Issuer directly. Garfinkle, Petersen and McCreadie are managing directors of IV LLC and share voting and dispositive power over the shares held by IV LP.</w:t>
      </w:r>
    </w:p>
    <w:p>
      <w:pPr>
        <w:spacing w:after="0" w:line="170" w:lineRule="exact"/>
        <w:rPr>
          <w:rFonts w:ascii="Arial" w:cs="Arial" w:eastAsia="Arial" w:hAnsi="Arial"/>
          <w:sz w:val="18"/>
          <w:szCs w:val="18"/>
          <w:color w:val="auto"/>
        </w:rPr>
      </w:pPr>
    </w:p>
    <w:p>
      <w:pPr>
        <w:ind w:left="260" w:right="120" w:hanging="252"/>
        <w:spacing w:after="0" w:line="277" w:lineRule="auto"/>
        <w:tabs>
          <w:tab w:leader="none" w:pos="2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percentage is calculated based upon 24,335,690 shares of Common Stock outstanding as of November 28, 2018 as set forth in the Issuer’s most recent 10-Q filed with the Securities and Exchange Commission on November 29, 2018.</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r>
        <w:rPr>
          <w:rFonts w:ascii="Arial" w:cs="Arial" w:eastAsia="Arial" w:hAnsi="Arial"/>
          <w:sz w:val="16"/>
          <w:szCs w:val="16"/>
          <w:color w:val="auto"/>
        </w:rPr>
        <w:t>.</w:t>
      </w:r>
    </w:p>
    <w:p>
      <w:pPr>
        <w:spacing w:after="0" w:line="229" w:lineRule="exact"/>
        <w:rPr>
          <w:sz w:val="20"/>
          <w:szCs w:val="20"/>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highlight w:val="black"/>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r>
        <w:rPr>
          <w:rFonts w:ascii="Arial" w:cs="Arial" w:eastAsia="Arial" w:hAnsi="Arial"/>
          <w:sz w:val="16"/>
          <w:szCs w:val="16"/>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Items 2(a) and 4.</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r>
        <w:rPr>
          <w:rFonts w:ascii="Arial" w:cs="Arial" w:eastAsia="Arial" w:hAnsi="Arial"/>
          <w:sz w:val="16"/>
          <w:szCs w:val="16"/>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r>
        <w:rPr>
          <w:rFonts w:ascii="Arial" w:cs="Arial" w:eastAsia="Arial" w:hAnsi="Arial"/>
          <w:sz w:val="16"/>
          <w:szCs w:val="16"/>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35901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57" w:right="179" w:bottom="1440" w:gutter="0" w:footer="0" w:header="0"/>
        </w:sectPr>
      </w:pPr>
    </w:p>
    <w:bookmarkStart w:id="8" w:name="page9"/>
    <w:bookmarkEnd w:id="8"/>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r>
        <w:rPr>
          <w:rFonts w:ascii="Arial" w:cs="Arial" w:eastAsia="Arial" w:hAnsi="Arial"/>
          <w:sz w:val="16"/>
          <w:szCs w:val="16"/>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ARBORETUM VENTURES IV L.P.</w:t>
      </w:r>
    </w:p>
    <w:p>
      <w:pPr>
        <w:spacing w:after="0" w:line="2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Arboretum Investment Manager IV, LLC</w:t>
      </w:r>
    </w:p>
    <w:p>
      <w:pPr>
        <w:spacing w:after="0" w:line="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Jan L.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686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Jan L. Garfinkle,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ARBORETUM INVESTMENT MANAGER IV, LLC</w:t>
      </w:r>
    </w:p>
    <w:p>
      <w:pPr>
        <w:spacing w:after="0" w:line="22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Jan L.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686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Jan L. Garfinkle, Managing 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Jan L.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690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 L. GARFINKLE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Timothy B.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690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B. PETERSEN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Paul Mccreadie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69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MCCREADIE</w:t>
      </w:r>
    </w:p>
    <w:p>
      <w:pPr>
        <w:spacing w:after="0" w:line="22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35901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060"/>
          </w:cols>
          <w:pgMar w:left="160" w:top="257" w:right="6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Joint Filing Statement</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35901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0299"/>
          </w:cols>
          <w:pgMar w:left="160" w:top="257" w:right="1440"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JOINT FILING STATEMENT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the undersigned, hereby express our agreement that the attached Schedule 13G (or any amendments thereto) relating to the Common Stock of SI-Bone,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 filed on behalf of each of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ARBORETUM VENTURES IV L.P.</w:t>
      </w:r>
    </w:p>
    <w:p>
      <w:pPr>
        <w:spacing w:after="0" w:line="2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Arboretum Investment Manager IV, LLC</w:t>
      </w:r>
    </w:p>
    <w:p>
      <w:pPr>
        <w:spacing w:after="0" w:line="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Jan L.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686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Jan L. Garfinkle, Managing Director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ARBORETUM INVESTMENT MANAGER IV, LLC</w:t>
      </w:r>
    </w:p>
    <w:p>
      <w:pPr>
        <w:spacing w:after="0" w:line="22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Jan L.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3686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Jan L. Garfinkle, Managing 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Jan L.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690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 L. GARFINKLE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Timothy B.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690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B. PETERSEN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Paul Mccreadie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690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MCCREADIE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35901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sectPr>
      <w:pgSz w:w="11900" w:h="16838" w:orient="portrait"/>
      <w:cols w:equalWidth="0" w:num="1">
        <w:col w:w="11540"/>
      </w:cols>
      <w:pgMar w:left="160" w:top="26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o"/>
      <w:numFmt w:val="bullet"/>
      <w:start w:val="1"/>
    </w:lvl>
  </w:abstractNum>
  <w:abstractNum w:abstractNumId="1">
    <w:nsid w:val="628C895D"/>
    <w:multiLevelType w:val="hybridMultilevel"/>
    <w:lvl w:ilvl="0">
      <w:lvlJc w:val="left"/>
      <w:lvlText w:val="1"/>
      <w:numFmt w:val="bullet"/>
      <w:start w:val="1"/>
    </w:lvl>
  </w:abstractNum>
  <w:abstractNum w:abstractNumId="2">
    <w:nsid w:val="333AB105"/>
    <w:multiLevelType w:val="hybridMultilevel"/>
    <w:lvl w:ilvl="0">
      <w:lvlJc w:val="left"/>
      <w:lvlText w:val="2"/>
      <w:numFmt w:val="bullet"/>
      <w:start w:val="1"/>
    </w:lvl>
    <w:lvl w:ilvl="1">
      <w:lvlJc w:val="left"/>
      <w:lvlText w:val="(%2)"/>
      <w:numFmt w:val="lowerLetter"/>
      <w:start w:val="1"/>
    </w:lvl>
  </w:abstractNum>
  <w:abstractNum w:abstractNumId="3">
    <w:nsid w:val="721DA317"/>
    <w:multiLevelType w:val="hybridMultilevel"/>
    <w:lvl w:ilvl="0">
      <w:lvlJc w:val="left"/>
      <w:lvlText w:val="3"/>
      <w:numFmt w:val="bullet"/>
      <w:start w:val="1"/>
    </w:lvl>
  </w:abstractNum>
  <w:abstractNum w:abstractNumId="4">
    <w:nsid w:val="2443A858"/>
    <w:multiLevelType w:val="hybridMultilevel"/>
    <w:lvl w:ilvl="0">
      <w:lvlJc w:val="left"/>
      <w:lvlText w:val="4"/>
      <w:numFmt w:val="bullet"/>
      <w:start w:val="1"/>
    </w:lvl>
  </w:abstractNum>
  <w:abstractNum w:abstractNumId="5">
    <w:nsid w:val="2D1D5AE9"/>
    <w:multiLevelType w:val="hybridMultilevel"/>
    <w:lvl w:ilvl="0">
      <w:lvlJc w:val="left"/>
      <w:lvlText w:val="9"/>
      <w:numFmt w:val="bullet"/>
      <w:start w:val="1"/>
    </w:lvl>
  </w:abstractNum>
  <w:abstractNum w:abstractNumId="6">
    <w:nsid w:val="6763845E"/>
    <w:multiLevelType w:val="hybridMultilevel"/>
    <w:lvl w:ilvl="0">
      <w:lvlJc w:val="left"/>
      <w:lvlText w:val="%1"/>
      <w:numFmt w:val="decimal"/>
      <w:start w:val="1"/>
    </w:lvl>
    <w:lvl w:ilvl="1">
      <w:lvlJc w:val="left"/>
      <w:lvlText w:val="%2"/>
      <w:numFmt w:val="decimal"/>
      <w:start w:val="10"/>
    </w:lvl>
  </w:abstractNum>
  <w:abstractNum w:abstractNumId="7">
    <w:nsid w:val="75A2A8D4"/>
    <w:multiLevelType w:val="hybridMultilevel"/>
    <w:lvl w:ilvl="0">
      <w:lvlJc w:val="left"/>
      <w:lvlText w:val="(%1)"/>
      <w:numFmt w:val="decimal"/>
      <w:start w:val="1"/>
    </w:lvl>
    <w:lvl w:ilvl="1">
      <w:lvlJc w:val="left"/>
      <w:lvlText w:val="%2"/>
      <w:numFmt w:val="decimal"/>
      <w:start w:val="1"/>
    </w:lvl>
  </w:abstractNum>
  <w:abstractNum w:abstractNumId="8">
    <w:nsid w:val="8EDBDAB"/>
    <w:multiLevelType w:val="hybridMultilevel"/>
    <w:lvl w:ilvl="0">
      <w:lvlJc w:val="left"/>
      <w:lvlText w:val="1"/>
      <w:numFmt w:val="bullet"/>
      <w:start w:val="1"/>
    </w:lvl>
  </w:abstractNum>
  <w:abstractNum w:abstractNumId="9">
    <w:nsid w:val="79838CB2"/>
    <w:multiLevelType w:val="hybridMultilevel"/>
    <w:lvl w:ilvl="0">
      <w:lvlJc w:val="left"/>
      <w:lvlText w:val="2"/>
      <w:numFmt w:val="bullet"/>
      <w:start w:val="1"/>
    </w:lvl>
    <w:lvl w:ilvl="1">
      <w:lvlJc w:val="left"/>
      <w:lvlText w:val="(%2)"/>
      <w:numFmt w:val="lowerLetter"/>
      <w:start w:val="1"/>
    </w:lvl>
  </w:abstractNum>
  <w:abstractNum w:abstractNumId="10">
    <w:nsid w:val="4353D0CD"/>
    <w:multiLevelType w:val="hybridMultilevel"/>
    <w:lvl w:ilvl="0">
      <w:lvlJc w:val="left"/>
      <w:lvlText w:val="3"/>
      <w:numFmt w:val="bullet"/>
      <w:start w:val="1"/>
    </w:lvl>
  </w:abstractNum>
  <w:abstractNum w:abstractNumId="11">
    <w:nsid w:val="B03E0C6"/>
    <w:multiLevelType w:val="hybridMultilevel"/>
    <w:lvl w:ilvl="0">
      <w:lvlJc w:val="left"/>
      <w:lvlText w:val="4"/>
      <w:numFmt w:val="bullet"/>
      <w:start w:val="1"/>
    </w:lvl>
  </w:abstractNum>
  <w:abstractNum w:abstractNumId="12">
    <w:nsid w:val="189A769B"/>
    <w:multiLevelType w:val="hybridMultilevel"/>
    <w:lvl w:ilvl="0">
      <w:lvlJc w:val="left"/>
      <w:lvlText w:val="9"/>
      <w:numFmt w:val="bullet"/>
      <w:start w:val="1"/>
    </w:lvl>
  </w:abstractNum>
  <w:abstractNum w:abstractNumId="13">
    <w:nsid w:val="54E49EB4"/>
    <w:multiLevelType w:val="hybridMultilevel"/>
    <w:lvl w:ilvl="0">
      <w:lvlJc w:val="left"/>
      <w:lvlText w:val="%1"/>
      <w:numFmt w:val="decimal"/>
      <w:start w:val="1"/>
    </w:lvl>
    <w:lvl w:ilvl="1">
      <w:lvlJc w:val="left"/>
      <w:lvlText w:val="%2"/>
      <w:numFmt w:val="decimal"/>
      <w:start w:val="10"/>
    </w:lvl>
  </w:abstractNum>
  <w:abstractNum w:abstractNumId="14">
    <w:nsid w:val="71F32454"/>
    <w:multiLevelType w:val="hybridMultilevel"/>
    <w:lvl w:ilvl="0">
      <w:lvlJc w:val="left"/>
      <w:lvlText w:val="(%1)"/>
      <w:numFmt w:val="decimal"/>
      <w:start w:val="1"/>
    </w:lvl>
    <w:lvl w:ilvl="1">
      <w:lvlJc w:val="left"/>
      <w:lvlText w:val="%2"/>
      <w:numFmt w:val="decimal"/>
      <w:start w:val="1"/>
    </w:lvl>
  </w:abstractNum>
  <w:abstractNum w:abstractNumId="15">
    <w:nsid w:val="2CA88611"/>
    <w:multiLevelType w:val="hybridMultilevel"/>
    <w:lvl w:ilvl="0">
      <w:lvlJc w:val="left"/>
      <w:lvlText w:val="1"/>
      <w:numFmt w:val="bullet"/>
      <w:start w:val="1"/>
    </w:lvl>
  </w:abstractNum>
  <w:abstractNum w:abstractNumId="16">
    <w:nsid w:val="836C40E"/>
    <w:multiLevelType w:val="hybridMultilevel"/>
    <w:lvl w:ilvl="0">
      <w:lvlJc w:val="left"/>
      <w:lvlText w:val="2"/>
      <w:numFmt w:val="bullet"/>
      <w:start w:val="1"/>
    </w:lvl>
    <w:lvl w:ilvl="1">
      <w:lvlJc w:val="left"/>
      <w:lvlText w:val="(%2)"/>
      <w:numFmt w:val="lowerLetter"/>
      <w:start w:val="1"/>
    </w:lvl>
  </w:abstractNum>
  <w:abstractNum w:abstractNumId="17">
    <w:nsid w:val="2901D82"/>
    <w:multiLevelType w:val="hybridMultilevel"/>
    <w:lvl w:ilvl="0">
      <w:lvlJc w:val="left"/>
      <w:lvlText w:val="3"/>
      <w:numFmt w:val="bullet"/>
      <w:start w:val="1"/>
    </w:lvl>
  </w:abstractNum>
  <w:abstractNum w:abstractNumId="18">
    <w:nsid w:val="3A95F874"/>
    <w:multiLevelType w:val="hybridMultilevel"/>
    <w:lvl w:ilvl="0">
      <w:lvlJc w:val="left"/>
      <w:lvlText w:val="4"/>
      <w:numFmt w:val="bullet"/>
      <w:start w:val="1"/>
    </w:lvl>
  </w:abstractNum>
  <w:abstractNum w:abstractNumId="19">
    <w:nsid w:val="8138641"/>
    <w:multiLevelType w:val="hybridMultilevel"/>
    <w:lvl w:ilvl="0">
      <w:lvlJc w:val="left"/>
      <w:lvlText w:val="9"/>
      <w:numFmt w:val="bullet"/>
      <w:start w:val="1"/>
    </w:lvl>
  </w:abstractNum>
  <w:abstractNum w:abstractNumId="20">
    <w:nsid w:val="1E7FF521"/>
    <w:multiLevelType w:val="hybridMultilevel"/>
    <w:lvl w:ilvl="0">
      <w:lvlJc w:val="left"/>
      <w:lvlText w:val="%1"/>
      <w:numFmt w:val="decimal"/>
      <w:start w:val="1"/>
    </w:lvl>
    <w:lvl w:ilvl="1">
      <w:lvlJc w:val="left"/>
      <w:lvlText w:val="%2"/>
      <w:numFmt w:val="decimal"/>
      <w:start w:val="10"/>
    </w:lvl>
  </w:abstractNum>
  <w:abstractNum w:abstractNumId="21">
    <w:nsid w:val="7C3DBD3D"/>
    <w:multiLevelType w:val="hybridMultilevel"/>
    <w:lvl w:ilvl="0">
      <w:lvlJc w:val="left"/>
      <w:lvlText w:val="(%1)"/>
      <w:numFmt w:val="decimal"/>
      <w:start w:val="1"/>
    </w:lvl>
    <w:lvl w:ilvl="1">
      <w:lvlJc w:val="left"/>
      <w:lvlText w:val="%2"/>
      <w:numFmt w:val="decimal"/>
      <w:start w:val="1"/>
    </w:lvl>
  </w:abstractNum>
  <w:abstractNum w:abstractNumId="22">
    <w:nsid w:val="737B8DDC"/>
    <w:multiLevelType w:val="hybridMultilevel"/>
    <w:lvl w:ilvl="0">
      <w:lvlJc w:val="left"/>
      <w:lvlText w:val="1"/>
      <w:numFmt w:val="bullet"/>
      <w:start w:val="1"/>
    </w:lvl>
  </w:abstractNum>
  <w:abstractNum w:abstractNumId="23">
    <w:nsid w:val="6CEAF087"/>
    <w:multiLevelType w:val="hybridMultilevel"/>
    <w:lvl w:ilvl="0">
      <w:lvlJc w:val="left"/>
      <w:lvlText w:val="2"/>
      <w:numFmt w:val="bullet"/>
      <w:start w:val="1"/>
    </w:lvl>
    <w:lvl w:ilvl="1">
      <w:lvlJc w:val="left"/>
      <w:lvlText w:val="(%2)"/>
      <w:numFmt w:val="lowerLetter"/>
      <w:start w:val="1"/>
    </w:lvl>
  </w:abstractNum>
  <w:abstractNum w:abstractNumId="24">
    <w:nsid w:val="22221A70"/>
    <w:multiLevelType w:val="hybridMultilevel"/>
    <w:lvl w:ilvl="0">
      <w:lvlJc w:val="left"/>
      <w:lvlText w:val="3"/>
      <w:numFmt w:val="bullet"/>
      <w:start w:val="1"/>
    </w:lvl>
  </w:abstractNum>
  <w:abstractNum w:abstractNumId="25">
    <w:nsid w:val="4516DDE9"/>
    <w:multiLevelType w:val="hybridMultilevel"/>
    <w:lvl w:ilvl="0">
      <w:lvlJc w:val="left"/>
      <w:lvlText w:val="4"/>
      <w:numFmt w:val="bullet"/>
      <w:start w:val="1"/>
    </w:lvl>
  </w:abstractNum>
  <w:abstractNum w:abstractNumId="26">
    <w:nsid w:val="3006C83E"/>
    <w:multiLevelType w:val="hybridMultilevel"/>
    <w:lvl w:ilvl="0">
      <w:lvlJc w:val="left"/>
      <w:lvlText w:val="9"/>
      <w:numFmt w:val="bullet"/>
      <w:start w:val="1"/>
    </w:lvl>
  </w:abstractNum>
  <w:abstractNum w:abstractNumId="27">
    <w:nsid w:val="614FD4A1"/>
    <w:multiLevelType w:val="hybridMultilevel"/>
    <w:lvl w:ilvl="0">
      <w:lvlJc w:val="left"/>
      <w:lvlText w:val="%1"/>
      <w:numFmt w:val="decimal"/>
      <w:start w:val="1"/>
    </w:lvl>
    <w:lvl w:ilvl="1">
      <w:lvlJc w:val="left"/>
      <w:lvlText w:val="%2"/>
      <w:numFmt w:val="decimal"/>
      <w:start w:val="10"/>
    </w:lvl>
  </w:abstractNum>
  <w:abstractNum w:abstractNumId="28">
    <w:nsid w:val="419AC241"/>
    <w:multiLevelType w:val="hybridMultilevel"/>
    <w:lvl w:ilvl="0">
      <w:lvlJc w:val="left"/>
      <w:lvlText w:val="(%1)"/>
      <w:numFmt w:val="decimal"/>
      <w:start w:val="1"/>
    </w:lvl>
    <w:lvl w:ilvl="1">
      <w:lvlJc w:val="left"/>
      <w:lvlText w:val="%2"/>
      <w:numFmt w:val="decimal"/>
      <w:start w:val="1"/>
    </w:lvl>
  </w:abstractNum>
  <w:abstractNum w:abstractNumId="29">
    <w:nsid w:val="5577F8E1"/>
    <w:multiLevelType w:val="hybridMultilevel"/>
    <w:lvl w:ilvl="0">
      <w:lvlJc w:val="left"/>
      <w:lvlText w:val="1"/>
      <w:numFmt w:val="bullet"/>
      <w:start w:val="1"/>
    </w:lvl>
  </w:abstractNum>
  <w:abstractNum w:abstractNumId="30">
    <w:nsid w:val="440BADFC"/>
    <w:multiLevelType w:val="hybridMultilevel"/>
    <w:lvl w:ilvl="0">
      <w:lvlJc w:val="left"/>
      <w:lvlText w:val="2"/>
      <w:numFmt w:val="bullet"/>
      <w:start w:val="1"/>
    </w:lvl>
    <w:lvl w:ilvl="1">
      <w:lvlJc w:val="left"/>
      <w:lvlText w:val="(%2)"/>
      <w:numFmt w:val="lowerLetter"/>
      <w:start w:val="1"/>
    </w:lvl>
  </w:abstractNum>
  <w:abstractNum w:abstractNumId="31">
    <w:nsid w:val="5072367"/>
    <w:multiLevelType w:val="hybridMultilevel"/>
    <w:lvl w:ilvl="0">
      <w:lvlJc w:val="left"/>
      <w:lvlText w:val="3"/>
      <w:numFmt w:val="bullet"/>
      <w:start w:val="1"/>
    </w:lvl>
  </w:abstractNum>
  <w:abstractNum w:abstractNumId="32">
    <w:nsid w:val="3804823E"/>
    <w:multiLevelType w:val="hybridMultilevel"/>
    <w:lvl w:ilvl="0">
      <w:lvlJc w:val="left"/>
      <w:lvlText w:val="4"/>
      <w:numFmt w:val="bullet"/>
      <w:start w:val="1"/>
    </w:lvl>
  </w:abstractNum>
  <w:abstractNum w:abstractNumId="33">
    <w:nsid w:val="77465F01"/>
    <w:multiLevelType w:val="hybridMultilevel"/>
    <w:lvl w:ilvl="0">
      <w:lvlJc w:val="left"/>
      <w:lvlText w:val="9"/>
      <w:numFmt w:val="bullet"/>
      <w:start w:val="1"/>
    </w:lvl>
  </w:abstractNum>
  <w:abstractNum w:abstractNumId="34">
    <w:nsid w:val="7724C67E"/>
    <w:multiLevelType w:val="hybridMultilevel"/>
    <w:lvl w:ilvl="0">
      <w:lvlJc w:val="left"/>
      <w:lvlText w:val="%1"/>
      <w:numFmt w:val="decimal"/>
      <w:start w:val="1"/>
    </w:lvl>
    <w:lvl w:ilvl="1">
      <w:lvlJc w:val="left"/>
      <w:lvlText w:val="%2"/>
      <w:numFmt w:val="decimal"/>
      <w:start w:val="10"/>
    </w:lvl>
  </w:abstractNum>
  <w:abstractNum w:abstractNumId="35">
    <w:nsid w:val="5C482A97"/>
    <w:multiLevelType w:val="hybridMultilevel"/>
    <w:lvl w:ilvl="0">
      <w:lvlJc w:val="left"/>
      <w:lvlText w:val="(%1)"/>
      <w:numFmt w:val="decimal"/>
      <w:start w:val="1"/>
    </w:lvl>
    <w:lvl w:ilvl="1">
      <w:lvlJc w:val="left"/>
      <w:lvlText w:val="%2"/>
      <w:numFmt w:val="decimal"/>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4"/>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2019-11-24T22:06:07Z</dcterms:created>
  <dcterms:modified xsi:type="dcterms:W3CDTF">2019-11-24T22:06:07Z</dcterms:modified>
</cp:coreProperties>
</file>