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 xml:space="preserve">For the quarterly period ended </w:t>
      </w:r>
      <w:r>
        <w:rPr>
          <w:rFonts w:ascii="Times New Roman;serif" w:hAnsi="Times New Roman;serif"/>
          <w:b/>
          <w:color w:val="000000"/>
          <w:sz w:val="20"/>
        </w:rPr>
        <w:t>March 31,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__________ to 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001-38701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SI-BONE, INC. </w:t>
      </w:r>
    </w:p>
    <w:p>
      <w:pPr>
        <w:pStyle w:val="TextBody"/>
        <w:bidi w:val="0"/>
        <w:spacing w:lineRule="auto" w:line="288" w:before="0" w:after="6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70" w:type="dxa"/>
        <w:jc w:val="center"/>
        <w:tblInd w:w="0" w:type="dxa"/>
        <w:tblLayout w:type="fixed"/>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5591"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471 El Camino Real, Suite 101, Santa Clara,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95050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60" w:after="283"/>
        <w:jc w:val="center"/>
        <w:rPr/>
      </w:pPr>
      <w:r>
        <w:rPr>
          <w:color w:val="000000"/>
        </w:rPr>
        <w:t> </w:t>
      </w:r>
      <w:r>
        <w:rPr>
          <w:rFonts w:ascii="Times New Roman;serif" w:hAnsi="Times New Roman;serif"/>
          <w:b/>
          <w:color w:val="000000"/>
          <w:sz w:val="16"/>
        </w:rPr>
        <w:t>Registrant's telephone number, including area code</w:t>
      </w:r>
      <w:r>
        <w:rPr>
          <w:rFonts w:ascii="Times New Roman;serif" w:hAnsi="Times New Roman;serif"/>
          <w:b w:val="false"/>
          <w:color w:val="000000"/>
          <w:sz w:val="16"/>
        </w:rPr>
        <w:t xml:space="preserve">: </w:t>
      </w:r>
      <w:r>
        <w:rPr>
          <w:rFonts w:ascii="Times New Roman;serif" w:hAnsi="Times New Roman;serif"/>
          <w:b/>
          <w:color w:val="000000"/>
          <w:sz w:val="16"/>
        </w:rPr>
        <w:t>(408) 207-0700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before="0" w:after="0"/>
        <w:jc w:val="center"/>
        <w:rPr/>
      </w:pPr>
      <w:r>
        <w:rPr/>
      </w:r>
    </w:p>
    <w:p>
      <w:pPr>
        <w:pStyle w:val="TextBody"/>
        <w:bidi w:val="0"/>
        <w:spacing w:lineRule="auto" w:line="288" w:before="120" w:after="120"/>
        <w:jc w:val="center"/>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120"/>
        <w:jc w:val="center"/>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center"/>
        <w:rPr>
          <w:color w:val="000000"/>
        </w:rPr>
      </w:pPr>
      <w:r>
        <w:rPr>
          <w:color w:val="000000"/>
        </w:rPr>
        <w:t> </w:t>
      </w:r>
    </w:p>
    <w:tbl>
      <w:tblPr>
        <w:tblW w:w="7290"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8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outstanding of the registrant’s Common Stock was 44,349,283 as of May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TABLE OF CONTENTS</w:t>
      </w:r>
    </w:p>
    <w:tbl>
      <w:tblPr>
        <w:tblW w:w="9358" w:type="dxa"/>
        <w:jc w:val="center"/>
        <w:tblInd w:w="0" w:type="dxa"/>
        <w:tblLayout w:type="fixed"/>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3">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3">
              <w:r>
                <w:rPr>
                  <w:rStyle w:val="InternetLink"/>
                  <w:rFonts w:ascii="Times New Roman;serif" w:hAnsi="Times New Roman;serif"/>
                  <w:b w:val="false"/>
                  <w:color w:val="0000FF"/>
                  <w:sz w:val="20"/>
                  <w:u w:val="single"/>
                </w:rPr>
                <w:t xml:space="preserve">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3">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6">
              <w:r>
                <w:rPr>
                  <w:rStyle w:val="InternetLink"/>
                  <w:rFonts w:ascii="Times New Roman;serif" w:hAnsi="Times New Roman;serif"/>
                  <w:b w:val="false"/>
                  <w:color w:val="0000FF"/>
                  <w:sz w:val="20"/>
                  <w:u w:val="single"/>
                </w:rPr>
                <w:t>Condensed Consolidated Balance Sheets</w:t>
              </w:r>
            </w:hyperlink>
            <w:r>
              <w:rPr>
                <w:color w:val="000000"/>
              </w:rPr>
              <w:t xml:space="preserve"> </w:t>
            </w:r>
            <w:hyperlink w:anchor="i74d04107961f43bcbc02c72b5fdc5a5e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6">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74d04107961f43bcbc02c72b5fdc5a5e_19">
              <w:r>
                <w:rPr>
                  <w:rStyle w:val="InternetLink"/>
                  <w:rFonts w:ascii="Times New Roman;serif" w:hAnsi="Times New Roman;serif"/>
                  <w:b w:val="false"/>
                  <w:color w:val="0000FF"/>
                  <w:sz w:val="20"/>
                  <w:u w:val="single"/>
                </w:rPr>
                <w:t>Condensed Consolidated Statements of Operations and Comprehensive Loss</w:t>
              </w:r>
            </w:hyperlink>
            <w:r>
              <w:rPr>
                <w:color w:val="000000"/>
              </w:rPr>
              <w:t xml:space="preserve"> </w:t>
            </w:r>
            <w:hyperlink w:anchor="i74d04107961f43bcbc02c72b5fdc5a5e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9">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22">
              <w:r>
                <w:rPr>
                  <w:rStyle w:val="InternetLink"/>
                  <w:rFonts w:ascii="Times New Roman;serif" w:hAnsi="Times New Roman;serif"/>
                  <w:b w:val="false"/>
                  <w:color w:val="0000FF"/>
                  <w:sz w:val="20"/>
                  <w:u w:val="single"/>
                </w:rPr>
                <w:t>Condensed Consolidated Statements of Changes in Stockholders' Equity</w:t>
              </w:r>
            </w:hyperlink>
            <w:r>
              <w:rPr>
                <w:color w:val="000000"/>
              </w:rPr>
              <w:t xml:space="preserve"> </w:t>
            </w:r>
            <w:hyperlink w:anchor="i74d04107961f43bcbc02c72b5fdc5a5e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22">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25">
              <w:r>
                <w:rPr>
                  <w:rStyle w:val="InternetLink"/>
                  <w:rFonts w:ascii="Times New Roman;serif" w:hAnsi="Times New Roman;serif"/>
                  <w:b w:val="false"/>
                  <w:color w:val="0000FF"/>
                  <w:sz w:val="20"/>
                  <w:u w:val="single"/>
                </w:rPr>
                <w:t>Condensed Consolidated Statements of Cash Flows</w:t>
              </w:r>
            </w:hyperlink>
            <w:r>
              <w:rPr>
                <w:color w:val="000000"/>
              </w:rPr>
              <w:t xml:space="preserve"> </w:t>
            </w:r>
            <w:hyperlink w:anchor="i74d04107961f43bcbc02c72b5fdc5a5e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25">
              <w:r>
                <w:rPr>
                  <w:rStyle w:val="InternetLink"/>
                  <w:rFonts w:ascii="Times New Roman;serif" w:hAnsi="Times New Roman;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28">
              <w:r>
                <w:rPr>
                  <w:rStyle w:val="InternetLink"/>
                  <w:rFonts w:ascii="Times New Roman;serif" w:hAnsi="Times New Roman;serif"/>
                  <w:b w:val="false"/>
                  <w:color w:val="0000FF"/>
                  <w:sz w:val="20"/>
                  <w:u w:val="single"/>
                </w:rPr>
                <w:t>Notes to Condensed Consolidated Financial Statements</w:t>
              </w:r>
            </w:hyperlink>
            <w:r>
              <w:rPr>
                <w:color w:val="000000"/>
              </w:rPr>
              <w:t xml:space="preserve"> </w:t>
            </w:r>
            <w:hyperlink w:anchor="i74d04107961f43bcbc02c72b5fdc5a5e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28">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67">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67">
              <w:r>
                <w:rPr>
                  <w:rStyle w:val="InternetLink"/>
                  <w:rFonts w:ascii="Times New Roman;serif" w:hAnsi="Times New Roman;serif"/>
                  <w:b w:val="false"/>
                  <w:color w:val="0000FF"/>
                  <w:sz w:val="20"/>
                  <w:u w:val="single"/>
                </w:rPr>
                <w:t>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03">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0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03">
              <w:r>
                <w:rPr>
                  <w:rStyle w:val="InternetLink"/>
                  <w:rFonts w:ascii="Times New Roman;serif" w:hAnsi="Times New Roman;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06">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06">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06">
              <w:r>
                <w:rPr>
                  <w:rStyle w:val="InternetLink"/>
                  <w:rFonts w:ascii="Times New Roman;serif" w:hAnsi="Times New Roman;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12">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12">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12">
              <w:r>
                <w:rPr>
                  <w:rStyle w:val="InternetLink"/>
                  <w:rFonts w:ascii="Times New Roman;serif" w:hAnsi="Times New Roman;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15">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1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15">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18">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1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18">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21">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21">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21">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24">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24">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24">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27">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27">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27">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36">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36">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36">
              <w:r>
                <w:rPr>
                  <w:rStyle w:val="InternetLink"/>
                  <w:rFonts w:ascii="Times New Roman;serif" w:hAnsi="Times New Roman;serif"/>
                  <w:b w:val="false"/>
                  <w:color w:val="0000FF"/>
                  <w:sz w:val="20"/>
                  <w:u w:val="single"/>
                </w:rPr>
                <w:t>31</w:t>
              </w:r>
            </w:hyperlink>
          </w:p>
        </w:tc>
      </w:tr>
      <w:tr>
        <w:trPr/>
        <w:tc>
          <w:tcPr>
            <w:tcW w:w="88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d04107961f43bcbc02c72b5fdc5a5e_139">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04107961f43bcbc02c72b5fdc5a5e_139">
              <w:r>
                <w:rPr>
                  <w:rStyle w:val="InternetLink"/>
                  <w:rFonts w:ascii="Times New Roman;serif" w:hAnsi="Times New Roman;serif"/>
                  <w:b w:val="false"/>
                  <w:color w:val="0000FF"/>
                  <w:sz w:val="20"/>
                  <w:u w:val="single"/>
                </w:rPr>
                <w:t>32</w:t>
              </w:r>
            </w:hyperlink>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physician adoption, reimbursement determinations, clinical trial results, government shutdown, and U.S. Food and Drug Administration ("FDA") approvals, are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expectation that a significant portion of our revenues will be derived from sales of similar products addressing the spinopelvic anatomy;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develop and commercialize additional revenue opportunities, including new indications for use and new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retain and grow our sales team, including our third-party sales agents, based on the demand for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identify, train, and retain physicians to perform procedures using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estimates of our market opportunity;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timing of and results from our clinical trials and other studies;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marketing clearances and authorization from the FDA and regulators in other jurisdictions and CE Certificates of Conformity from Notified Bodies;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of the benefits of our products to patients, providers, and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enacted or proposed tariffs on our business, including the impact on gross margins related to our international product sales and the impact of resulting economic uncertainty on demand for our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factors impacting the supply chains we rely on, including tariffs and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attract and retain key personnel and other employees, including those with specialized skills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anticipated trends and challenges in our business and the markets in which we operate.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Factors that may cause actual results to differ materially from current expectations include, among other things, those listed under “Risk Factors”</w:t>
      </w:r>
      <w:r>
        <w:rPr>
          <w:color w:val="000000"/>
        </w:rPr>
        <w:t xml:space="preserve"> </w:t>
      </w:r>
      <w:r>
        <w:rPr>
          <w:rFonts w:ascii="Times New Roman;serif" w:hAnsi="Times New Roman;serif"/>
          <w:b w:val="false"/>
          <w:color w:val="000000"/>
          <w:sz w:val="20"/>
        </w:rPr>
        <w:t>in our Annual Report on Form 10-K for the year ended December 31, 2025, together with any updates in the section titled “Risk Factors” and elsewhere in this Quarterly Report on Form 10-Q.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7"/>
        <w:gridCol w:w="2238"/>
        <w:gridCol w:w="2165"/>
        <w:gridCol w:w="225"/>
        <w:gridCol w:w="885"/>
        <w:gridCol w:w="116"/>
        <w:gridCol w:w="109"/>
        <w:gridCol w:w="109"/>
        <w:gridCol w:w="109"/>
        <w:gridCol w:w="250"/>
        <w:gridCol w:w="984"/>
        <w:gridCol w:w="188"/>
      </w:tblGrid>
      <w:tr>
        <w:trPr/>
        <w:tc>
          <w:tcPr>
            <w:tcW w:w="282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$1,062 and $1,013, respectively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no shares issued and outstanding</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 shares authorized; 44,201,473 and 43,647,131 shares issued and outstanding, respectively</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178,942 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62"/>
        <w:gridCol w:w="2069"/>
        <w:gridCol w:w="2049"/>
        <w:gridCol w:w="244"/>
        <w:gridCol w:w="837"/>
        <w:gridCol w:w="109"/>
        <w:gridCol w:w="109"/>
        <w:gridCol w:w="109"/>
        <w:gridCol w:w="109"/>
        <w:gridCol w:w="244"/>
        <w:gridCol w:w="837"/>
        <w:gridCol w:w="109"/>
        <w:gridCol w:w="109"/>
        <w:gridCol w:w="109"/>
        <w:gridCol w:w="109"/>
        <w:gridCol w:w="109"/>
        <w:gridCol w:w="109"/>
        <w:gridCol w:w="109"/>
        <w:gridCol w:w="109"/>
        <w:gridCol w:w="155"/>
      </w:tblGrid>
      <w:tr>
        <w:trPr/>
        <w:tc>
          <w:tcPr>
            <w:tcW w:w="246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43,959,760 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42,337,481 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SI-BONE, INC.</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653"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26"/>
        <w:gridCol w:w="109"/>
        <w:gridCol w:w="109"/>
        <w:gridCol w:w="109"/>
        <w:gridCol w:w="278"/>
        <w:gridCol w:w="358"/>
        <w:gridCol w:w="145"/>
        <w:gridCol w:w="109"/>
        <w:gridCol w:w="109"/>
        <w:gridCol w:w="109"/>
        <w:gridCol w:w="211"/>
        <w:gridCol w:w="841"/>
        <w:gridCol w:w="109"/>
        <w:gridCol w:w="109"/>
        <w:gridCol w:w="109"/>
        <w:gridCol w:w="109"/>
        <w:gridCol w:w="375"/>
        <w:gridCol w:w="856"/>
        <w:gridCol w:w="195"/>
        <w:gridCol w:w="109"/>
        <w:gridCol w:w="109"/>
        <w:gridCol w:w="109"/>
        <w:gridCol w:w="211"/>
        <w:gridCol w:w="896"/>
        <w:gridCol w:w="109"/>
        <w:gridCol w:w="109"/>
        <w:gridCol w:w="109"/>
        <w:gridCol w:w="109"/>
        <w:gridCol w:w="229"/>
        <w:gridCol w:w="913"/>
        <w:gridCol w:w="119"/>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Paid-in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Comprehensive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43,647,131 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44,201,473</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633,029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(454,592)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178,942</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435"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26"/>
        <w:gridCol w:w="109"/>
        <w:gridCol w:w="109"/>
        <w:gridCol w:w="109"/>
        <w:gridCol w:w="278"/>
        <w:gridCol w:w="358"/>
        <w:gridCol w:w="145"/>
        <w:gridCol w:w="109"/>
        <w:gridCol w:w="109"/>
        <w:gridCol w:w="109"/>
        <w:gridCol w:w="211"/>
        <w:gridCol w:w="841"/>
        <w:gridCol w:w="109"/>
        <w:gridCol w:w="109"/>
        <w:gridCol w:w="109"/>
        <w:gridCol w:w="109"/>
        <w:gridCol w:w="375"/>
        <w:gridCol w:w="856"/>
        <w:gridCol w:w="195"/>
        <w:gridCol w:w="109"/>
        <w:gridCol w:w="109"/>
        <w:gridCol w:w="109"/>
        <w:gridCol w:w="211"/>
        <w:gridCol w:w="896"/>
        <w:gridCol w:w="109"/>
        <w:gridCol w:w="109"/>
        <w:gridCol w:w="109"/>
        <w:gridCol w:w="109"/>
        <w:gridCol w:w="228"/>
        <w:gridCol w:w="910"/>
        <w:gridCol w:w="168"/>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Paid-in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Comprehensive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42,086,477 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42,479,600</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604,836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(437,896)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167,264</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SI-BONE,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493" w:type="dxa"/>
        <w:jc w:val="left"/>
        <w:tblInd w:w="0" w:type="dxa"/>
        <w:tblLayout w:type="fixed"/>
        <w:tblCellMar>
          <w:top w:w="28" w:type="dxa"/>
          <w:left w:w="28" w:type="dxa"/>
          <w:bottom w:w="28" w:type="dxa"/>
          <w:right w:w="28" w:type="dxa"/>
        </w:tblCellMar>
      </w:tblPr>
      <w:tblGrid>
        <w:gridCol w:w="1892"/>
        <w:gridCol w:w="1660"/>
        <w:gridCol w:w="1667"/>
        <w:gridCol w:w="196"/>
        <w:gridCol w:w="646"/>
        <w:gridCol w:w="109"/>
        <w:gridCol w:w="109"/>
        <w:gridCol w:w="109"/>
        <w:gridCol w:w="109"/>
        <w:gridCol w:w="196"/>
        <w:gridCol w:w="64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and premium on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reserve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exercise of stock options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and cash equivalents at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Supplemental disclosure of non-cash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Unpaid purchases of property and equipment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a lease liability</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7060"/>
                <wp:effectExtent l="0" t="0" r="0" b="0"/>
                <wp:wrapNone/>
                <wp:docPr id="8" name="Frame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The Company and Nature of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SI-BONE, Inc. (the “Company”) was incorporated in the state of Delaware on March 18, 2008 and is headquartered in Santa Clara, California. The Company is a leader in developing and commercializing differentiated solutions targeting surgical and interventional procedures for patients with compromised bone. Since building solutions targeting the sacroiliac joint, the Company has expanded its platform to address adjacent indications, including spinopelvic fixation and pelvic trauma, leveraging its expertise in biomechanical design and anatomy-specific innovation.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launching its first generation iFuse in 2009, the Company has launched multiple implant product lines, including iFuse 3D in 2017, iFuse TORQ in 2021, iFuse Bedrock Granite in 2022, iFuse INTRA and iFuse TORQ TNT in 2024, and iFuse INTRA Ti in 2026. In the United States, iFuse, iFuse 3D, iFuse TORQ and iFuse Bedrock Granite have clearances for applications in sacroiliac joint dysfunction, adult spinal deformity and pelvic trauma. iFuse TORQ TNT has clearances for applications in pelvic trauma and sacroiliac joint dysfunction. In Europe, iFuse, iFuse 3D and iFuse TORQ are approved for applications in sacroiliac fusion, adult spinal deformity and pelvic fracture fixation. iFuse TORQ TNT is CE marked for uses similar to those in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2025 has been derived from the audited consolidated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2026 are not necessarily indicative of the results to be expected for the year ending December 31, 2026 or for any other interim period or for any other future year.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should be read in conjunction with the audited financial statements and related notes thereto for the year ended December 31, 2025 contained in the Company’s Annual Report on Form 10-K filed with the SEC on February 24, 2026 (the “2025 Annual Report”).</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the 2025 Annual Report. There have been no material changes to these accounting policies.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makers (“CODMs”) are the Chief Executive Officer and Chief Financial Officer. The Company has determined that it has a single operating and reportable segment. The CODMs use revenue and net loss at the consolidated level to measure segment profit and loss, allocate resources, monitor plan versus actual results, and manage operations. Significant expenses within net loss include cost of goods sold, sales and marketing, research and development, and general and administrative at the consolidated level. Other segment items within net loss include interest income, interest expense, and other income (expense), net.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Substantially all of the segment revenue is derived from sales to customers in the U.S. Description of segment products are included in </w:t>
      </w:r>
      <w:hyperlink w:anchor="i74d04107961f43bcbc02c72b5fdc5a5e_31">
        <w:r>
          <w:rPr>
            <w:rStyle w:val="InternetLink"/>
            <w:rFonts w:ascii="Times New Roman;serif" w:hAnsi="Times New Roman;serif"/>
            <w:b w:val="false"/>
            <w:strike w:val="false"/>
            <w:dstrike w:val="false"/>
            <w:color w:val="000000"/>
            <w:sz w:val="20"/>
            <w:u w:val="none"/>
            <w:effect w:val="none"/>
          </w:rPr>
          <w:t>Note 1. The Company and Nature of Business</w:t>
        </w:r>
      </w:hyperlink>
      <w:r>
        <w:rPr>
          <w:rFonts w:ascii="Times New Roman;serif" w:hAnsi="Times New Roman;serif"/>
          <w:b w:val="false"/>
          <w:color w:val="000000"/>
          <w:sz w:val="20"/>
        </w:rPr>
        <w:t>. Revenue by geography is based on billing address of the customer. International revenue accounted for less than 10% of the total revenue during the periods presented. Long-lived assets held outside the U.S. are immaterial. The following table summarizes the Company's revenue by geography:</w:t>
      </w:r>
    </w:p>
    <w:tbl>
      <w:tblPr>
        <w:tblW w:w="4583" w:type="dxa"/>
        <w:jc w:val="center"/>
        <w:tblInd w:w="0" w:type="dxa"/>
        <w:tblLayout w:type="fixed"/>
        <w:tblCellMar>
          <w:top w:w="28" w:type="dxa"/>
          <w:left w:w="28" w:type="dxa"/>
          <w:bottom w:w="28" w:type="dxa"/>
          <w:right w:w="28" w:type="dxa"/>
        </w:tblCellMar>
      </w:tblPr>
      <w:tblGrid>
        <w:gridCol w:w="435"/>
        <w:gridCol w:w="381"/>
        <w:gridCol w:w="383"/>
        <w:gridCol w:w="226"/>
        <w:gridCol w:w="772"/>
        <w:gridCol w:w="116"/>
        <w:gridCol w:w="116"/>
        <w:gridCol w:w="116"/>
        <w:gridCol w:w="116"/>
        <w:gridCol w:w="226"/>
        <w:gridCol w:w="772"/>
        <w:gridCol w:w="116"/>
        <w:gridCol w:w="109"/>
        <w:gridCol w:w="109"/>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808" w:type="dxa"/>
            <w:gridSpan w:val="7"/>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(“ASU 2025-12”). ASU 2025-12 provides updates for a broad range of Accounting Topics arising from technical corrections, unintended application of the Codification, clarifications, and other minor improvements. ASU 2025-12 is effective for fiscal years beginning after December 15, 2026 and for interim periods within fiscal years beginning after December 15, 2027. The Company is currently evaluating the impact of ASU 2025-12 on its disclosures.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2025-11, Interim Reporting (Topic 270) (“ASU 2025-11”). ASU 2025-11 provides additional guidance on interim disclosure requirements and improves the navigability of the requirements. ASU 2025-11 is effective for fiscal years beginning after December 15, 2028 and for interim periods within fiscal years beginning after December 15, 2029. The Company is currently evaluating the impact of ASU 2025-11 on its disclosures.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Goodwill and Other-Internal-Use Software (Subtopic 350-40) - Targeted Improvements to the Accounting for Internal-Use Software (“ASU 2025-06”). ASU 2025-06 makes targeted improvements to the accounting for internal-use software. ASU 2025-06 is effective for fiscal years beginning after December 15, 2027 and for interim periods within fiscal years beginning after December 15, 2027. The Company is currently evaluating the impact of ASU 2025-06 on its accounting for internal developed software and related disclosures.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marketable securities:</w:t>
      </w:r>
    </w:p>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381"/>
        <w:gridCol w:w="843"/>
        <w:gridCol w:w="200"/>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139,107 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March 31, 2026 and December 31, 2025, unrealized gains and losses from the investments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March 31, 2026 and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elected to present accrued interest receivable separately from short-term investments on its condensed consolidated balance sheets. Accrued interest receivable was $0.6 million and $0.5 million as of March 31, 2026 and December 31, 2025, respectively,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three months ended March 31, 2026 or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fair value of the Company’s marketable securities measured at fair value on a recurring basis based on the three-tier fair value hierarchy:</w:t>
      </w:r>
    </w:p>
    <w:tbl>
      <w:tblPr>
        <w:tblW w:w="7394"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inventory consisted of finished goods of $31.9 million and work-in-progress and components of $3.6 million. As of December 31, 2025, inventory consisted of finished goods of $29.9 million and work-in-progress and components of $4.0 million.</w:t>
      </w:r>
    </w:p>
    <w:p>
      <w:pPr>
        <w:pStyle w:val="TextBody"/>
        <w:bidi w:val="0"/>
        <w:spacing w:lineRule="auto" w:line="288" w:before="120" w:after="283"/>
        <w:ind w:left="0" w:right="0" w:firstLine="540"/>
        <w:jc w:val="left"/>
        <w:rPr/>
      </w:pPr>
      <w:r>
        <w:rPr>
          <w:rFonts w:ascii="Times New Roman;serif" w:hAnsi="Times New Roman;serif"/>
          <w:b/>
          <w:i/>
          <w:color w:val="000000"/>
          <w:sz w:val="20"/>
        </w:rPr>
        <w:t>Property and Equipment, net:</w:t>
      </w:r>
      <w:r>
        <w:rPr>
          <w:color w:val="000000"/>
        </w:rPr>
        <w:t>    </w:t>
      </w:r>
    </w:p>
    <w:tbl>
      <w:tblPr>
        <w:tblW w:w="7362" w:type="dxa"/>
        <w:jc w:val="left"/>
        <w:tblInd w:w="0" w:type="dxa"/>
        <w:tblLayout w:type="fixed"/>
        <w:tblCellMar>
          <w:top w:w="28" w:type="dxa"/>
          <w:left w:w="28" w:type="dxa"/>
          <w:bottom w:w="28" w:type="dxa"/>
          <w:right w:w="28" w:type="dxa"/>
        </w:tblCellMar>
      </w:tblPr>
      <w:tblGrid>
        <w:gridCol w:w="1504"/>
        <w:gridCol w:w="1321"/>
        <w:gridCol w:w="1330"/>
        <w:gridCol w:w="261"/>
        <w:gridCol w:w="894"/>
        <w:gridCol w:w="135"/>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erif" w:hAnsi="Times New Roman;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 trays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25,733 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construction in progress pertains to the cost of individual components of an instrument tray used for surgical placement of the Company's products that have not yet been placed into service of $5.3 million and software costs of $0.3 million. As of December 31, 2025, construction in progress pertains to cost of individual components of an instrument tray used for surgical placement of the Company's products that have not yet been placed into service of $5.8 million and software costs of $0.1 million. Depreciation expense was $1.6 million and $1.3 million for the three months ended March 31, 2026 and 2025, respectively. </w:t>
      </w:r>
    </w:p>
    <w:p>
      <w:pPr>
        <w:pStyle w:val="TextBody"/>
        <w:bidi w:val="0"/>
        <w:spacing w:lineRule="auto" w:line="288" w:before="120" w:after="283"/>
        <w:ind w:left="0" w:right="0" w:firstLine="540"/>
        <w:jc w:val="left"/>
        <w:rPr/>
      </w:pPr>
      <w:r>
        <w:rPr>
          <w:rFonts w:ascii="Times New Roman;serif" w:hAnsi="Times New Roman;serif"/>
          <w:b/>
          <w:i/>
          <w:color w:val="000000"/>
          <w:sz w:val="20"/>
        </w:rPr>
        <w:t>Accrued Liabilities and Other</w:t>
      </w:r>
      <w:r>
        <w:rPr>
          <w:rFonts w:ascii="Times New Roman;serif" w:hAnsi="Times New Roman;serif"/>
          <w:b w:val="false"/>
          <w:color w:val="000000"/>
          <w:sz w:val="20"/>
        </w:rPr>
        <w:t>:</w:t>
      </w:r>
    </w:p>
    <w:tbl>
      <w:tblPr>
        <w:tblW w:w="6912" w:type="dxa"/>
        <w:jc w:val="left"/>
        <w:tblInd w:w="0" w:type="dxa"/>
        <w:tblLayout w:type="fixed"/>
        <w:tblCellMar>
          <w:top w:w="28" w:type="dxa"/>
          <w:left w:w="28" w:type="dxa"/>
          <w:bottom w:w="28" w:type="dxa"/>
          <w:right w:w="28" w:type="dxa"/>
        </w:tblCellMar>
      </w:tblPr>
      <w:tblGrid>
        <w:gridCol w:w="1343"/>
        <w:gridCol w:w="1178"/>
        <w:gridCol w:w="1184"/>
        <w:gridCol w:w="261"/>
        <w:gridCol w:w="894"/>
        <w:gridCol w:w="135"/>
        <w:gridCol w:w="109"/>
        <w:gridCol w:w="109"/>
        <w:gridCol w:w="109"/>
        <w:gridCol w:w="309"/>
        <w:gridCol w:w="1056"/>
        <w:gridCol w:w="225"/>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erif" w:hAnsi="Times New Roman;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expenses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Accrued professional services </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movement in the allowance for credit losses was as follows:</w:t>
      </w:r>
    </w:p>
    <w:tbl>
      <w:tblPr>
        <w:tblW w:w="5846" w:type="dxa"/>
        <w:jc w:val="left"/>
        <w:tblInd w:w="0" w:type="dxa"/>
        <w:tblLayout w:type="fixed"/>
        <w:tblCellMar>
          <w:top w:w="28" w:type="dxa"/>
          <w:left w:w="28" w:type="dxa"/>
          <w:bottom w:w="28" w:type="dxa"/>
          <w:right w:w="28" w:type="dxa"/>
        </w:tblCellMar>
      </w:tblPr>
      <w:tblGrid>
        <w:gridCol w:w="956"/>
        <w:gridCol w:w="840"/>
        <w:gridCol w:w="843"/>
        <w:gridCol w:w="291"/>
        <w:gridCol w:w="849"/>
        <w:gridCol w:w="150"/>
        <w:gridCol w:w="109"/>
        <w:gridCol w:w="109"/>
        <w:gridCol w:w="109"/>
        <w:gridCol w:w="342"/>
        <w:gridCol w:w="999"/>
        <w:gridCol w:w="24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lease for 50,485 square feet of office space in San Jose, California, with a lease term of 102 months with one five-year option to extend the term of the lease. The monthly base rent is $128,737 and is subject to annual increases. The Company is not required to pay monthly base rent for the first six months. Under the terms of the lease, the Company expects to receive up to $3.8 million from the landlord as reimbursement for qualifying costs incurred in connection with the Company’s construction of tenant improvements. During the three months ended March 31, 2026, the Company recorded a right-of-use asset of $6.6 million and a lease liability of $6.5 million related to the lease. As of March 31, 2026, lease payments have not yet commenced for the lease.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a non-cancelable operating lease for an office building space, located in Santa Clara, California, with an original lease period expiring in May 2025. On July 18, 2024, the Company extended the term of the lease for an additional period of fourteen months commencing on June 1, 2025 and expiring July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non-cancelable leases for a building used for research and development and warehouse space in Santa Clara, California which expires in October 2026, and office building space in Gallarate, Italy which expires in August 2027.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vehicles under operating lease arrangements for certain of its personnel in Europe which expire at various times throughout 2026 to 2028. </w:t>
      </w:r>
    </w:p>
    <w:p>
      <w:pPr>
        <w:pStyle w:val="TextBody"/>
        <w:bidi w:val="0"/>
        <w:spacing w:lineRule="auto" w:line="288" w:before="120" w:after="283"/>
        <w:ind w:left="0" w:right="0" w:firstLine="540"/>
        <w:jc w:val="left"/>
        <w:rPr/>
      </w:pPr>
      <w:r>
        <w:rPr>
          <w:rFonts w:ascii="Times New Roman;serif" w:hAnsi="Times New Roman;serif"/>
          <w:b w:val="false"/>
          <w:color w:val="000000"/>
          <w:sz w:val="20"/>
          <w:shd w:fill="FFFFFF" w:val="clear"/>
        </w:rPr>
        <w:t>Supplemental information related to lease expense and valuation of the lease assets and lease liabilit</w:t>
      </w:r>
      <w:r>
        <w:rPr>
          <w:rFonts w:ascii="Times New Roman;serif" w:hAnsi="Times New Roman;serif"/>
          <w:b w:val="false"/>
          <w:color w:val="000000"/>
          <w:sz w:val="20"/>
        </w:rPr>
        <w:t>ies are as follows:</w:t>
      </w:r>
    </w:p>
    <w:tbl>
      <w:tblPr>
        <w:tblW w:w="10205" w:type="dxa"/>
        <w:jc w:val="center"/>
        <w:tblInd w:w="0" w:type="dxa"/>
        <w:tblLayout w:type="fixed"/>
        <w:tblCellMar>
          <w:top w:w="28" w:type="dxa"/>
          <w:left w:w="28" w:type="dxa"/>
          <w:bottom w:w="28" w:type="dxa"/>
          <w:right w:w="28" w:type="dxa"/>
        </w:tblCellMar>
      </w:tblPr>
      <w:tblGrid>
        <w:gridCol w:w="2283"/>
        <w:gridCol w:w="1990"/>
        <w:gridCol w:w="2003"/>
        <w:gridCol w:w="553"/>
        <w:gridCol w:w="396"/>
        <w:gridCol w:w="308"/>
        <w:gridCol w:w="228"/>
        <w:gridCol w:w="228"/>
        <w:gridCol w:w="228"/>
        <w:gridCol w:w="739"/>
        <w:gridCol w:w="381"/>
        <w:gridCol w:w="378"/>
        <w:gridCol w:w="109"/>
        <w:gridCol w:w="109"/>
        <w:gridCol w:w="109"/>
        <w:gridCol w:w="163"/>
      </w:tblGrid>
      <w:tr>
        <w:trPr/>
        <w:tc>
          <w:tcPr>
            <w:tcW w:w="2283"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5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as of March 31, 2026 was as follows:</w:t>
      </w:r>
    </w:p>
    <w:tbl>
      <w:tblPr>
        <w:tblW w:w="6075" w:type="dxa"/>
        <w:jc w:val="left"/>
        <w:tblInd w:w="0" w:type="dxa"/>
        <w:tblLayout w:type="fixed"/>
        <w:tblCellMar>
          <w:top w:w="28" w:type="dxa"/>
          <w:left w:w="28" w:type="dxa"/>
          <w:bottom w:w="28" w:type="dxa"/>
          <w:right w:w="28" w:type="dxa"/>
        </w:tblCellMar>
      </w:tblPr>
      <w:tblGrid>
        <w:gridCol w:w="1739"/>
        <w:gridCol w:w="1528"/>
        <w:gridCol w:w="1533"/>
        <w:gridCol w:w="274"/>
        <w:gridCol w:w="801"/>
        <w:gridCol w:w="200"/>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 and tenant improvement allowance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no operating lease liabilities that had not commenced.</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Purchase Commitments and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$4.3 million as of March 31, 2026 and December 31, 2025.</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arising in the ordinary course of its business. Except with regards to the Investigation,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Borrowings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borrowings from the term loan as of the periods presented:</w:t>
      </w:r>
    </w:p>
    <w:tbl>
      <w:tblPr>
        <w:tblW w:w="10205" w:type="dxa"/>
        <w:jc w:val="left"/>
        <w:tblInd w:w="0" w:type="dxa"/>
        <w:tblLayout w:type="fixed"/>
        <w:tblCellMar>
          <w:top w:w="28" w:type="dxa"/>
          <w:left w:w="28" w:type="dxa"/>
          <w:bottom w:w="28" w:type="dxa"/>
          <w:right w:w="28" w:type="dxa"/>
        </w:tblCellMar>
      </w:tblPr>
      <w:tblGrid>
        <w:gridCol w:w="2538"/>
        <w:gridCol w:w="2232"/>
        <w:gridCol w:w="2240"/>
        <w:gridCol w:w="260"/>
        <w:gridCol w:w="891"/>
        <w:gridCol w:w="134"/>
        <w:gridCol w:w="109"/>
        <w:gridCol w:w="109"/>
        <w:gridCol w:w="109"/>
        <w:gridCol w:w="307"/>
        <w:gridCol w:w="1050"/>
        <w:gridCol w:w="226"/>
      </w:tblGrid>
      <w:tr>
        <w:trPr/>
        <w:tc>
          <w:tcPr>
            <w:tcW w:w="2538"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lender fees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debt, net of debt issuance costs and unaccreted value of final payment fee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35,599 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debt is related to a Loan and Security Agreement dated August 12, 2021 (the "Original Loan Agreement") entered into by the Company with Silicon Valley Bank, a California corporation ("SVB"). Pursuant to the Original Loan Agreement, the Company borrowed a term loan in the aggregate principal amount of $35.0 million to the Company (the “Original Term Loan”).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6, 2023, the Company entered into a First Amendment to Loan and Security Agreement with SVB to amend our Original Loan Agreement (the "First Amendment" and with the Original Loan Agreement, collectively the "Amended Loan Agreement"). Upon entry into the Amended Loan Agreement, the Company borrowed a new term loan in the aggregate principal amount of $36.0 million (the "First Amendment Term Loan"), which was substantially used to repay in full the $35.0 million Original Term Loan outstanding under the Original Loan Agreement, and we also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the Company entered into a Second Amendment to Loan and Security Agreement with Silicon Valley Bank, a division of First-Citizens Bank &amp; Trust Company, as successor in interest to SVB ("First Citizens") to further amend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2024, the Company entered into a Third Amendment to the Loan and Security Agreement with First-Citizens to further amend our Second Amended Loan Agreement (the "Third Amendment" and together with the Second Amended Loan Agreement, collectively, the "Third Amended Loan Agreement"). Upon entry into the Third Amended Loan Agreement, we borrowed a new term loan in the aggregate principal amount of $36.0 million (the "Third Amendment Term Loan"), which was substantially used to refinance and repay in full the then-outstanding $36.0 million First Amendment Term Loan. The Company also paid a final payment fee of $0.7 million related to such prior First Amendment Term Loan. The Third Amendment set the maturity date for the Third Amendment Term Loan as September 1, 2029 (the "Third Amendment Term Loan Maturity Date"), and set the first principal repayment due date for the Third Amendment Term Loan to October 1, 2027; which date will, upon the achievement of the Performance Milestone (as defined in the Third Amendment), become October 1, 2028. Interest on the Third Amendment Term Loan will be payable monthly at a floating rate per annum equal to the greater of 4.25% and the WSJ Prime Rate minus 0.5%. The Company may elect to prepay the Third Amendment Term Loan in whole prior to the Third Amendment Term Loan Term Loan Maturity Date, subject to a prepayment fee equal to 1.5% of the original principal amount of the Third Amendment Term Loan if the loan is prepaid within 18 months following the closing of the Third Amendment. The Third Amendment revised certain provisions related to financial covenants and the periods in which such covenants apply.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Third Amended Loan Agreement as a debt modification. Accordingly, the remaining unamortized debt issuance costs related to the Second Amended Loan Agreement together with any lender fees incurred in connection with the entry of the Third Amended Loan Agreement are amortized to interest expense using the straight-line method over the new term of the loan through August 2029.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25, 2025, the Company entered into a Fourth Amendment to Loan and Security Agreement with First-Citizens to further amend our Third Amended Loan Agreement (the “Fourth Amendment” and together with the Third Amended Loan Agreement, collectively, the “Fourth Amended Loan Agreement”). The Fourth Amendment revised the periods in which the financial covenants applied.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rates for the three months ended March 31, 2026 and March 31, 2025 were 6.6% and 7.3%, respectively. The table below summarizes the future principal payments under the Fourth Amendment Loan Agreement as of March 31, 2026:</w:t>
      </w:r>
    </w:p>
    <w:tbl>
      <w:tblPr>
        <w:tblW w:w="3434" w:type="dxa"/>
        <w:jc w:val="left"/>
        <w:tblInd w:w="0" w:type="dxa"/>
        <w:tblLayout w:type="fixed"/>
        <w:tblCellMar>
          <w:top w:w="28" w:type="dxa"/>
          <w:left w:w="28" w:type="dxa"/>
          <w:bottom w:w="28" w:type="dxa"/>
          <w:right w:w="28" w:type="dxa"/>
        </w:tblCellMar>
      </w:tblPr>
      <w:tblGrid>
        <w:gridCol w:w="782"/>
        <w:gridCol w:w="688"/>
        <w:gridCol w:w="690"/>
        <w:gridCol w:w="247"/>
        <w:gridCol w:w="847"/>
        <w:gridCol w:w="180"/>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Fourth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March 31, 2026, the Company was in compliance with all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8. Stock-Based Incentive Compensation Plans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stock option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904"/>
        <w:gridCol w:w="794"/>
        <w:gridCol w:w="796"/>
        <w:gridCol w:w="109"/>
        <w:gridCol w:w="109"/>
        <w:gridCol w:w="109"/>
        <w:gridCol w:w="413"/>
        <w:gridCol w:w="413"/>
        <w:gridCol w:w="279"/>
        <w:gridCol w:w="109"/>
        <w:gridCol w:w="109"/>
        <w:gridCol w:w="109"/>
        <w:gridCol w:w="211"/>
        <w:gridCol w:w="618"/>
        <w:gridCol w:w="109"/>
        <w:gridCol w:w="109"/>
        <w:gridCol w:w="109"/>
        <w:gridCol w:w="109"/>
        <w:gridCol w:w="847"/>
        <w:gridCol w:w="847"/>
        <w:gridCol w:w="848"/>
        <w:gridCol w:w="109"/>
        <w:gridCol w:w="109"/>
        <w:gridCol w:w="109"/>
        <w:gridCol w:w="390"/>
        <w:gridCol w:w="1138"/>
        <w:gridCol w:w="290"/>
      </w:tblGrid>
      <w:tr>
        <w:trPr/>
        <w:tc>
          <w:tcPr>
            <w:tcW w:w="9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Contractual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thousands)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794,161 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Options vested and exercisable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794,161 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Options vested and expected to vest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794,161 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there is no unrecognized compensation cost related to 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stock options granted during the three months ended March 31,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RSUs are share awards that entitle the holder to receive freely tradable shares of the Company’s common stock upon vesting. RSUs generally vest over one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058"/>
        <w:gridCol w:w="892"/>
        <w:gridCol w:w="895"/>
        <w:gridCol w:w="109"/>
        <w:gridCol w:w="109"/>
        <w:gridCol w:w="109"/>
        <w:gridCol w:w="109"/>
        <w:gridCol w:w="109"/>
        <w:gridCol w:w="109"/>
        <w:gridCol w:w="467"/>
        <w:gridCol w:w="271"/>
        <w:gridCol w:w="482"/>
        <w:gridCol w:w="201"/>
        <w:gridCol w:w="603"/>
        <w:gridCol w:w="202"/>
        <w:gridCol w:w="201"/>
        <w:gridCol w:w="201"/>
        <w:gridCol w:w="234"/>
        <w:gridCol w:w="205"/>
        <w:gridCol w:w="201"/>
        <w:gridCol w:w="109"/>
        <w:gridCol w:w="109"/>
        <w:gridCol w:w="109"/>
        <w:gridCol w:w="234"/>
        <w:gridCol w:w="234"/>
        <w:gridCol w:w="222"/>
        <w:gridCol w:w="109"/>
        <w:gridCol w:w="109"/>
        <w:gridCol w:w="109"/>
        <w:gridCol w:w="194"/>
        <w:gridCol w:w="194"/>
        <w:gridCol w:w="196"/>
        <w:gridCol w:w="109"/>
        <w:gridCol w:w="109"/>
        <w:gridCol w:w="109"/>
        <w:gridCol w:w="229"/>
        <w:gridCol w:w="229"/>
        <w:gridCol w:w="231"/>
        <w:gridCol w:w="109"/>
        <w:gridCol w:w="109"/>
        <w:gridCol w:w="109"/>
        <w:gridCol w:w="167"/>
      </w:tblGrid>
      <w:tr>
        <w:trPr/>
        <w:tc>
          <w:tcPr>
            <w:tcW w:w="105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438" w:type="dxa"/>
            <w:gridSpan w:val="22"/>
            <w:tcBorders/>
          </w:tcPr>
          <w:p>
            <w:pPr>
              <w:pStyle w:val="TableContents"/>
              <w:bidi w:val="0"/>
              <w:spacing w:before="0" w:after="283"/>
              <w:jc w:val="left"/>
              <w:rPr>
                <w:sz w:val="4"/>
                <w:szCs w:val="4"/>
              </w:rPr>
            </w:pPr>
            <w:r>
              <w:rPr>
                <w:sz w:val="4"/>
                <w:szCs w:val="4"/>
              </w:rPr>
            </w:r>
          </w:p>
        </w:tc>
      </w:tr>
      <w:tr>
        <w:trPr/>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48.0%</w:t>
            </w:r>
          </w:p>
        </w:tc>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(0.08)</w:t>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to </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510" w:type="dxa"/>
            <w:gridSpan w:val="10"/>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RSU and PSU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810"/>
        <w:gridCol w:w="711"/>
        <w:gridCol w:w="713"/>
        <w:gridCol w:w="109"/>
        <w:gridCol w:w="109"/>
        <w:gridCol w:w="109"/>
        <w:gridCol w:w="468"/>
        <w:gridCol w:w="380"/>
        <w:gridCol w:w="382"/>
        <w:gridCol w:w="109"/>
        <w:gridCol w:w="109"/>
        <w:gridCol w:w="109"/>
        <w:gridCol w:w="698"/>
        <w:gridCol w:w="698"/>
        <w:gridCol w:w="700"/>
        <w:gridCol w:w="109"/>
        <w:gridCol w:w="109"/>
        <w:gridCol w:w="109"/>
        <w:gridCol w:w="424"/>
        <w:gridCol w:w="380"/>
        <w:gridCol w:w="382"/>
        <w:gridCol w:w="109"/>
        <w:gridCol w:w="109"/>
        <w:gridCol w:w="109"/>
        <w:gridCol w:w="626"/>
        <w:gridCol w:w="626"/>
        <w:gridCol w:w="899"/>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PSUs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1,916,581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785,457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$16.17</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1,132,357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13.23</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(279,990)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14.44</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2,739,152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695,580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16.09</w:t>
            </w:r>
          </w:p>
        </w:tc>
      </w:tr>
    </w:tbl>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ESPP shares is estimated using the Black-Scholes option pricing model, which is being amortized over the requisite service period. As of March 31, 2026 and December 31, 2025, total accumulated ESPP related employee payroll deductions amounted to $1.1 million and $0.3 million, respectively, which were included within accrued compensation and related expenses in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detail of stock-based compensation expense amounts included in the condensed consolidated statements of operations:</w:t>
      </w:r>
    </w:p>
    <w:tbl>
      <w:tblPr>
        <w:tblW w:w="5316" w:type="dxa"/>
        <w:jc w:val="center"/>
        <w:tblInd w:w="0" w:type="dxa"/>
        <w:tblLayout w:type="fixed"/>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common stock warrants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300"/>
        <w:gridCol w:w="263"/>
        <w:gridCol w:w="265"/>
        <w:gridCol w:w="109"/>
        <w:gridCol w:w="109"/>
        <w:gridCol w:w="109"/>
        <w:gridCol w:w="315"/>
        <w:gridCol w:w="315"/>
        <w:gridCol w:w="316"/>
        <w:gridCol w:w="109"/>
        <w:gridCol w:w="109"/>
        <w:gridCol w:w="109"/>
        <w:gridCol w:w="393"/>
        <w:gridCol w:w="392"/>
        <w:gridCol w:w="393"/>
        <w:gridCol w:w="109"/>
        <w:gridCol w:w="109"/>
        <w:gridCol w:w="109"/>
        <w:gridCol w:w="219"/>
        <w:gridCol w:w="642"/>
        <w:gridCol w:w="113"/>
        <w:gridCol w:w="109"/>
        <w:gridCol w:w="109"/>
        <w:gridCol w:w="109"/>
        <w:gridCol w:w="306"/>
        <w:gridCol w:w="306"/>
        <w:gridCol w:w="307"/>
        <w:gridCol w:w="109"/>
        <w:gridCol w:w="109"/>
        <w:gridCol w:w="109"/>
        <w:gridCol w:w="308"/>
        <w:gridCol w:w="308"/>
        <w:gridCol w:w="309"/>
        <w:gridCol w:w="109"/>
        <w:gridCol w:w="109"/>
        <w:gridCol w:w="109"/>
        <w:gridCol w:w="285"/>
        <w:gridCol w:w="285"/>
        <w:gridCol w:w="286"/>
        <w:gridCol w:w="109"/>
        <w:gridCol w:w="109"/>
        <w:gridCol w:w="109"/>
        <w:gridCol w:w="413"/>
        <w:gridCol w:w="357"/>
        <w:gridCol w:w="520"/>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Balance at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Balance at</w:t>
            </w:r>
          </w:p>
        </w:tc>
      </w:tr>
      <w:tr>
        <w:trPr/>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Net Loss Per Share of Common Stock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computation of basic and diluted net loss per share:</w:t>
      </w:r>
    </w:p>
    <w:tbl>
      <w:tblPr>
        <w:tblW w:w="10205" w:type="dxa"/>
        <w:jc w:val="center"/>
        <w:tblInd w:w="0" w:type="dxa"/>
        <w:tblLayout w:type="fixed"/>
        <w:tblCellMar>
          <w:top w:w="28" w:type="dxa"/>
          <w:left w:w="28" w:type="dxa"/>
          <w:bottom w:w="28" w:type="dxa"/>
          <w:right w:w="28" w:type="dxa"/>
        </w:tblCellMar>
      </w:tblPr>
      <w:tblGrid>
        <w:gridCol w:w="2188"/>
        <w:gridCol w:w="1921"/>
        <w:gridCol w:w="1925"/>
        <w:gridCol w:w="337"/>
        <w:gridCol w:w="1083"/>
        <w:gridCol w:w="169"/>
        <w:gridCol w:w="169"/>
        <w:gridCol w:w="169"/>
        <w:gridCol w:w="169"/>
        <w:gridCol w:w="337"/>
        <w:gridCol w:w="1083"/>
        <w:gridCol w:w="169"/>
        <w:gridCol w:w="109"/>
        <w:gridCol w:w="109"/>
        <w:gridCol w:w="109"/>
        <w:gridCol w:w="159"/>
      </w:tblGrid>
      <w:tr>
        <w:trPr/>
        <w:tc>
          <w:tcPr>
            <w:tcW w:w="2188"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c>
        <w:tc>
          <w:tcPr>
            <w:tcW w:w="486" w:type="dxa"/>
            <w:gridSpan w:val="4"/>
            <w:tcBorders/>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and diluted net loss per share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43,959,760 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42,337,481 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5932" w:type="dxa"/>
        <w:jc w:val="center"/>
        <w:tblInd w:w="0" w:type="dxa"/>
        <w:tblLayout w:type="fixed"/>
        <w:tblCellMar>
          <w:top w:w="28" w:type="dxa"/>
          <w:left w:w="28" w:type="dxa"/>
          <w:bottom w:w="28" w:type="dxa"/>
          <w:right w:w="28" w:type="dxa"/>
        </w:tblCellMar>
      </w:tblPr>
      <w:tblGrid>
        <w:gridCol w:w="748"/>
        <w:gridCol w:w="659"/>
        <w:gridCol w:w="662"/>
        <w:gridCol w:w="488"/>
        <w:gridCol w:w="488"/>
        <w:gridCol w:w="286"/>
        <w:gridCol w:w="286"/>
        <w:gridCol w:w="286"/>
        <w:gridCol w:w="286"/>
        <w:gridCol w:w="678"/>
        <w:gridCol w:w="298"/>
        <w:gridCol w:w="286"/>
        <w:gridCol w:w="109"/>
        <w:gridCol w:w="109"/>
        <w:gridCol w:w="109"/>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794,161</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1,021,086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3,434,732</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3,494,719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ESPP purchase rights</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82,805</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4,322,798 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4,739,773 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2026 and 2025. The Company continues to maintain a full valuation allowance against its net deferred tax assets due to the uncertainty surrounding realization of such assets.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compared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7060"/>
                <wp:effectExtent l="0" t="0" r="0" b="0"/>
                <wp:wrapNone/>
                <wp:docPr id="21" name="Frame2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240" w:after="240"/>
        <w:jc w:val="both"/>
        <w:rPr/>
      </w:pPr>
      <w:r>
        <w:rPr>
          <w:color w:val="000000"/>
        </w:rPr>
        <w:t>    </w:t>
      </w: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February 24, 2026.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of our Annual Report on Form 10-K filed on February 24, 2026,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leader in developing and commercializing differentiated solutions targeting surgical and interventional procedures for patients with compromised bone. Since building solutions targeting the sacroiliac joint, we have expanded our platform to address adjacent indications, including spinopelvic fixation and pelvic trauma, leveraging our expertise in biomechanical design and anatomy-specific innovation.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market our products primarily with a direct sales force as well as a number of third-party sales agents in the United States, and with a combination of a direct sales force and sales agents in other countries. As of March 31, 2026, nearly 150,000 procedures have been performed using our technologies since initial commercialization.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Factors Affecting Results of Operations and Key Performance Indicators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Introduce Solutions Addressing New Markets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believe we are the industry leader in pioneering anatomy-specific solutions that are grounded in our biomechanical design expertise and backed by strong clinical evidence. Our product development strategy focuses on addressing unmet clinical needs while leveraging our existing platform technologies, enabling us to expand surgeon adoption and increase procedure volumes over time. As pioneers of minimally invasive treatment for sacroiliac joint dysfunction and degeneration, we developed a deep competency in addressing the challenges of low-density bone in the sacrum. Over the years, we have expanded our platform of solutions to address spinopelvic fixation and pelvic trauma. Our focus on innovation has resulted in three of our platform technologies being designated as breakthrough devices by the FDA.</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invest in research and development initiatives to bring new and differentiated solutions to the market.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the three months ended March 31, 2026, we spent $4.2 million on research and development, equating to 8.0% of our revenue. During the three months ended March 31, 2025, we spent $4.5 million on research and development, equating to 9.6% of our revenue.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Expand Access to Solutions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growth is driven by expansion of our sales organization, increased surgical capacity, and broader site-of-service adoption. As of March 31, 2026, our U.S. commercial organization included 89 territory sales managers, 80 clinical support specialists, and 336 third-party sales agents, compared to 85 territory sales managers, 78 clinical support specialists, and 278 third-party sales agents as of March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international commercial organization included 10 direct sales representatives and 28 third-party sales agents and resellers, compared to 10 direct sales representatives and 29 third-party sales agents and resellers as of March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expanded platform allows us to serve our physicians across all sites of care. Over 33% of U.S. sacroiliac joint procedures were performed in ambulatory surgical center (“ASC”) and office-based lab (“OBL”) settings during the quarter.</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Engage and Educate Physicians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Physician adoption and utilization are key drivers of our revenue growth. We focus on:</w:t>
      </w:r>
    </w:p>
    <w:p>
      <w:pPr>
        <w:pStyle w:val="TextBody"/>
        <w:bidi w:val="0"/>
        <w:spacing w:lineRule="auto" w:line="288" w:before="60" w:after="283"/>
        <w:ind w:left="0" w:right="0" w:firstLine="135"/>
        <w:jc w:val="both"/>
        <w:rPr/>
      </w:pPr>
      <w:r>
        <w:rPr>
          <w:color w:val="000000"/>
        </w:rPr>
        <w:t>•</w:t>
      </w:r>
      <w:r>
        <w:rPr>
          <w:rFonts w:ascii="Times New Roman;serif" w:hAnsi="Times New Roman;serif"/>
          <w:b w:val="false"/>
          <w:color w:val="000000"/>
          <w:sz w:val="20"/>
        </w:rPr>
        <w:t>increasing the number of active physicians performing our procedures;</w:t>
      </w:r>
    </w:p>
    <w:p>
      <w:pPr>
        <w:pStyle w:val="TextBody"/>
        <w:bidi w:val="0"/>
        <w:spacing w:lineRule="auto" w:line="288" w:before="60" w:after="283"/>
        <w:ind w:left="0" w:right="0" w:firstLine="135"/>
        <w:jc w:val="both"/>
        <w:rPr/>
      </w:pPr>
      <w:r>
        <w:rPr>
          <w:color w:val="000000"/>
        </w:rPr>
        <w:t>•</w:t>
      </w:r>
      <w:r>
        <w:rPr>
          <w:rFonts w:ascii="Times New Roman;serif" w:hAnsi="Times New Roman;serif"/>
          <w:b w:val="false"/>
          <w:color w:val="000000"/>
          <w:sz w:val="20"/>
        </w:rPr>
        <w:t>improving time to first case following training; and</w:t>
      </w:r>
    </w:p>
    <w:p>
      <w:pPr>
        <w:pStyle w:val="TextBody"/>
        <w:bidi w:val="0"/>
        <w:spacing w:lineRule="auto" w:line="288" w:before="60" w:after="283"/>
        <w:ind w:left="0" w:right="0" w:firstLine="135"/>
        <w:jc w:val="both"/>
        <w:rPr/>
      </w:pPr>
      <w:r>
        <w:rPr>
          <w:color w:val="000000"/>
        </w:rPr>
        <w:t>•</w:t>
      </w:r>
      <w:r>
        <w:rPr>
          <w:rFonts w:ascii="Times New Roman;serif" w:hAnsi="Times New Roman;serif"/>
          <w:b w:val="false"/>
          <w:color w:val="000000"/>
          <w:sz w:val="20"/>
        </w:rPr>
        <w:t>increasing procedures per active physician.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training programs include hands-on cadaveric sessions, simulator-based training, and structured onboarding programs designed to accelerate adoption and improve procedural efficiency. In addition to training new physicians and working with our existing physician customers to grow their use of our products, we have several initiatives to re-engage inactive physicians.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Enhance Employee Experience and Engagement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recruit and retain skilled personnel, particularly within our commercial organization, is a significant determinant of our success. We continue to focus on maintaining a competitive compensation structure and supporting sales force productivity and retention.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ensuring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we conduct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Gain Operational Efficiency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To support the growing demand for our solutions, we continue to focus on operational efficiency, including increasing sales force productivity, and optimizing utilization of our instrument trays.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As of March 31, 2026, our trailing twelve month average revenue per territory sales manager has increased to approximately $2.2 million from $2.0 million as of March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made significant investments in instrument trays and implants to support procedural growth. We continue to focus on improving capital efficiency through optimized inventory management and maximize our asset utilization by having our instrument trays used in more surgeries in any given time period. We routinely work with our suppliers to improve supply chain efficiency, lower manufacturing costs and reduce our cash investment in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revenue from sales of implants fluctuates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erif" w:hAnsi="Times New Roman;serif"/>
          <w:b w:val="false"/>
          <w:color w:val="000000"/>
          <w:sz w:val="20"/>
        </w:rPr>
        <w:t>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Cost of Goods Sold, Gross Profit, and Gross Margin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lineRule="auto" w:line="288" w:before="24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pStyle w:val="TextBody"/>
        <w:bidi w:val="0"/>
        <w:spacing w:lineRule="auto" w:line="276" w:before="24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lineRule="auto" w:line="288" w:before="24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is primarily related to our investments of excess cash in money market funds and marketable securities.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is primarily related to borrowings, amortization of debt issuance costs, and accretion of final fees on the First-Citizens Fourth Amended Loan Agreement.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net foreign exchange gains and losses on foreign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Comparison of the Three Months Ended March 31, 2026 and 2025 </w:t>
      </w:r>
    </w:p>
    <w:p>
      <w:pPr>
        <w:pStyle w:val="TextBody"/>
        <w:bidi w:val="0"/>
        <w:spacing w:lineRule="auto" w:line="288" w:before="240" w:after="283"/>
        <w:jc w:val="left"/>
        <w:rPr/>
      </w:pPr>
      <w:r>
        <w:rPr>
          <w:rFonts w:ascii="Times New Roman;serif" w:hAnsi="Times New Roman;serif"/>
          <w:b/>
          <w:i/>
          <w:color w:val="000000"/>
          <w:sz w:val="20"/>
        </w:rPr>
        <w:t>Revenue, Cost of Goods Sold, Gross Profit, and Gross Margin</w:t>
      </w:r>
      <w:r>
        <w:rPr>
          <w:rFonts w:ascii="Times New Roman;serif" w:hAnsi="Times New Roman;serif"/>
          <w:b w:val="false"/>
          <w:color w:val="000000"/>
          <w:sz w:val="20"/>
        </w:rPr>
        <w:t>:</w:t>
      </w:r>
    </w:p>
    <w:tbl>
      <w:tblPr>
        <w:tblW w:w="7047"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the majority of our revenue from sales to customers in the U.S. Revenue by geography is based on billing address of the customer. The table below summarizes our revenue by geography: </w:t>
      </w:r>
    </w:p>
    <w:p>
      <w:pPr>
        <w:pStyle w:val="TextBody"/>
        <w:bidi w:val="0"/>
        <w:spacing w:before="0" w:after="0"/>
        <w:ind w:left="0" w:right="0" w:firstLine="540"/>
        <w:jc w:val="left"/>
        <w:rPr/>
      </w:pPr>
      <w:r>
        <w:rPr/>
      </w:r>
    </w:p>
    <w:tbl>
      <w:tblPr>
        <w:tblW w:w="9042"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616"/>
        <w:gridCol w:w="109"/>
        <w:gridCol w:w="109"/>
        <w:gridCol w:w="109"/>
        <w:gridCol w:w="109"/>
        <w:gridCol w:w="255"/>
        <w:gridCol w:w="256"/>
        <w:gridCol w:w="57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75" w:type="dxa"/>
            <w:gridSpan w:val="30"/>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The increase in revenue for the three months ended March 31, 2026 as compared to the three months ended March 31, 2025 was primarily driven by higher U.S. procedure volumes, supported by expanded adoption of our product portfolio, increased sales channel coverage, and continued growth in ASC and OBL settings.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Gross Profit and Gross Margin.</w:t>
      </w:r>
      <w:r>
        <w:rPr>
          <w:color w:val="000000"/>
        </w:rPr>
        <w:t xml:space="preserve"> </w:t>
      </w:r>
      <w:r>
        <w:rPr>
          <w:rFonts w:ascii="Times New Roman;serif" w:hAnsi="Times New Roman;serif"/>
          <w:b w:val="false"/>
          <w:color w:val="000000"/>
          <w:sz w:val="20"/>
        </w:rPr>
        <w:t>Gross profit increased $4.2 million for the three months ended March 31, 2026 as compared to the three months ended March 31, 2025, mainly driven by higher revenue. The gross margin remained stable year-over-year, reflecting lower product costs partially offset by higher royalty expenses.</w: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i/>
          <w:color w:val="000000"/>
          <w:sz w:val="20"/>
        </w:rPr>
        <w:t>Operating Expenses</w:t>
      </w:r>
      <w:r>
        <w:rPr>
          <w:rFonts w:ascii="Times New Roman;serif" w:hAnsi="Times New Roman;serif"/>
          <w:b w:val="false"/>
          <w:color w:val="000000"/>
          <w:sz w:val="20"/>
        </w:rPr>
        <w:t>:</w:t>
      </w:r>
    </w:p>
    <w:tbl>
      <w:tblPr>
        <w:tblW w:w="7534" w:type="dxa"/>
        <w:jc w:val="left"/>
        <w:tblInd w:w="0" w:type="dxa"/>
        <w:tblLayout w:type="fixed"/>
        <w:tblCellMar>
          <w:top w:w="28" w:type="dxa"/>
          <w:left w:w="28" w:type="dxa"/>
          <w:bottom w:w="28" w:type="dxa"/>
          <w:right w:w="28" w:type="dxa"/>
        </w:tblCellMar>
      </w:tblPr>
      <w:tblGrid>
        <w:gridCol w:w="836"/>
        <w:gridCol w:w="736"/>
        <w:gridCol w:w="738"/>
        <w:gridCol w:w="226"/>
        <w:gridCol w:w="772"/>
        <w:gridCol w:w="116"/>
        <w:gridCol w:w="116"/>
        <w:gridCol w:w="116"/>
        <w:gridCol w:w="116"/>
        <w:gridCol w:w="226"/>
        <w:gridCol w:w="772"/>
        <w:gridCol w:w="116"/>
        <w:gridCol w:w="109"/>
        <w:gridCol w:w="109"/>
        <w:gridCol w:w="109"/>
        <w:gridCol w:w="211"/>
        <w:gridCol w:w="616"/>
        <w:gridCol w:w="109"/>
        <w:gridCol w:w="109"/>
        <w:gridCol w:w="109"/>
        <w:gridCol w:w="109"/>
        <w:gridCol w:w="239"/>
        <w:gridCol w:w="241"/>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47,037 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Sales and Marketing Expenses. </w:t>
      </w:r>
      <w:r>
        <w:rPr>
          <w:rFonts w:ascii="Times New Roman;serif" w:hAnsi="Times New Roman;serif"/>
          <w:b w:val="false"/>
          <w:color w:val="000000"/>
          <w:sz w:val="20"/>
        </w:rPr>
        <w:t>The increase in sales and marketing expenses for the three months ended March 31, 2026 as compared to the three months ended March 31, 2025 was primarily due to a $0.8 million increase in commissions and employee related costs driven by higher revenues and increase in headcount, and a $1.6 million increase in travel, training and marketing activities, partially offset by a decrease of $0.3 million related to stock-based compensation.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The decrease in research and development expenses for the three months ended March 31, 2026 as compared to the three months ended March 31, 2025 was due to timing and stage of product development across projects, as we continue to invest in recently launched products, next generation product development, and clinical and regulatory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The increase in general and administrative expenses for the three months ended March 31, 2026 compared to the three months ended March 31, 2025 was primarily due to a $0.3 million increase in personnel costs and stock-based compensation, partially offset by a $0.3 million decrease in professional service costs.</w:t>
      </w:r>
    </w:p>
    <w:p>
      <w:pPr>
        <w:pStyle w:val="TextBody"/>
        <w:bidi w:val="0"/>
        <w:spacing w:lineRule="auto" w:line="288" w:before="240" w:after="240"/>
        <w:ind w:left="0" w:right="0" w:firstLine="540"/>
        <w:jc w:val="left"/>
        <w:rPr/>
      </w:pPr>
      <w:r>
        <w:rPr>
          <w:rFonts w:ascii="Times New Roman;serif" w:hAnsi="Times New Roman;serif"/>
          <w:b/>
          <w:i/>
          <w:color w:val="000000"/>
          <w:sz w:val="20"/>
        </w:rPr>
        <w:t>Interest and Other Income (Expense), Net</w:t>
      </w:r>
      <w:r>
        <w:rPr>
          <w:rFonts w:ascii="Times New Roman;serif" w:hAnsi="Times New Roman;serif"/>
          <w:b w:val="false"/>
          <w:color w:val="000000"/>
          <w:sz w:val="20"/>
        </w:rPr>
        <w:t>:</w:t>
      </w:r>
    </w:p>
    <w:tbl>
      <w:tblPr>
        <w:tblW w:w="8313" w:type="dxa"/>
        <w:jc w:val="left"/>
        <w:tblInd w:w="0" w:type="dxa"/>
        <w:tblLayout w:type="fixed"/>
        <w:tblCellMar>
          <w:top w:w="28" w:type="dxa"/>
          <w:left w:w="28" w:type="dxa"/>
          <w:bottom w:w="28" w:type="dxa"/>
          <w:right w:w="28" w:type="dxa"/>
        </w:tblCellMar>
      </w:tblPr>
      <w:tblGrid>
        <w:gridCol w:w="1108"/>
        <w:gridCol w:w="974"/>
        <w:gridCol w:w="977"/>
        <w:gridCol w:w="247"/>
        <w:gridCol w:w="723"/>
        <w:gridCol w:w="127"/>
        <w:gridCol w:w="127"/>
        <w:gridCol w:w="127"/>
        <w:gridCol w:w="127"/>
        <w:gridCol w:w="247"/>
        <w:gridCol w:w="723"/>
        <w:gridCol w:w="127"/>
        <w:gridCol w:w="109"/>
        <w:gridCol w:w="109"/>
        <w:gridCol w:w="109"/>
        <w:gridCol w:w="211"/>
        <w:gridCol w:w="541"/>
        <w:gridCol w:w="109"/>
        <w:gridCol w:w="109"/>
        <w:gridCol w:w="109"/>
        <w:gridCol w:w="109"/>
        <w:gridCol w:w="293"/>
        <w:gridCol w:w="293"/>
        <w:gridCol w:w="57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net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The decrease in interest income for the three months ended March 31, 2026 as compared to the three months ended March 31, 2025 was primarily due to lower interest earned on our investments in marketable securities, primarily as a result of lower interest rates.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The decrease in interest expense for the three months ended March 31, 2026 as compared to the three months ended March 31, 2025 was primarily due to lower interest rates associated with the First-Citizens Fourth Amended Loan Agreement.</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The change in other income (expense), net for the three months ended March 31, 2026 as compared to the three months ended March 31, 2025 was primarily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cash and marketable securities of $144.7 million as compared to $147.8 million as of December 31, 2025. We have financed our operations primarily through our public offerings and debt financing arrangements. As of both March 31, 2026 and December 31, 2025, we had $35.6 million in outstanding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an accumulated deficit of $454.6 million as compared to $450.3 million as of December 31, 2025. During the three months ended March 31, 2026, we incurred a net loss of $4.3 million. During the years ended December 31, 2025 and 2024, we incurred a net loss of $18.9 million and $30.9 million, respectively, and expect to incur additional losses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our current operating plan, we believe that our existing cash and marketable securities will enable us to fund our operating expenses and capital expenditure requirements over the next 12 months from the filing of this Form 10-Q. However, the financial impact of a potential economic downturn or capital market disruptions pose risks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 In addition, as we seek to deploy new product offerings, the need for additional capital to fund the purchase of inventories of implants and instrument trays may become more acute and may limit the number of revenue opportunities that we pursue. Each new product family introduced typically requires the purchase of consumable implant inventory as well as investment in a fleet of instrument trays required to support procedures nationwide.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debt is related to a Loan and Security Agreement (the “Original Loan Agreement”) dated August 12, 2021 (the “Effective Date”), entered into by us and Silicon Valley Bank, a California corporation (“SVB”). Pursuant to the Original Loan Agreement, we borrowed a term loan in the aggregate principal amount of $35.0 million (the “Original Term Loan”).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6, 2023, we entered into a First Amendment to Loan and Security Agreement with SVB to amend our Original Loan Agreement (the “First Amendment” and together with the Original Loan Agreement, collectively the “Amended Loan Agreement”). Upon entry into the Amended Loan Agreement, we borrowed a new term loan in the aggregate principal amount of $36.0 million (the “First Amendment Term Loan”), which was substantially used to repay in full the $35.0 million Original Term Loan outstanding under the Original Loan Agreement, and we also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we entered into a Second Amendment to Loan and Security Agreement with Silicon Valley Bank, a division of First-Citizens Bank &amp; Trust Company, as successor in interest to SVB (“First-Citizens”) to further amend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8, 2024, we entered into a Third Amendment to Loan and Security Agreement with First-Citizens to further amend our Second Amended Loan Agreement (the “Third Amendment” and together with the Second Amended Loan Agreement, collectively, the “Third Amended Loan Agreement”). Upon entry into the Third Amended Loan Agreement, we borrowed a new term loan in the aggregate principal amount of $36.0 million (the “Third Amendment Term Loan”), which was substantially used to refinance and repay in full the then-outstanding $36.0 million First Amendment Term Loan. We also paid a certain final payment fee due related to such prior First Amendment Term Loan. The Third Amendment set the maturity date for the Third Amendment Term Loan to September 1, 2029 (the "Third Amendment Term Loan Maturity Date"), and set the first principal repayment due date for to the Third Amendment Term Loan to October 1, 2027, which date will, upon the achievement of the Performance Milestone (as defined in the Third Amendment), be October 1, 2028. Interest on the outstanding principal balance of the Third Amendment Term Loan is payable monthly at a floating rate per annum equal to the greater of 4.25% and the WSJ prime rate minus 0.5%. The Company may elect to prepay the Third Amendment Term Loan in whole prior to the Third Amendment Term Loan Maturity Date, subject to a prepayment fee equal to 1.5% of the original principal amount of the Third Amendment Term Loan if the loan is prepaid within 18 months following the closing of the Third Amendment. The Third Amendment revised certain provisions related to financial covenants and the periods in which such covenants apply, and First-Citizens and the Company also agreed to terminate the Revolving Line and an uncommitted accordion term loan provision.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25, 2025, we entered into a Fourth Amendment to Loan and Security Agreement with First-Citizens to further amend our Third Amended Loan Agreement (the “Fourth Amendment” and together with the Third Amended Loan Agreement, collectively, the “Fourth Amended Loan Agreement”). The Fourth Amendment revised the periods in which the financial covenants applied.</w:t>
      </w:r>
    </w:p>
    <w:p>
      <w:pPr>
        <w:pStyle w:val="TextBody"/>
        <w:bidi w:val="0"/>
        <w:spacing w:lineRule="auto" w:line="288" w:before="24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Cash requirement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include various contractual and other obligations consisting of long-term debt obligations with First-Citizens, purchase obligations with some of our suppliers and have not changed materially since the Form 10-K filed with the SEC on February 24, 2026. In February 2026, we entered into an operating lease for an office building in San Jose, California. As of March 31, 2026, expected timing of those payments are as follows:</w:t>
      </w:r>
    </w:p>
    <w:tbl>
      <w:tblPr>
        <w:tblW w:w="9949" w:type="dxa"/>
        <w:jc w:val="left"/>
        <w:tblInd w:w="0" w:type="dxa"/>
        <w:tblLayout w:type="fixed"/>
        <w:tblCellMar>
          <w:top w:w="28" w:type="dxa"/>
          <w:left w:w="28" w:type="dxa"/>
          <w:bottom w:w="28" w:type="dxa"/>
          <w:right w:w="28" w:type="dxa"/>
        </w:tblCellMar>
      </w:tblPr>
      <w:tblGrid>
        <w:gridCol w:w="944"/>
        <w:gridCol w:w="830"/>
        <w:gridCol w:w="836"/>
        <w:gridCol w:w="211"/>
        <w:gridCol w:w="721"/>
        <w:gridCol w:w="109"/>
        <w:gridCol w:w="109"/>
        <w:gridCol w:w="109"/>
        <w:gridCol w:w="109"/>
        <w:gridCol w:w="307"/>
        <w:gridCol w:w="898"/>
        <w:gridCol w:w="159"/>
        <w:gridCol w:w="109"/>
        <w:gridCol w:w="109"/>
        <w:gridCol w:w="109"/>
        <w:gridCol w:w="211"/>
        <w:gridCol w:w="721"/>
        <w:gridCol w:w="109"/>
        <w:gridCol w:w="109"/>
        <w:gridCol w:w="109"/>
        <w:gridCol w:w="109"/>
        <w:gridCol w:w="211"/>
        <w:gridCol w:w="721"/>
        <w:gridCol w:w="109"/>
        <w:gridCol w:w="109"/>
        <w:gridCol w:w="109"/>
        <w:gridCol w:w="109"/>
        <w:gridCol w:w="332"/>
        <w:gridCol w:w="970"/>
        <w:gridCol w:w="242"/>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More than 5 years</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Principal obligations </w:t>
            </w:r>
            <w:r>
              <w:rPr>
                <w:rFonts w:ascii="Times New Roman;serif" w:hAnsi="Times New Roman;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Interest obligations </w:t>
            </w:r>
            <w:r>
              <w:rPr>
                <w:rFonts w:ascii="Times New Roman;serif" w:hAnsi="Times New Roman;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obligations </w:t>
            </w:r>
            <w:r>
              <w:rPr>
                <w:rFonts w:ascii="Times New Roman;serif" w:hAnsi="Times New Roman;serif"/>
                <w:b w:val="false"/>
                <w:color w:val="000000"/>
                <w:sz w:val="16"/>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the principal obligations of our First-Citizens Fourth Amended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6"/>
        </w:rPr>
        <w:t>(2)Represents the future interest obligations on our First-Citizens Fourth Amended Loan Agreement estimated using an interest rate of 6.25%</w:t>
      </w:r>
      <w:r>
        <w:rPr>
          <w:color w:val="000000"/>
        </w:rPr>
        <w:t xml:space="preserve"> </w:t>
      </w:r>
      <w:r>
        <w:rPr>
          <w:rFonts w:ascii="Times New Roman;serif" w:hAnsi="Times New Roman;serif"/>
          <w:b w:val="false"/>
          <w:color w:val="000000"/>
          <w:sz w:val="16"/>
        </w:rPr>
        <w:t>as of March 31,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(3)Consists of future non-cancelable rent payments under operating lease obligations, excluding expected tenant improvement allowance of $3.8 million related to our San Jose office lease. </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compares to $47.7 million of contractual obligations as of December 31, 2025.</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tbl>
      <w:tblPr>
        <w:tblW w:w="9441" w:type="dxa"/>
        <w:jc w:val="left"/>
        <w:tblInd w:w="0" w:type="dxa"/>
        <w:tblLayout w:type="fixed"/>
        <w:tblCellMar>
          <w:top w:w="28" w:type="dxa"/>
          <w:left w:w="28" w:type="dxa"/>
          <w:bottom w:w="28" w:type="dxa"/>
          <w:right w:w="28" w:type="dxa"/>
        </w:tblCellMar>
      </w:tblPr>
      <w:tblGrid>
        <w:gridCol w:w="1864"/>
        <w:gridCol w:w="1644"/>
        <w:gridCol w:w="1652"/>
        <w:gridCol w:w="231"/>
        <w:gridCol w:w="759"/>
        <w:gridCol w:w="119"/>
        <w:gridCol w:w="119"/>
        <w:gridCol w:w="119"/>
        <w:gridCol w:w="119"/>
        <w:gridCol w:w="231"/>
        <w:gridCol w:w="759"/>
        <w:gridCol w:w="119"/>
        <w:gridCol w:w="109"/>
        <w:gridCol w:w="109"/>
        <w:gridCol w:w="109"/>
        <w:gridCol w:w="211"/>
        <w:gridCol w:w="796"/>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cash provided by (used in):</w:t>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Used in Operating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net cash used in operating activities was $2.4 million, consisting of a net loss of $4.3 million and an increase in net operating assets of $5.9 million, partially offset by non-cash charges of $7.9 million. During the three months ended March 31, 2025, net cash used in operating activities was $4.9 million, consisting of a net loss of $6.5 million and an increase in net operating assets of $6.2 million, partially offset by non-cash charges of $7.8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changes in net operating assets during the three months ended March 31, 2026 included higher inventory levels to support new product introductions, higher accounts receivable due to timing of sales and cash collections, and lower accrued liabilities and higher accounts payable balance due to the timing of payments. Non-cash charges consisted primarily of stock-based compensation and depreciation. </w:t>
      </w:r>
    </w:p>
    <w:p>
      <w:pPr>
        <w:pStyle w:val="TextBody"/>
        <w:bidi w:val="0"/>
        <w:spacing w:lineRule="auto" w:line="288" w:before="24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the three months ended March 31, 2026 was $6.2 million as compared to cash provided by investing activities of $10.6 million in the three months ended March 31, 2025. Net cash used in investing activities for the three months ended March 31, 2026 consisted of purchases of our marketable securities net of maturities of $5.2 million, and purchases of property and equipment of $1.1 million primarily related to individual components in instrument trays to support revenue growth. Net cash provided by investing activities for the three months ended March 31, 2025 consisted of maturities of our marketable securities net of purchases of $12.7 million, and purchases of property and equipment of $2.1 million primarily related to individual components in instrument trays to support revenue growth.</w:t>
      </w:r>
    </w:p>
    <w:p>
      <w:pPr>
        <w:pStyle w:val="TextBody"/>
        <w:bidi w:val="0"/>
        <w:spacing w:lineRule="auto" w:line="288" w:before="24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financing activities in the three months ended March 31, 2026 and 2025 resulted from the issuance of common stock under our stock-based incentive compensation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2025 Annual Report. There had been no material changes to the descriptions of these accounting policies, judgments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including changes to foreign currency exchange rates and interest rates.</w:t>
      </w:r>
    </w:p>
    <w:p>
      <w:pPr>
        <w:pStyle w:val="TextBody"/>
        <w:bidi w:val="0"/>
        <w:spacing w:lineRule="auto" w:line="288" w:before="24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months ended March 31, 2026 and 2025 were not material. A hypothetical 100 basis point change in foreign exchange rates during any of the periods presented would not have had a material impact on our condensed consolidated financial statements.</w:t>
      </w:r>
    </w:p>
    <w:p>
      <w:pPr>
        <w:pStyle w:val="TextBody"/>
        <w:bidi w:val="0"/>
        <w:spacing w:lineRule="auto" w:line="288" w:before="24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 the execution of the Third Amendment with First-Citizens relative to the Third Amendment Term Loan, interest is payable monthly at a floating annual rate set at the greater of the prime rate as published in the Wall Street Journal minus 0.5% or 4.25%. Rising interest rates will increase the amount of interest paid on this debt. We believe that our exposure to interest rate risk is not significant due to the low risk profile of our investments and the amount of our Fourth Amended Term Loan, therefore a hypothetical 100 basis point change in market interest rates during any of the periods presented would not have had a material impact on our condensed consolidated financial statements.</w:t>
      </w:r>
    </w:p>
    <w:p>
      <w:pPr>
        <w:pStyle w:val="TextBody"/>
        <w:bidi w:val="0"/>
        <w:spacing w:before="24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March 31, 2026, our disclosure controls and procedures were effective at the reasonable assurance level. </w:t>
      </w:r>
    </w:p>
    <w:p>
      <w:pPr>
        <w:pStyle w:val="TextBody"/>
        <w:bidi w:val="0"/>
        <w:spacing w:lineRule="auto" w:line="288" w:before="24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bidi w:val="0"/>
        <w:spacing w:before="2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before="24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of our 2025 Annual Report. The risk factors described in our 2025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2025 Annual Report. Additional risks and uncertainties not presently known to us or that we currently believe to be immaterial may also adversely affect our business and the trading price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Trading Plans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 director or Section 16 officer adopted, amended or terminated any Rule 10b5-1 trading arrangement or non-Rule 10b5-1 trading arrangement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1"/>
        <w:gridCol w:w="242"/>
        <w:gridCol w:w="109"/>
        <w:gridCol w:w="109"/>
        <w:gridCol w:w="109"/>
        <w:gridCol w:w="1469"/>
        <w:gridCol w:w="1372"/>
        <w:gridCol w:w="1386"/>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7"/>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9/20/2023</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to Amended and Restated Certificate of Incorporation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6/26/2024</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Reference is made to Exhibits </w:t>
            </w:r>
            <w:hyperlink r:id="rId6">
              <w:r>
                <w:rPr>
                  <w:rStyle w:val="InternetLink"/>
                  <w:rFonts w:ascii="Times New Roman;serif" w:hAnsi="Times New Roman;serif"/>
                  <w:b w:val="false"/>
                  <w:color w:val="0000FF"/>
                  <w:sz w:val="20"/>
                  <w:u w:val="single"/>
                </w:rPr>
                <w:t>3.1</w:t>
              </w:r>
            </w:hyperlink>
            <w:r>
              <w:rPr>
                <w:color w:val="000000"/>
              </w:rPr>
              <w:t xml:space="preserve"> </w:t>
            </w:r>
            <w:r>
              <w:rPr>
                <w:rFonts w:ascii="Times New Roman;serif" w:hAnsi="Times New Roman;serif"/>
                <w:b w:val="false"/>
                <w:color w:val="000000"/>
                <w:sz w:val="20"/>
              </w:rPr>
              <w:t xml:space="preserve">and </w:t>
            </w:r>
            <w:hyperlink r:id="rId7">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Consulting Agreement between the Registrant and Anthony J. Recupero, effective as of February 16,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Anthony J. Recupero’s retirement letter dated July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Office Lease Agreement, dated February 20, 2026, between the Registrant and Orchard Commons,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2/24/2026</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331202610xq.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331202610xq.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331202610xq.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pPr>
      <w:r>
        <w:rPr>
          <w:rFonts w:ascii="Times New Roman;serif" w:hAnsi="Times New Roman;serif"/>
          <w:b w:val="false"/>
          <w:color w:val="000000"/>
          <w:sz w:val="20"/>
        </w:rPr>
        <w:t>**   Furnished herewith.</w:t>
      </w:r>
      <w:r>
        <w:rPr>
          <w:color w:val="000000"/>
        </w:rPr>
        <w:t> </w:t>
      </w:r>
      <w:r>
        <w:rPr>
          <w:rFonts w:ascii="Times New Roman;serif" w:hAnsi="Times New Roman;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May 11, 2026.</w:t>
      </w:r>
    </w:p>
    <w:p>
      <w:pPr>
        <w:pStyle w:val="TextBody"/>
        <w:bidi w:val="0"/>
        <w:spacing w:lineRule="auto" w:line="288" w:before="0" w:after="0"/>
        <w:jc w:val="left"/>
        <w:rPr>
          <w:color w:val="000000"/>
        </w:rPr>
      </w:pPr>
      <w:r>
        <w:rPr>
          <w:color w:val="000000"/>
        </w:rPr>
        <w:t> </w:t>
      </w:r>
    </w:p>
    <w:tbl>
      <w:tblPr>
        <w:tblW w:w="8563" w:type="dxa"/>
        <w:jc w:val="center"/>
        <w:tblInd w:w="0" w:type="dxa"/>
        <w:tblLayout w:type="fixed"/>
        <w:tblCellMar>
          <w:top w:w="28" w:type="dxa"/>
          <w:left w:w="28" w:type="dxa"/>
          <w:bottom w:w="28" w:type="dxa"/>
          <w:right w:w="28" w:type="dxa"/>
        </w:tblCellMar>
      </w:tblPr>
      <w:tblGrid>
        <w:gridCol w:w="216"/>
        <w:gridCol w:w="191"/>
        <w:gridCol w:w="192"/>
        <w:gridCol w:w="414"/>
        <w:gridCol w:w="414"/>
        <w:gridCol w:w="417"/>
        <w:gridCol w:w="200"/>
        <w:gridCol w:w="200"/>
        <w:gridCol w:w="200"/>
        <w:gridCol w:w="1777"/>
        <w:gridCol w:w="1777"/>
        <w:gridCol w:w="25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(Duly Authorized Officer and Principal Executive Officer</w:t>
            </w:r>
            <w:r>
              <w:rPr>
                <w:rFonts w:ascii="Times New Roman;serif" w:hAnsi="Times New Roman;serif"/>
                <w:b w:val="false"/>
                <w:color w:val="000000"/>
                <w:sz w:val="16"/>
              </w:rPr>
              <w:t xml:space="preserve">)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and Accounting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Laura A. Francis,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90"/>
        <w:jc w:val="both"/>
        <w:rPr>
          <w:color w:val="000000"/>
        </w:rPr>
      </w:pPr>
      <w:r>
        <w:rPr>
          <w:color w:val="000000"/>
        </w:rPr>
        <w:t> </w:t>
      </w:r>
    </w:p>
    <w:tbl>
      <w:tblPr>
        <w:tblW w:w="492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hanging="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60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09"/>
        <w:gridCol w:w="109"/>
        <w:gridCol w:w="109"/>
        <w:gridCol w:w="440"/>
        <w:gridCol w:w="440"/>
        <w:gridCol w:w="440"/>
        <w:gridCol w:w="440"/>
        <w:gridCol w:w="440"/>
        <w:gridCol w:w="440"/>
        <w:gridCol w:w="440"/>
        <w:gridCol w:w="440"/>
        <w:gridCol w:w="6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AND PRINCIPAL FINANCIAL OFFICER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The Company’s Quarterly Report on Form 10-Q for the period ended March 31, 2026, to which this Certification is attached as Exhibit 32.1 (the “Periodic Report”), fully complies with the requirements of Section 13(a) or Section 15(d) of the Exchange Act; 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Periodic Report fairly presents, in all material respects, the financial condition and results of operations of the Company. </w:t>
      </w:r>
    </w:p>
    <w:tbl>
      <w:tblPr>
        <w:tblW w:w="660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09"/>
        <w:gridCol w:w="109"/>
        <w:gridCol w:w="109"/>
        <w:gridCol w:w="290"/>
        <w:gridCol w:w="290"/>
        <w:gridCol w:w="290"/>
        <w:gridCol w:w="511"/>
        <w:gridCol w:w="511"/>
        <w:gridCol w:w="511"/>
        <w:gridCol w:w="511"/>
        <w:gridCol w:w="511"/>
        <w:gridCol w:w="7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9839/000119312518303020/d641574dex31.htm" TargetMode="External"/><Relationship Id="rId3" Type="http://schemas.openxmlformats.org/officeDocument/2006/relationships/hyperlink" Target="https://www.sec.gov/Archives/edgar/data/1459839/000145983923000095/secondamendedandrestatedby.htm" TargetMode="External"/><Relationship Id="rId4" Type="http://schemas.openxmlformats.org/officeDocument/2006/relationships/hyperlink" Target="https://www.sec.gov/ix?doc=/Archives/edgar/data/0001459839/000145983924000048/sibn-20240625.htm" TargetMode="External"/><Relationship Id="rId5" Type="http://schemas.openxmlformats.org/officeDocument/2006/relationships/hyperlink" Target="https://www.sec.gov/Archives/edgar/data/1459839/000119312518293978/d452987dex41.htm" TargetMode="External"/><Relationship Id="rId6" Type="http://schemas.openxmlformats.org/officeDocument/2006/relationships/hyperlink" Target="https://www.sec.gov/Archives/edgar/data/1459839/000119312518303020/d641574dex31.htm" TargetMode="External"/><Relationship Id="rId7" Type="http://schemas.openxmlformats.org/officeDocument/2006/relationships/hyperlink" Target="https://www.sec.gov/Archives/edgar/data/1459839/000119312518293978/d452987dex34.htm" TargetMode="External"/><Relationship Id="rId8" Type="http://schemas.openxmlformats.org/officeDocument/2006/relationships/hyperlink" Target="https://www.sec.gov/Archives/edgar/data/1459839/000145983925000076/sibn-ex103.htm" TargetMode="External"/><Relationship Id="rId9" Type="http://schemas.openxmlformats.org/officeDocument/2006/relationships/hyperlink" Target="https://www.sec.gov/Archives/edgar/data/1459839/000145983925000076/sibn-ex104.htm" TargetMode="External"/><Relationship Id="rId10" Type="http://schemas.openxmlformats.org/officeDocument/2006/relationships/hyperlink" Target="https://www.sec.gov/Archives/edgar/data/1459839/000145983926000036/exhibit1019-plumerialeasee.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14563</Words>
  <Characters>82008</Characters>
  <CharactersWithSpaces>95546</CharactersWithSpaces>
  <Paragraphs>1784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