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26, 2019</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191135</wp:posOffset>
            </wp:positionV>
            <wp:extent cx="19551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2120" w:type="dxa"/>
        <w:tblCellMar>
          <w:top w:w="0" w:type="dxa"/>
          <w:left w:w="0" w:type="dxa"/>
          <w:bottom w:w="0" w:type="dxa"/>
          <w:right w:w="0" w:type="dxa"/>
        </w:tblCellMar>
      </w:tblPr>
      <w:tr>
        <w:trPr>
          <w:trHeight w:val="281"/>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gridSpan w:val="2"/>
          </w:tcPr>
          <w:p>
            <w:pPr>
              <w:jc w:val="center"/>
              <w:ind w:right="1868"/>
              <w:spacing w:after="0"/>
              <w:rPr>
                <w:sz w:val="20"/>
                <w:szCs w:val="20"/>
                <w:color w:val="auto"/>
              </w:rPr>
            </w:pPr>
            <w:r>
              <w:rPr>
                <w:rFonts w:ascii="Arial" w:cs="Arial" w:eastAsia="Arial" w:hAnsi="Arial"/>
                <w:sz w:val="22"/>
                <w:szCs w:val="22"/>
                <w:b w:val="1"/>
                <w:bCs w:val="1"/>
                <w:color w:val="auto"/>
                <w:w w:val="96"/>
              </w:rPr>
              <w:t>FORM S-3</w:t>
            </w:r>
          </w:p>
        </w:tc>
      </w:tr>
      <w:tr>
        <w:trPr>
          <w:trHeight w:val="297"/>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gridSpan w:val="2"/>
          </w:tcPr>
          <w:p>
            <w:pPr>
              <w:jc w:val="center"/>
              <w:ind w:right="1848"/>
              <w:spacing w:after="0"/>
              <w:rPr>
                <w:sz w:val="20"/>
                <w:szCs w:val="20"/>
                <w:color w:val="auto"/>
              </w:rPr>
            </w:pPr>
            <w:r>
              <w:rPr>
                <w:rFonts w:ascii="Arial" w:cs="Arial" w:eastAsia="Arial" w:hAnsi="Arial"/>
                <w:sz w:val="22"/>
                <w:szCs w:val="22"/>
                <w:b w:val="1"/>
                <w:bCs w:val="1"/>
                <w:color w:val="auto"/>
                <w:w w:val="99"/>
              </w:rPr>
              <w:t>REGISTRATION STATEMENT</w:t>
            </w:r>
          </w:p>
        </w:tc>
      </w:tr>
      <w:tr>
        <w:trPr>
          <w:trHeight w:val="297"/>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gridSpan w:val="2"/>
          </w:tcPr>
          <w:p>
            <w:pPr>
              <w:jc w:val="center"/>
              <w:ind w:right="1848"/>
              <w:spacing w:after="0"/>
              <w:rPr>
                <w:sz w:val="20"/>
                <w:szCs w:val="20"/>
                <w:color w:val="auto"/>
              </w:rPr>
            </w:pPr>
            <w:r>
              <w:rPr>
                <w:rFonts w:ascii="Arial" w:cs="Arial" w:eastAsia="Arial" w:hAnsi="Arial"/>
                <w:sz w:val="22"/>
                <w:szCs w:val="22"/>
                <w:b w:val="1"/>
                <w:bCs w:val="1"/>
                <w:i w:val="1"/>
                <w:iCs w:val="1"/>
                <w:color w:val="auto"/>
                <w:w w:val="97"/>
              </w:rPr>
              <w:t>UNDER</w:t>
            </w:r>
          </w:p>
        </w:tc>
      </w:tr>
      <w:tr>
        <w:trPr>
          <w:trHeight w:val="297"/>
        </w:trPr>
        <w:tc>
          <w:tcPr>
            <w:tcW w:w="1940" w:type="dxa"/>
            <w:vAlign w:val="bottom"/>
          </w:tcPr>
          <w:p>
            <w:pPr>
              <w:spacing w:after="0"/>
              <w:rPr>
                <w:sz w:val="24"/>
                <w:szCs w:val="24"/>
                <w:color w:val="auto"/>
              </w:rPr>
            </w:pPr>
          </w:p>
        </w:tc>
        <w:tc>
          <w:tcPr>
            <w:tcW w:w="5120" w:type="dxa"/>
            <w:vAlign w:val="bottom"/>
            <w:gridSpan w:val="3"/>
          </w:tcPr>
          <w:p>
            <w:pPr>
              <w:jc w:val="center"/>
              <w:ind w:right="1728"/>
              <w:spacing w:after="0"/>
              <w:rPr>
                <w:sz w:val="20"/>
                <w:szCs w:val="20"/>
                <w:color w:val="auto"/>
              </w:rPr>
            </w:pPr>
            <w:r>
              <w:rPr>
                <w:rFonts w:ascii="Arial" w:cs="Arial" w:eastAsia="Arial" w:hAnsi="Arial"/>
                <w:sz w:val="22"/>
                <w:szCs w:val="22"/>
                <w:b w:val="1"/>
                <w:bCs w:val="1"/>
                <w:i w:val="1"/>
                <w:iCs w:val="1"/>
                <w:color w:val="auto"/>
                <w:w w:val="94"/>
              </w:rPr>
              <w:t>THE SECURITIES ACT OF 1933</w:t>
            </w:r>
          </w:p>
        </w:tc>
      </w:tr>
      <w:tr>
        <w:trPr>
          <w:trHeight w:val="281"/>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gridSpan w:val="2"/>
          </w:tcPr>
          <w:p>
            <w:pPr>
              <w:spacing w:after="0"/>
              <w:rPr>
                <w:sz w:val="24"/>
                <w:szCs w:val="24"/>
                <w:color w:val="auto"/>
              </w:rPr>
            </w:pPr>
          </w:p>
        </w:tc>
      </w:tr>
      <w:tr>
        <w:trPr>
          <w:trHeight w:val="375"/>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29"/>
                <w:szCs w:val="29"/>
                <w:b w:val="1"/>
                <w:bCs w:val="1"/>
                <w:color w:val="auto"/>
                <w:w w:val="96"/>
              </w:rPr>
              <w:t>SI-BONE, Inc.</w:t>
            </w:r>
          </w:p>
        </w:tc>
        <w:tc>
          <w:tcPr>
            <w:tcW w:w="1920" w:type="dxa"/>
            <w:vAlign w:val="bottom"/>
          </w:tcPr>
          <w:p>
            <w:pPr>
              <w:spacing w:after="0"/>
              <w:rPr>
                <w:sz w:val="24"/>
                <w:szCs w:val="24"/>
                <w:color w:val="auto"/>
              </w:rPr>
            </w:pPr>
          </w:p>
        </w:tc>
      </w:tr>
      <w:tr>
        <w:trPr>
          <w:trHeight w:val="194"/>
        </w:trPr>
        <w:tc>
          <w:tcPr>
            <w:tcW w:w="1940" w:type="dxa"/>
            <w:vAlign w:val="bottom"/>
          </w:tcPr>
          <w:p>
            <w:pPr>
              <w:spacing w:after="0"/>
              <w:rPr>
                <w:sz w:val="16"/>
                <w:szCs w:val="16"/>
                <w:color w:val="auto"/>
              </w:rPr>
            </w:pPr>
          </w:p>
        </w:tc>
        <w:tc>
          <w:tcPr>
            <w:tcW w:w="5120" w:type="dxa"/>
            <w:vAlign w:val="bottom"/>
            <w:gridSpan w:val="3"/>
          </w:tcPr>
          <w:p>
            <w:pPr>
              <w:jc w:val="center"/>
              <w:ind w:right="174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371"/>
        </w:trPr>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5120" w:type="dxa"/>
            <w:vAlign w:val="bottom"/>
            <w:gridSpan w:val="3"/>
          </w:tcPr>
          <w:p>
            <w:pPr>
              <w:jc w:val="center"/>
              <w:ind w:left="3613"/>
              <w:spacing w:after="0"/>
              <w:rPr>
                <w:sz w:val="20"/>
                <w:szCs w:val="20"/>
                <w:color w:val="auto"/>
              </w:rPr>
            </w:pPr>
            <w:r>
              <w:rPr>
                <w:rFonts w:ascii="Arial" w:cs="Arial" w:eastAsia="Arial" w:hAnsi="Arial"/>
                <w:sz w:val="16"/>
                <w:szCs w:val="16"/>
                <w:b w:val="1"/>
                <w:bCs w:val="1"/>
                <w:color w:val="auto"/>
                <w:w w:val="91"/>
              </w:rPr>
              <w:t>26-2216351</w:t>
            </w:r>
          </w:p>
        </w:tc>
      </w:tr>
      <w:tr>
        <w:trPr>
          <w:trHeight w:val="186"/>
        </w:trPr>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1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920" w:type="dxa"/>
            <w:vAlign w:val="bottom"/>
          </w:tcPr>
          <w:p>
            <w:pPr>
              <w:jc w:val="center"/>
              <w:ind w:left="44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1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920" w:type="dxa"/>
            <w:vAlign w:val="bottom"/>
          </w:tcPr>
          <w:p>
            <w:pPr>
              <w:jc w:val="center"/>
              <w:ind w:left="42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170815</wp:posOffset>
            </wp:positionV>
            <wp:extent cx="19551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370" w:lineRule="exact"/>
        <w:rPr>
          <w:sz w:val="24"/>
          <w:szCs w:val="24"/>
          <w:color w:val="auto"/>
        </w:rPr>
      </w:pPr>
    </w:p>
    <w:p>
      <w:pPr>
        <w:ind w:left="4660"/>
        <w:spacing w:after="0"/>
        <w:rPr>
          <w:sz w:val="20"/>
          <w:szCs w:val="20"/>
          <w:color w:val="auto"/>
        </w:rPr>
      </w:pPr>
      <w:r>
        <w:rPr>
          <w:rFonts w:ascii="Arial" w:cs="Arial" w:eastAsia="Arial" w:hAnsi="Arial"/>
          <w:sz w:val="16"/>
          <w:szCs w:val="16"/>
          <w:b w:val="1"/>
          <w:bCs w:val="1"/>
          <w:color w:val="auto"/>
        </w:rPr>
        <w:t>471 El Camino Real, Suite 101</w:t>
      </w:r>
    </w:p>
    <w:p>
      <w:pPr>
        <w:spacing w:after="0" w:line="23" w:lineRule="exact"/>
        <w:rPr>
          <w:sz w:val="24"/>
          <w:szCs w:val="24"/>
          <w:color w:val="auto"/>
        </w:rPr>
      </w:pPr>
    </w:p>
    <w:p>
      <w:pPr>
        <w:ind w:left="4920"/>
        <w:spacing w:after="0"/>
        <w:rPr>
          <w:sz w:val="20"/>
          <w:szCs w:val="20"/>
          <w:color w:val="auto"/>
        </w:rPr>
      </w:pPr>
      <w:r>
        <w:rPr>
          <w:rFonts w:ascii="Arial" w:cs="Arial" w:eastAsia="Arial" w:hAnsi="Arial"/>
          <w:sz w:val="16"/>
          <w:szCs w:val="16"/>
          <w:b w:val="1"/>
          <w:bCs w:val="1"/>
          <w:color w:val="auto"/>
        </w:rPr>
        <w:t>Santa Clara, CA 95050</w:t>
      </w:r>
    </w:p>
    <w:p>
      <w:pPr>
        <w:spacing w:after="0" w:line="8"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b w:val="1"/>
          <w:bCs w:val="1"/>
          <w:color w:val="auto"/>
        </w:rPr>
        <w:t>(408) 207</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0700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184785</wp:posOffset>
            </wp:positionV>
            <wp:extent cx="19551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Laura A. Francis</w:t>
      </w:r>
    </w:p>
    <w:p>
      <w:pPr>
        <w:spacing w:after="0" w:line="26"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Chief Financial Officer and Chief Operating Officer</w:t>
      </w:r>
    </w:p>
    <w:p>
      <w:pPr>
        <w:spacing w:after="0" w:line="15" w:lineRule="exact"/>
        <w:rPr>
          <w:sz w:val="24"/>
          <w:szCs w:val="24"/>
          <w:color w:val="auto"/>
        </w:rPr>
      </w:pPr>
    </w:p>
    <w:p>
      <w:pPr>
        <w:ind w:left="4660"/>
        <w:spacing w:after="0"/>
        <w:rPr>
          <w:sz w:val="20"/>
          <w:szCs w:val="20"/>
          <w:color w:val="auto"/>
        </w:rPr>
      </w:pPr>
      <w:r>
        <w:rPr>
          <w:rFonts w:ascii="Arial" w:cs="Arial" w:eastAsia="Arial" w:hAnsi="Arial"/>
          <w:sz w:val="16"/>
          <w:szCs w:val="16"/>
          <w:b w:val="1"/>
          <w:bCs w:val="1"/>
          <w:color w:val="auto"/>
        </w:rPr>
        <w:t>471 El Camino Real, Suite 101</w:t>
      </w:r>
    </w:p>
    <w:p>
      <w:pPr>
        <w:spacing w:after="0" w:line="5" w:lineRule="exact"/>
        <w:rPr>
          <w:sz w:val="24"/>
          <w:szCs w:val="24"/>
          <w:color w:val="auto"/>
        </w:rPr>
      </w:pPr>
    </w:p>
    <w:p>
      <w:pPr>
        <w:ind w:left="4920"/>
        <w:spacing w:after="0"/>
        <w:rPr>
          <w:sz w:val="20"/>
          <w:szCs w:val="20"/>
          <w:color w:val="auto"/>
        </w:rPr>
      </w:pPr>
      <w:r>
        <w:rPr>
          <w:rFonts w:ascii="Arial" w:cs="Arial" w:eastAsia="Arial" w:hAnsi="Arial"/>
          <w:sz w:val="16"/>
          <w:szCs w:val="16"/>
          <w:b w:val="1"/>
          <w:bCs w:val="1"/>
          <w:color w:val="auto"/>
        </w:rPr>
        <w:t>Santa Clara, CA 95050</w:t>
      </w:r>
    </w:p>
    <w:p>
      <w:pPr>
        <w:spacing w:after="0" w:line="8"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(408) 207</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0700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184785</wp:posOffset>
            </wp:positionV>
            <wp:extent cx="19551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tbl>
      <w:tblPr>
        <w:tblLayout w:type="fixed"/>
        <w:tblInd w:w="1920" w:type="dxa"/>
        <w:tblCellMar>
          <w:top w:w="0" w:type="dxa"/>
          <w:left w:w="0" w:type="dxa"/>
          <w:bottom w:w="0" w:type="dxa"/>
          <w:right w:w="0" w:type="dxa"/>
        </w:tblCellMar>
      </w:tblPr>
      <w:tr>
        <w:trPr>
          <w:trHeight w:val="206"/>
        </w:trPr>
        <w:tc>
          <w:tcPr>
            <w:tcW w:w="3360" w:type="dxa"/>
            <w:vAlign w:val="bottom"/>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Copies to:</w:t>
            </w:r>
          </w:p>
        </w:tc>
      </w:tr>
      <w:tr>
        <w:trPr>
          <w:trHeight w:val="473"/>
        </w:trPr>
        <w:tc>
          <w:tcPr>
            <w:tcW w:w="3360" w:type="dxa"/>
            <w:vAlign w:val="bottom"/>
          </w:tcPr>
          <w:p>
            <w:pPr>
              <w:jc w:val="center"/>
              <w:spacing w:after="0"/>
              <w:rPr>
                <w:sz w:val="20"/>
                <w:szCs w:val="20"/>
                <w:color w:val="auto"/>
              </w:rPr>
            </w:pPr>
            <w:r>
              <w:rPr>
                <w:rFonts w:ascii="Arial" w:cs="Arial" w:eastAsia="Arial" w:hAnsi="Arial"/>
                <w:sz w:val="16"/>
                <w:szCs w:val="16"/>
                <w:b w:val="1"/>
                <w:bCs w:val="1"/>
                <w:color w:val="auto"/>
                <w:w w:val="91"/>
              </w:rPr>
              <w:t>Michael A. Pisetsky</w:t>
            </w:r>
          </w:p>
        </w:tc>
        <w:tc>
          <w:tcPr>
            <w:tcW w:w="4040" w:type="dxa"/>
            <w:vAlign w:val="bottom"/>
          </w:tcPr>
          <w:p>
            <w:pPr>
              <w:jc w:val="center"/>
              <w:ind w:left="1059"/>
              <w:spacing w:after="0"/>
              <w:rPr>
                <w:sz w:val="20"/>
                <w:szCs w:val="20"/>
                <w:color w:val="auto"/>
              </w:rPr>
            </w:pPr>
            <w:r>
              <w:rPr>
                <w:rFonts w:ascii="Arial" w:cs="Arial" w:eastAsia="Arial" w:hAnsi="Arial"/>
                <w:sz w:val="16"/>
                <w:szCs w:val="16"/>
                <w:b w:val="1"/>
                <w:bCs w:val="1"/>
                <w:color w:val="auto"/>
                <w:w w:val="93"/>
              </w:rPr>
              <w:t>Matthew B. Hemington</w:t>
            </w:r>
          </w:p>
        </w:tc>
      </w:tr>
      <w:tr>
        <w:trPr>
          <w:trHeight w:val="257"/>
        </w:trPr>
        <w:tc>
          <w:tcPr>
            <w:tcW w:w="3360" w:type="dxa"/>
            <w:vAlign w:val="bottom"/>
          </w:tcPr>
          <w:p>
            <w:pPr>
              <w:jc w:val="center"/>
              <w:spacing w:after="0"/>
              <w:rPr>
                <w:sz w:val="20"/>
                <w:szCs w:val="20"/>
                <w:color w:val="auto"/>
              </w:rPr>
            </w:pPr>
            <w:r>
              <w:rPr>
                <w:rFonts w:ascii="Arial" w:cs="Arial" w:eastAsia="Arial" w:hAnsi="Arial"/>
                <w:sz w:val="16"/>
                <w:szCs w:val="16"/>
                <w:b w:val="1"/>
                <w:bCs w:val="1"/>
                <w:color w:val="auto"/>
                <w:w w:val="92"/>
              </w:rPr>
              <w:t>General Counsel and Chief Compliance Officer</w:t>
            </w:r>
          </w:p>
        </w:tc>
        <w:tc>
          <w:tcPr>
            <w:tcW w:w="4040" w:type="dxa"/>
            <w:vAlign w:val="bottom"/>
          </w:tcPr>
          <w:p>
            <w:pPr>
              <w:jc w:val="center"/>
              <w:ind w:left="1059"/>
              <w:spacing w:after="0"/>
              <w:rPr>
                <w:sz w:val="20"/>
                <w:szCs w:val="20"/>
                <w:color w:val="auto"/>
              </w:rPr>
            </w:pPr>
            <w:r>
              <w:rPr>
                <w:rFonts w:ascii="Arial" w:cs="Arial" w:eastAsia="Arial" w:hAnsi="Arial"/>
                <w:sz w:val="16"/>
                <w:szCs w:val="16"/>
                <w:b w:val="1"/>
                <w:bCs w:val="1"/>
                <w:color w:val="auto"/>
                <w:w w:val="96"/>
              </w:rPr>
              <w:t>Brett D. White</w:t>
            </w:r>
          </w:p>
        </w:tc>
      </w:tr>
      <w:tr>
        <w:trPr>
          <w:trHeight w:val="257"/>
        </w:trPr>
        <w:tc>
          <w:tcPr>
            <w:tcW w:w="3360" w:type="dxa"/>
            <w:vAlign w:val="bottom"/>
          </w:tcPr>
          <w:p>
            <w:pPr>
              <w:jc w:val="center"/>
              <w:spacing w:after="0"/>
              <w:rPr>
                <w:sz w:val="20"/>
                <w:szCs w:val="20"/>
                <w:color w:val="auto"/>
              </w:rPr>
            </w:pPr>
            <w:r>
              <w:rPr>
                <w:rFonts w:ascii="Arial" w:cs="Arial" w:eastAsia="Arial" w:hAnsi="Arial"/>
                <w:sz w:val="16"/>
                <w:szCs w:val="16"/>
                <w:b w:val="1"/>
                <w:bCs w:val="1"/>
                <w:color w:val="auto"/>
                <w:w w:val="91"/>
              </w:rPr>
              <w:t>471 El Camino Real, Suite 101</w:t>
            </w:r>
          </w:p>
        </w:tc>
        <w:tc>
          <w:tcPr>
            <w:tcW w:w="4040" w:type="dxa"/>
            <w:vAlign w:val="bottom"/>
          </w:tcPr>
          <w:p>
            <w:pPr>
              <w:jc w:val="center"/>
              <w:ind w:left="1079"/>
              <w:spacing w:after="0"/>
              <w:rPr>
                <w:sz w:val="20"/>
                <w:szCs w:val="20"/>
                <w:color w:val="auto"/>
              </w:rPr>
            </w:pPr>
            <w:r>
              <w:rPr>
                <w:rFonts w:ascii="Arial" w:cs="Arial" w:eastAsia="Arial" w:hAnsi="Arial"/>
                <w:sz w:val="16"/>
                <w:szCs w:val="16"/>
                <w:b w:val="1"/>
                <w:bCs w:val="1"/>
                <w:color w:val="auto"/>
                <w:w w:val="95"/>
              </w:rPr>
              <w:t>Cooley LLP</w:t>
            </w:r>
          </w:p>
        </w:tc>
      </w:tr>
      <w:tr>
        <w:trPr>
          <w:trHeight w:val="257"/>
        </w:trPr>
        <w:tc>
          <w:tcPr>
            <w:tcW w:w="3360" w:type="dxa"/>
            <w:vAlign w:val="bottom"/>
          </w:tcPr>
          <w:p>
            <w:pPr>
              <w:jc w:val="center"/>
              <w:spacing w:after="0"/>
              <w:rPr>
                <w:sz w:val="20"/>
                <w:szCs w:val="20"/>
                <w:color w:val="auto"/>
              </w:rPr>
            </w:pPr>
            <w:r>
              <w:rPr>
                <w:rFonts w:ascii="Arial" w:cs="Arial" w:eastAsia="Arial" w:hAnsi="Arial"/>
                <w:sz w:val="16"/>
                <w:szCs w:val="16"/>
                <w:b w:val="1"/>
                <w:bCs w:val="1"/>
                <w:color w:val="auto"/>
                <w:w w:val="94"/>
              </w:rPr>
              <w:t>Santa Clara, CA 95050</w:t>
            </w:r>
          </w:p>
        </w:tc>
        <w:tc>
          <w:tcPr>
            <w:tcW w:w="4040" w:type="dxa"/>
            <w:vAlign w:val="bottom"/>
          </w:tcPr>
          <w:p>
            <w:pPr>
              <w:jc w:val="center"/>
              <w:ind w:left="1059"/>
              <w:spacing w:after="0"/>
              <w:rPr>
                <w:sz w:val="20"/>
                <w:szCs w:val="20"/>
                <w:color w:val="auto"/>
              </w:rPr>
            </w:pPr>
            <w:r>
              <w:rPr>
                <w:rFonts w:ascii="Arial" w:cs="Arial" w:eastAsia="Arial" w:hAnsi="Arial"/>
                <w:sz w:val="16"/>
                <w:szCs w:val="16"/>
                <w:b w:val="1"/>
                <w:bCs w:val="1"/>
                <w:color w:val="auto"/>
                <w:w w:val="92"/>
              </w:rPr>
              <w:t>3175 Hanover Street, Palo Alto, CA 94304</w:t>
            </w:r>
          </w:p>
        </w:tc>
      </w:tr>
      <w:tr>
        <w:trPr>
          <w:trHeight w:val="257"/>
        </w:trPr>
        <w:tc>
          <w:tcPr>
            <w:tcW w:w="3360" w:type="dxa"/>
            <w:vAlign w:val="bottom"/>
          </w:tcPr>
          <w:p>
            <w:pPr>
              <w:jc w:val="center"/>
              <w:spacing w:after="0"/>
              <w:rPr>
                <w:sz w:val="20"/>
                <w:szCs w:val="20"/>
                <w:color w:val="auto"/>
              </w:rPr>
            </w:pPr>
            <w:r>
              <w:rPr>
                <w:rFonts w:ascii="Arial" w:cs="Arial" w:eastAsia="Arial" w:hAnsi="Arial"/>
                <w:sz w:val="16"/>
                <w:szCs w:val="16"/>
                <w:b w:val="1"/>
                <w:bCs w:val="1"/>
                <w:color w:val="auto"/>
                <w:w w:val="91"/>
              </w:rPr>
              <w:t>(408) 207-0700</w:t>
            </w:r>
          </w:p>
        </w:tc>
        <w:tc>
          <w:tcPr>
            <w:tcW w:w="4040" w:type="dxa"/>
            <w:vAlign w:val="bottom"/>
          </w:tcPr>
          <w:p>
            <w:pPr>
              <w:jc w:val="center"/>
              <w:ind w:left="1059"/>
              <w:spacing w:after="0"/>
              <w:rPr>
                <w:sz w:val="20"/>
                <w:szCs w:val="20"/>
                <w:color w:val="auto"/>
              </w:rPr>
            </w:pPr>
            <w:r>
              <w:rPr>
                <w:rFonts w:ascii="Arial" w:cs="Arial" w:eastAsia="Arial" w:hAnsi="Arial"/>
                <w:sz w:val="16"/>
                <w:szCs w:val="16"/>
                <w:b w:val="1"/>
                <w:bCs w:val="1"/>
                <w:color w:val="auto"/>
                <w:w w:val="93"/>
              </w:rPr>
              <w:t>(650) 843-5000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184150</wp:posOffset>
            </wp:positionV>
            <wp:extent cx="19551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1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70" w:lineRule="exact"/>
        <w:rPr>
          <w:sz w:val="24"/>
          <w:szCs w:val="24"/>
          <w:color w:val="auto"/>
        </w:rPr>
      </w:pPr>
    </w:p>
    <w:p>
      <w:pPr>
        <w:spacing w:after="0" w:line="221"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00" w:lineRule="exact"/>
        <w:rPr>
          <w:sz w:val="24"/>
          <w:szCs w:val="24"/>
          <w:color w:val="auto"/>
        </w:rPr>
      </w:pPr>
    </w:p>
    <w:p>
      <w:pPr>
        <w:ind w:right="20"/>
        <w:spacing w:after="0" w:line="22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00" w:lineRule="exact"/>
        <w:rPr>
          <w:sz w:val="24"/>
          <w:szCs w:val="24"/>
          <w:color w:val="auto"/>
        </w:rPr>
      </w:pPr>
    </w:p>
    <w:p>
      <w:pPr>
        <w:spacing w:after="0" w:line="22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ectPr>
          <w:pgSz w:w="11900" w:h="16838" w:orient="portrait"/>
          <w:cols w:equalWidth="0" w:num="1">
            <w:col w:w="11420"/>
          </w:cols>
          <w:pgMar w:left="240" w:top="243" w:right="239" w:bottom="1440" w:gutter="0" w:footer="0" w:header="0"/>
        </w:sectPr>
      </w:pPr>
    </w:p>
    <w:bookmarkStart w:id="1" w:name="page2"/>
    <w:bookmarkEnd w:id="1"/>
    <w:p>
      <w:pPr>
        <w:spacing w:after="0" w:line="221"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00" w:lineRule="exact"/>
        <w:rPr>
          <w:sz w:val="20"/>
          <w:szCs w:val="20"/>
          <w:color w:val="auto"/>
        </w:rPr>
      </w:pPr>
    </w:p>
    <w:p>
      <w:pPr>
        <w:spacing w:after="0" w:line="221"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00" w:lineRule="exact"/>
        <w:rPr>
          <w:sz w:val="20"/>
          <w:szCs w:val="20"/>
          <w:color w:val="auto"/>
        </w:rPr>
      </w:pPr>
    </w:p>
    <w:p>
      <w:pPr>
        <w:jc w:val="both"/>
        <w:spacing w:after="0" w:line="38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359" w:right="239" w:bottom="1440" w:gutter="0" w:footer="0" w:header="0"/>
        </w:sectPr>
      </w:pPr>
    </w:p>
    <w:p>
      <w:pPr>
        <w:spacing w:after="0" w:line="137" w:lineRule="exact"/>
        <w:rPr>
          <w:sz w:val="20"/>
          <w:szCs w:val="20"/>
          <w:color w:val="auto"/>
        </w:rPr>
      </w:pPr>
    </w:p>
    <w:p>
      <w:pPr>
        <w:ind w:left="1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109" w:lineRule="exact"/>
        <w:rPr>
          <w:sz w:val="20"/>
          <w:szCs w:val="20"/>
          <w:color w:val="auto"/>
        </w:rPr>
      </w:pPr>
    </w:p>
    <w:p>
      <w:pPr>
        <w:sectPr>
          <w:pgSz w:w="11900" w:h="16838" w:orient="portrait"/>
          <w:cols w:equalWidth="0" w:num="2">
            <w:col w:w="6940" w:space="720"/>
            <w:col w:w="3760"/>
          </w:cols>
          <w:pgMar w:left="240" w:top="359" w:right="239" w:bottom="1440" w:gutter="0" w:footer="0" w:header="0"/>
          <w:type w:val="continuous"/>
        </w:sectPr>
      </w:pPr>
    </w:p>
    <w:p>
      <w:pPr>
        <w:ind w:left="1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09" w:lineRule="exact"/>
        <w:rPr>
          <w:sz w:val="20"/>
          <w:szCs w:val="20"/>
          <w:color w:val="auto"/>
        </w:rPr>
      </w:pPr>
    </w:p>
    <w:p>
      <w:pPr>
        <w:sectPr>
          <w:pgSz w:w="11900" w:h="16838" w:orient="portrait"/>
          <w:cols w:equalWidth="0" w:num="2">
            <w:col w:w="6940" w:space="720"/>
            <w:col w:w="3760"/>
          </w:cols>
          <w:pgMar w:left="240" w:top="359" w:right="239" w:bottom="1440" w:gutter="0" w:footer="0" w:header="0"/>
          <w:type w:val="continuous"/>
        </w:sectPr>
      </w:pPr>
    </w:p>
    <w:p>
      <w:pPr>
        <w:ind w:left="76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420"/>
          </w:cols>
          <w:pgMar w:left="240" w:top="359" w:right="239" w:bottom="1440" w:gutter="0" w:footer="0" w:header="0"/>
          <w:type w:val="continuous"/>
        </w:sectPr>
      </w:pPr>
    </w:p>
    <w:p>
      <w:pPr>
        <w:spacing w:after="0" w:line="234" w:lineRule="exact"/>
        <w:rPr>
          <w:sz w:val="20"/>
          <w:szCs w:val="20"/>
          <w:color w:val="auto"/>
        </w:rPr>
      </w:pPr>
    </w:p>
    <w:p>
      <w:pPr>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215900</wp:posOffset>
            </wp:positionV>
            <wp:extent cx="67062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6235" cy="17145"/>
                    </a:xfrm>
                    <a:prstGeom prst="rect">
                      <a:avLst/>
                    </a:prstGeom>
                    <a:noFill/>
                  </pic:spPr>
                </pic:pic>
              </a:graphicData>
            </a:graphic>
          </wp:anchor>
        </w:drawing>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6"/>
              </w:rPr>
              <w:t>Proposed</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Proposed</w:t>
            </w: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Maximum</w:t>
            </w: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gridSpan w:val="2"/>
            <w:vMerge w:val="restart"/>
          </w:tcPr>
          <w:p>
            <w:pPr>
              <w:ind w:left="1600"/>
              <w:spacing w:after="0"/>
              <w:rPr>
                <w:sz w:val="20"/>
                <w:szCs w:val="20"/>
                <w:color w:val="auto"/>
              </w:rPr>
            </w:pPr>
            <w:r>
              <w:rPr>
                <w:rFonts w:ascii="Arial" w:cs="Arial" w:eastAsia="Arial" w:hAnsi="Arial"/>
                <w:sz w:val="14"/>
                <w:szCs w:val="14"/>
                <w:b w:val="1"/>
                <w:bCs w:val="1"/>
                <w:color w:val="auto"/>
              </w:rPr>
              <w:t>Title of Each Class of</w:t>
            </w:r>
          </w:p>
        </w:tc>
        <w:tc>
          <w:tcPr>
            <w:tcW w:w="1480" w:type="dxa"/>
            <w:vAlign w:val="bottom"/>
            <w:gridSpan w:val="2"/>
            <w:vMerge w:val="continue"/>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Maximum</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Aggregate</w:t>
            </w:r>
          </w:p>
        </w:tc>
        <w:tc>
          <w:tcPr>
            <w:tcW w:w="12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 of</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gridSpan w:val="2"/>
            <w:vMerge w:val="continue"/>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 be</w:t>
            </w: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Offering</w:t>
            </w:r>
          </w:p>
        </w:tc>
        <w:tc>
          <w:tcPr>
            <w:tcW w:w="12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680" w:type="dxa"/>
            <w:vAlign w:val="bottom"/>
            <w:gridSpan w:val="2"/>
          </w:tcPr>
          <w:p>
            <w:pPr>
              <w:ind w:left="1460"/>
              <w:spacing w:after="0"/>
              <w:rPr>
                <w:sz w:val="20"/>
                <w:szCs w:val="20"/>
                <w:color w:val="auto"/>
              </w:rPr>
            </w:pPr>
            <w:r>
              <w:rPr>
                <w:rFonts w:ascii="Arial" w:cs="Arial" w:eastAsia="Arial" w:hAnsi="Arial"/>
                <w:sz w:val="14"/>
                <w:szCs w:val="14"/>
                <w:b w:val="1"/>
                <w:bCs w:val="1"/>
                <w:color w:val="auto"/>
              </w:rPr>
              <w:t>Securities to be Registered</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Registered(1)</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Per Unit</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168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Registration Fee (2)</w:t>
            </w:r>
          </w:p>
        </w:tc>
        <w:tc>
          <w:tcPr>
            <w:tcW w:w="0" w:type="dxa"/>
            <w:vAlign w:val="bottom"/>
          </w:tcPr>
          <w:p>
            <w:pPr>
              <w:spacing w:after="0"/>
              <w:rPr>
                <w:sz w:val="1"/>
                <w:szCs w:val="1"/>
                <w:color w:val="auto"/>
              </w:rPr>
            </w:pPr>
          </w:p>
        </w:tc>
      </w:tr>
      <w:tr>
        <w:trPr>
          <w:trHeight w:val="228"/>
        </w:trPr>
        <w:tc>
          <w:tcPr>
            <w:tcW w:w="4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Primary Offering:</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680" w:type="dxa"/>
            <w:vAlign w:val="bottom"/>
            <w:gridSpan w:val="2"/>
          </w:tcPr>
          <w:p>
            <w:pPr>
              <w:ind w:left="260"/>
              <w:spacing w:after="0"/>
              <w:rPr>
                <w:sz w:val="20"/>
                <w:szCs w:val="20"/>
                <w:color w:val="auto"/>
              </w:rPr>
            </w:pPr>
            <w:r>
              <w:rPr>
                <w:rFonts w:ascii="Arial" w:cs="Arial" w:eastAsia="Arial" w:hAnsi="Arial"/>
                <w:sz w:val="16"/>
                <w:szCs w:val="16"/>
                <w:color w:val="auto"/>
              </w:rPr>
              <w:t>Common Stock, par value $0.0001 per share</w:t>
            </w:r>
          </w:p>
        </w:tc>
        <w:tc>
          <w:tcPr>
            <w:tcW w:w="1260" w:type="dxa"/>
            <w:vAlign w:val="bottom"/>
          </w:tcPr>
          <w:p>
            <w:pPr>
              <w:jc w:val="center"/>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80" w:type="dxa"/>
            <w:vAlign w:val="bottom"/>
            <w:gridSpan w:val="2"/>
          </w:tcPr>
          <w:p>
            <w:pPr>
              <w:ind w:left="260"/>
              <w:spacing w:after="0"/>
              <w:rPr>
                <w:sz w:val="20"/>
                <w:szCs w:val="20"/>
                <w:color w:val="auto"/>
              </w:rPr>
            </w:pPr>
            <w:r>
              <w:rPr>
                <w:rFonts w:ascii="Arial" w:cs="Arial" w:eastAsia="Arial" w:hAnsi="Arial"/>
                <w:sz w:val="16"/>
                <w:szCs w:val="16"/>
                <w:color w:val="auto"/>
              </w:rPr>
              <w:t>Preferred Stock, par value $0.0001 per share</w:t>
            </w:r>
          </w:p>
        </w:tc>
        <w:tc>
          <w:tcPr>
            <w:tcW w:w="1260" w:type="dxa"/>
            <w:vAlign w:val="bottom"/>
          </w:tcPr>
          <w:p>
            <w:pPr>
              <w:jc w:val="center"/>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80" w:type="dxa"/>
            <w:vAlign w:val="bottom"/>
            <w:gridSpan w:val="2"/>
          </w:tcPr>
          <w:p>
            <w:pPr>
              <w:ind w:left="260"/>
              <w:spacing w:after="0"/>
              <w:rPr>
                <w:sz w:val="20"/>
                <w:szCs w:val="20"/>
                <w:color w:val="auto"/>
              </w:rPr>
            </w:pPr>
            <w:r>
              <w:rPr>
                <w:rFonts w:ascii="Arial" w:cs="Arial" w:eastAsia="Arial" w:hAnsi="Arial"/>
                <w:sz w:val="16"/>
                <w:szCs w:val="16"/>
                <w:color w:val="auto"/>
              </w:rPr>
              <w:t>Debt Securities</w:t>
            </w:r>
          </w:p>
        </w:tc>
        <w:tc>
          <w:tcPr>
            <w:tcW w:w="1260" w:type="dxa"/>
            <w:vAlign w:val="bottom"/>
          </w:tcPr>
          <w:p>
            <w:pPr>
              <w:jc w:val="center"/>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80" w:type="dxa"/>
            <w:vAlign w:val="bottom"/>
            <w:gridSpan w:val="2"/>
          </w:tcPr>
          <w:p>
            <w:pPr>
              <w:ind w:left="260"/>
              <w:spacing w:after="0"/>
              <w:rPr>
                <w:sz w:val="20"/>
                <w:szCs w:val="20"/>
                <w:color w:val="auto"/>
              </w:rPr>
            </w:pPr>
            <w:r>
              <w:rPr>
                <w:rFonts w:ascii="Arial" w:cs="Arial" w:eastAsia="Arial" w:hAnsi="Arial"/>
                <w:sz w:val="16"/>
                <w:szCs w:val="16"/>
                <w:color w:val="auto"/>
              </w:rPr>
              <w:t>Warrants</w:t>
            </w:r>
          </w:p>
        </w:tc>
        <w:tc>
          <w:tcPr>
            <w:tcW w:w="1260" w:type="dxa"/>
            <w:vAlign w:val="bottom"/>
          </w:tcPr>
          <w:p>
            <w:pPr>
              <w:jc w:val="center"/>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80" w:type="dxa"/>
            <w:vAlign w:val="bottom"/>
            <w:gridSpan w:val="2"/>
          </w:tcPr>
          <w:p>
            <w:pPr>
              <w:ind w:left="480"/>
              <w:spacing w:after="0"/>
              <w:rPr>
                <w:sz w:val="20"/>
                <w:szCs w:val="20"/>
                <w:color w:val="auto"/>
              </w:rPr>
            </w:pPr>
            <w:r>
              <w:rPr>
                <w:rFonts w:ascii="Arial" w:cs="Arial" w:eastAsia="Arial" w:hAnsi="Arial"/>
                <w:sz w:val="16"/>
                <w:szCs w:val="16"/>
                <w:color w:val="auto"/>
              </w:rPr>
              <w:t>Total Primary Offering</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$200,000,000</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$200,000,000</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$25,960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Secondary Offering:</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680" w:type="dxa"/>
            <w:vAlign w:val="bottom"/>
            <w:gridSpan w:val="2"/>
          </w:tcPr>
          <w:p>
            <w:pPr>
              <w:ind w:left="220"/>
              <w:spacing w:after="0"/>
              <w:rPr>
                <w:sz w:val="20"/>
                <w:szCs w:val="20"/>
                <w:color w:val="auto"/>
              </w:rPr>
            </w:pPr>
            <w:r>
              <w:rPr>
                <w:rFonts w:ascii="Arial" w:cs="Arial" w:eastAsia="Arial" w:hAnsi="Arial"/>
                <w:sz w:val="16"/>
                <w:szCs w:val="16"/>
                <w:color w:val="auto"/>
              </w:rPr>
              <w:t>Common Stock, par value $0.0001 per share</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2,000,000</w:t>
            </w: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$20.295</w:t>
            </w:r>
          </w:p>
        </w:tc>
        <w:tc>
          <w:tcPr>
            <w:tcW w:w="1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$40,590,000</w:t>
            </w:r>
          </w:p>
        </w:tc>
        <w:tc>
          <w:tcPr>
            <w:tcW w:w="1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$5,269</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4680" w:type="dxa"/>
            <w:vAlign w:val="bottom"/>
            <w:gridSpan w:val="2"/>
          </w:tcPr>
          <w:p>
            <w:pPr>
              <w:ind w:left="420"/>
              <w:spacing w:after="0"/>
              <w:rPr>
                <w:sz w:val="20"/>
                <w:szCs w:val="20"/>
                <w:color w:val="auto"/>
              </w:rPr>
            </w:pPr>
            <w:r>
              <w:rPr>
                <w:rFonts w:ascii="Arial" w:cs="Arial" w:eastAsia="Arial" w:hAnsi="Arial"/>
                <w:sz w:val="16"/>
                <w:szCs w:val="16"/>
                <w:color w:val="auto"/>
              </w:rPr>
              <w:t>Total Registration Fee:</w:t>
            </w: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$31,229</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0"/>
        </w:trPr>
        <w:tc>
          <w:tcPr>
            <w:tcW w:w="4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149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58" w:lineRule="exact"/>
        <w:rPr>
          <w:sz w:val="20"/>
          <w:szCs w:val="20"/>
          <w:color w:val="auto"/>
        </w:rPr>
      </w:pPr>
    </w:p>
    <w:p>
      <w:pPr>
        <w:ind w:left="340" w:hanging="332"/>
        <w:spacing w:after="0" w:line="319"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4"/>
          <w:szCs w:val="14"/>
          <w:color w:val="auto"/>
        </w:rPr>
        <w:t>Pursuant to Rule 416 under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41" w:lineRule="exact"/>
        <w:rPr>
          <w:rFonts w:ascii="Arial" w:cs="Arial" w:eastAsia="Arial" w:hAnsi="Arial"/>
          <w:sz w:val="16"/>
          <w:szCs w:val="16"/>
          <w:color w:val="auto"/>
        </w:rPr>
      </w:pPr>
    </w:p>
    <w:p>
      <w:pPr>
        <w:jc w:val="both"/>
        <w:ind w:left="340" w:hanging="332"/>
        <w:spacing w:after="0" w:line="395"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415(a)(6) under the Securities Act, the securities registered pursuant to this Registration Statement include unsold securities previously registered by the Registrant on the Registrant’s Registration Statement (File No. 333-234679), originally filed with the Securities and Exchange Commission on November 13, 2019, and declared effective on November 25, 2019 (the “Prior Registration Statement”). The Prior Registration Statement registered the offer and sale of an indeterminate number of shares of common stock and preferred stock, an indeterminate principal amount of debt securities, and an indeterminate number of warrants to purchase common stock, preferred stock and/or debt securities (collectively, the “Shelf Securities”) having an aggregate initial offering price not to exceed $200,000,000, all of which Shelf Securities remain unsold as the date of filing of this Registration Statement. The Registrant has determined to include in this Registration Statement the Shelf Securities under the Prior Registration Statement. Pursuant to Rule 415(a)(6) under the Securities Act, the filing fee of $25,960 relating to the Shelf Securities under the Prior Registration Statement, which was paid under the Prior Registration Statement, will continue to be applied to the primary offering securities registered pursuant to this Registration Statement. To the extent that, after the filing date hereof and prior to the effectiveness of this Registration Statement, the Registrant sells any Shelf Securities pursuant to the Prior Registration Statement, the Registrant will identify in a pre-effective amendment to this Registration Statement the updated amount of Shelf Securities from the Prior Registration Statement to be included in this Registration Statement pursuant to Rule 415(a)(6) to be registered on this Registration Statement. Pursuant to Rule 415(a)(6) under the Securities Act, the offering of the Shelf Securities under the Prior Registration Statement will be deemed terminated as of the date of effectiveness of this Registration Statement</w:t>
      </w:r>
    </w:p>
    <w:p>
      <w:pPr>
        <w:spacing w:after="0" w:line="75" w:lineRule="exact"/>
        <w:rPr>
          <w:rFonts w:ascii="Arial" w:cs="Arial" w:eastAsia="Arial" w:hAnsi="Arial"/>
          <w:sz w:val="13"/>
          <w:szCs w:val="13"/>
          <w:color w:val="auto"/>
        </w:rPr>
      </w:pPr>
    </w:p>
    <w:p>
      <w:pPr>
        <w:jc w:val="both"/>
        <w:ind w:left="340" w:hanging="332"/>
        <w:spacing w:after="0" w:line="403"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There are being registered hereunder such indeterminate number of shares of common stock and preferred stock, such indeterminate principal amount of debt securities and such indeterminate number of warrants to purchase common stock, preferred stock and/or debt securities to be sold by the Registrant from time to time, which together shall have an aggregate initial offering price not to exceed $200,000,000. Any securities registered hereunder may be sold separately or in combination with the other securities registered hereunder. The securities registered hereunder also include such indeterminate number of shares of common stock and preferred stock and amount of debt securities as may be issued upon conversion of or exchange for preferred stock or debt securities that provide for conversion or exchange, upon exercise of warrants or pursuant to the antidilution provisions of any such securities.</w:t>
      </w:r>
    </w:p>
    <w:p>
      <w:pPr>
        <w:sectPr>
          <w:pgSz w:w="11900" w:h="16838" w:orient="portrait"/>
          <w:cols w:equalWidth="0" w:num="1">
            <w:col w:w="11420"/>
          </w:cols>
          <w:pgMar w:left="240" w:top="359" w:right="239" w:bottom="1440" w:gutter="0" w:footer="0" w:header="0"/>
          <w:type w:val="continuous"/>
        </w:sectPr>
      </w:pPr>
    </w:p>
    <w:bookmarkStart w:id="2" w:name="page3"/>
    <w:bookmarkEnd w:id="2"/>
    <w:p>
      <w:pPr>
        <w:ind w:left="340" w:right="20" w:hanging="332"/>
        <w:spacing w:after="0" w:line="394"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38" w:lineRule="exact"/>
        <w:rPr>
          <w:rFonts w:ascii="Arial" w:cs="Arial" w:eastAsia="Arial" w:hAnsi="Arial"/>
          <w:sz w:val="14"/>
          <w:szCs w:val="14"/>
          <w:color w:val="auto"/>
        </w:rPr>
      </w:pPr>
    </w:p>
    <w:p>
      <w:pPr>
        <w:ind w:left="340" w:right="20" w:hanging="332"/>
        <w:spacing w:after="0" w:line="313"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pursuant to Rule 457(c) of the Securities Act based on the average high and low prices reported for the Registrant’s common stock traded on the Nasdaq Global Market on December 20, 2019.</w:t>
      </w:r>
    </w:p>
    <w:p>
      <w:pPr>
        <w:spacing w:after="0" w:line="12"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pursuant to Rule 457(o) under the Securities Act.</w:t>
      </w:r>
    </w:p>
    <w:p>
      <w:pPr>
        <w:spacing w:after="0" w:line="82" w:lineRule="exact"/>
        <w:rPr>
          <w:rFonts w:ascii="Arial" w:cs="Arial" w:eastAsia="Arial" w:hAnsi="Arial"/>
          <w:sz w:val="14"/>
          <w:szCs w:val="14"/>
          <w:color w:val="auto"/>
        </w:rPr>
      </w:pPr>
    </w:p>
    <w:p>
      <w:pPr>
        <w:jc w:val="both"/>
        <w:ind w:left="340" w:right="20" w:hanging="332"/>
        <w:spacing w:after="0" w:line="35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filing fee of $25,960 relating to the Shelf Securities under the Prior Registration Statement, which was paid under the Prior Registration Statement, will continue to be applied to the Shelf Securities registered pursuant to this Registration Statement. A filing fee of $5,269 is being paid in connection with the filing of this Registration Statement. See footnotes (2), 5) and (6)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330835</wp:posOffset>
            </wp:positionV>
            <wp:extent cx="19551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sectPr>
      </w:pPr>
    </w:p>
    <w:bookmarkStart w:id="3" w:name="page4"/>
    <w:bookmarkEnd w:id="3"/>
    <w:p>
      <w:pPr>
        <w:jc w:val="both"/>
        <w:spacing w:after="0" w:line="322" w:lineRule="auto"/>
        <w:rPr>
          <w:sz w:val="20"/>
          <w:szCs w:val="20"/>
          <w:color w:val="auto"/>
        </w:rPr>
      </w:pPr>
      <w:r>
        <w:rPr>
          <w:rFonts w:ascii="Arial" w:cs="Arial" w:eastAsia="Arial" w:hAnsi="Arial"/>
          <w:sz w:val="17"/>
          <w:szCs w:val="17"/>
          <w:b w:val="1"/>
          <w:bCs w:val="1"/>
          <w:color w:val="C00000"/>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jurisdiction where such offer or sale is not permitted.</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SUBJECT TO COMPLETION, DATED DECEMBER 26, 2019</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360680</wp:posOffset>
            </wp:positionV>
            <wp:extent cx="2573020" cy="995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302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$200,000,000</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5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2,000,000 Shares of Common Stock</w:t>
      </w:r>
    </w:p>
    <w:p>
      <w:pPr>
        <w:spacing w:after="0" w:line="32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00" w:lineRule="exact"/>
        <w:rPr>
          <w:sz w:val="20"/>
          <w:szCs w:val="20"/>
          <w:color w:val="auto"/>
        </w:rPr>
      </w:pPr>
    </w:p>
    <w:p>
      <w:pPr>
        <w:spacing w:after="0" w:line="201" w:lineRule="exact"/>
        <w:rPr>
          <w:sz w:val="20"/>
          <w:szCs w:val="20"/>
          <w:color w:val="auto"/>
        </w:rPr>
      </w:pPr>
    </w:p>
    <w:p>
      <w:pPr>
        <w:ind w:right="40" w:firstLine="297"/>
        <w:spacing w:after="0" w:line="373" w:lineRule="auto"/>
        <w:rPr>
          <w:sz w:val="20"/>
          <w:szCs w:val="20"/>
          <w:color w:val="auto"/>
        </w:rPr>
      </w:pPr>
      <w:r>
        <w:rPr>
          <w:rFonts w:ascii="Arial" w:cs="Arial" w:eastAsia="Arial" w:hAnsi="Arial"/>
          <w:sz w:val="18"/>
          <w:szCs w:val="18"/>
          <w:color w:val="auto"/>
        </w:rPr>
        <w:t>From time to time, we may offer and sell up to an aggregate amount of $200,000,000 of any combination of the securities described in this prospectus, either individually or in combination. We may also offer common stock or preferred stock upon conversion of debt securities, common stock upon conversion of preferred stock, or common stock, preferred stock or debt securities upon the exercise of warrants.</w:t>
      </w:r>
    </w:p>
    <w:p>
      <w:pPr>
        <w:spacing w:after="0" w:line="156" w:lineRule="exact"/>
        <w:rPr>
          <w:sz w:val="20"/>
          <w:szCs w:val="20"/>
          <w:color w:val="auto"/>
        </w:rPr>
      </w:pPr>
    </w:p>
    <w:p>
      <w:pPr>
        <w:ind w:right="240" w:firstLine="297"/>
        <w:spacing w:after="0" w:line="369" w:lineRule="auto"/>
        <w:rPr>
          <w:sz w:val="20"/>
          <w:szCs w:val="20"/>
          <w:color w:val="auto"/>
        </w:rPr>
      </w:pPr>
      <w:r>
        <w:rPr>
          <w:rFonts w:ascii="Arial" w:cs="Arial" w:eastAsia="Arial" w:hAnsi="Arial"/>
          <w:sz w:val="18"/>
          <w:szCs w:val="18"/>
          <w:color w:val="auto"/>
        </w:rPr>
        <w:t>In addition, selling stockholders to be named in a prospectus supplement may also offer and sell, from time to time, up to 2,000,000 shares of our common stock. To the extent that any selling stockholder resells any securities, the selling stockholder may be required to provide you with this prospectus and a prospectus supplement identifying and containing specific information about the selling stockholder and the terms of the securities being offered. We will not receive any proceeds from the sale of our common stock by selling stockholders.</w:t>
      </w:r>
    </w:p>
    <w:p>
      <w:pPr>
        <w:spacing w:after="0" w:line="78" w:lineRule="exact"/>
        <w:rPr>
          <w:sz w:val="20"/>
          <w:szCs w:val="20"/>
          <w:color w:val="auto"/>
        </w:rPr>
      </w:pPr>
    </w:p>
    <w:p>
      <w:pPr>
        <w:jc w:val="both"/>
        <w:ind w:firstLine="324"/>
        <w:spacing w:after="0" w:line="425" w:lineRule="auto"/>
        <w:rPr>
          <w:sz w:val="20"/>
          <w:szCs w:val="20"/>
          <w:color w:val="auto"/>
        </w:rPr>
      </w:pPr>
      <w:r>
        <w:rPr>
          <w:rFonts w:ascii="Arial" w:cs="Arial" w:eastAsia="Arial" w:hAnsi="Arial"/>
          <w:sz w:val="16"/>
          <w:szCs w:val="16"/>
          <w:color w:val="auto"/>
        </w:rPr>
        <w:t>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ectPr>
          <w:pgSz w:w="11900" w:h="16838" w:orient="portrait"/>
          <w:cols w:equalWidth="0" w:num="1">
            <w:col w:w="11420"/>
          </w:cols>
          <w:pgMar w:left="240" w:top="769" w:right="239" w:bottom="1440" w:gutter="0" w:footer="0" w:header="0"/>
        </w:sectPr>
      </w:pPr>
    </w:p>
    <w:bookmarkStart w:id="4" w:name="page5"/>
    <w:bookmarkEnd w:id="4"/>
    <w:p>
      <w:pPr>
        <w:jc w:val="both"/>
        <w:ind w:right="20" w:firstLine="324"/>
        <w:spacing w:after="0" w:line="373" w:lineRule="auto"/>
        <w:rPr>
          <w:sz w:val="20"/>
          <w:szCs w:val="20"/>
          <w:color w:val="auto"/>
        </w:rPr>
      </w:pPr>
      <w:r>
        <w:rPr>
          <w:rFonts w:ascii="Arial" w:cs="Arial" w:eastAsia="Arial" w:hAnsi="Arial"/>
          <w:sz w:val="18"/>
          <w:szCs w:val="18"/>
          <w:color w:val="auto"/>
        </w:rPr>
        <w:t>Our common stock is listed on the Nasdaq Global Market under the symbol “SIBN.” On December 24, 2019, the last reported sale price of our common stock was $21.13 per share. The applicable prospectus supplement will contain information, where applicable, as to other listings, if any, on the Nasdaq Global Market or other securities exchange of the securities covered by the applicable prospectus supplement.</w:t>
      </w:r>
    </w:p>
    <w:p>
      <w:pPr>
        <w:spacing w:after="0" w:line="183"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Before making an investment decision, you should review carefully the risks described under the heading “</w:t>
      </w:r>
      <w:r>
        <w:rPr>
          <w:rFonts w:ascii="Arial" w:cs="Arial" w:eastAsia="Arial" w:hAnsi="Arial"/>
          <w:sz w:val="18"/>
          <w:szCs w:val="18"/>
          <w:b w:val="1"/>
          <w:bCs w:val="1"/>
          <w:i w:val="1"/>
          <w:iCs w:val="1"/>
          <w:u w:val="single" w:color="auto"/>
          <w:color w:val="0000FF"/>
        </w:rPr>
        <w:t>Risk Factors</w:t>
      </w:r>
      <w:r>
        <w:rPr>
          <w:rFonts w:ascii="Arial" w:cs="Arial" w:eastAsia="Arial" w:hAnsi="Arial"/>
          <w:sz w:val="18"/>
          <w:szCs w:val="18"/>
          <w:b w:val="1"/>
          <w:bCs w:val="1"/>
          <w:i w:val="1"/>
          <w:iCs w:val="1"/>
          <w:color w:val="auto"/>
        </w:rPr>
        <w:t>” on page 6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securities unless accompanied by a prospectus supplement.</w:t>
      </w:r>
    </w:p>
    <w:p>
      <w:pPr>
        <w:spacing w:after="0" w:line="324" w:lineRule="exact"/>
        <w:rPr>
          <w:sz w:val="20"/>
          <w:szCs w:val="20"/>
          <w:color w:val="auto"/>
        </w:rPr>
      </w:pPr>
    </w:p>
    <w:p>
      <w:pPr>
        <w:jc w:val="both"/>
        <w:ind w:firstLine="324"/>
        <w:spacing w:after="0" w:line="392" w:lineRule="auto"/>
        <w:rPr>
          <w:sz w:val="20"/>
          <w:szCs w:val="20"/>
          <w:color w:val="auto"/>
        </w:rPr>
      </w:pPr>
      <w:r>
        <w:rPr>
          <w:rFonts w:ascii="Arial" w:cs="Arial" w:eastAsia="Arial" w:hAnsi="Arial"/>
          <w:sz w:val="17"/>
          <w:szCs w:val="17"/>
          <w:color w:val="auto"/>
        </w:rPr>
        <w:t>The securities may be sold directly by us or the selling stockholders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will be received from such sale will also be set forth in a prospectus supplement.</w:t>
      </w:r>
    </w:p>
    <w:p>
      <w:pPr>
        <w:spacing w:after="0" w:line="173" w:lineRule="exact"/>
        <w:rPr>
          <w:sz w:val="20"/>
          <w:szCs w:val="20"/>
          <w:color w:val="auto"/>
        </w:rPr>
      </w:pPr>
    </w:p>
    <w:p>
      <w:pPr>
        <w:jc w:val="both"/>
        <w:ind w:right="20" w:firstLine="324"/>
        <w:spacing w:after="0" w:line="387" w:lineRule="auto"/>
        <w:rPr>
          <w:sz w:val="20"/>
          <w:szCs w:val="20"/>
          <w:color w:val="auto"/>
        </w:rPr>
      </w:pPr>
      <w:r>
        <w:rPr>
          <w:rFonts w:ascii="Arial" w:cs="Arial" w:eastAsia="Arial" w:hAnsi="Arial"/>
          <w:sz w:val="18"/>
          <w:szCs w:val="18"/>
          <w:b w:val="1"/>
          <w:bCs w:val="1"/>
          <w:i w:val="1"/>
          <w:iCs w:val="1"/>
          <w:color w:val="auto"/>
        </w:rPr>
        <w:t>We are an emerging growth company as that term is used in the Jumpstart Our Business Startups Act of 2012 and, as such, we have elected to take advantage of certain reduced public company reporting requirements for this prospectus and future filings.</w:t>
      </w:r>
    </w:p>
    <w:p>
      <w:pPr>
        <w:spacing w:after="0" w:line="166" w:lineRule="exact"/>
        <w:rPr>
          <w:sz w:val="20"/>
          <w:szCs w:val="20"/>
          <w:color w:val="auto"/>
        </w:rPr>
      </w:pPr>
    </w:p>
    <w:p>
      <w:pPr>
        <w:jc w:val="both"/>
        <w:ind w:firstLine="324"/>
        <w:spacing w:after="0" w:line="39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320675</wp:posOffset>
            </wp:positionV>
            <wp:extent cx="20237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780" w:type="dxa"/>
            <w:vAlign w:val="bottom"/>
          </w:tcPr>
          <w:p>
            <w:pPr>
              <w:jc w:val="right"/>
              <w:spacing w:after="0"/>
              <w:rPr>
                <w:sz w:val="20"/>
                <w:szCs w:val="20"/>
                <w:color w:val="auto"/>
              </w:rPr>
            </w:pPr>
            <w:r>
              <w:rPr>
                <w:rFonts w:ascii="Arial" w:cs="Arial" w:eastAsia="Arial" w:hAnsi="Arial"/>
                <w:sz w:val="18"/>
                <w:szCs w:val="18"/>
                <w:color w:val="auto"/>
              </w:rPr>
              <w:t>, 2020.</w:t>
            </w:r>
          </w:p>
        </w:tc>
      </w:tr>
    </w:tbl>
    <w:p>
      <w:pPr>
        <w:sectPr>
          <w:pgSz w:w="11900" w:h="16838" w:orient="portrait"/>
          <w:cols w:equalWidth="0" w:num="1">
            <w:col w:w="11420"/>
          </w:cols>
          <w:pgMar w:left="240" w:top="814"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02"/>
        </w:trPr>
        <w:tc>
          <w:tcPr>
            <w:tcW w:w="2240" w:type="dxa"/>
            <w:vAlign w:val="bottom"/>
            <w:tcBorders>
              <w:bottom w:val="single" w:sz="8" w:color="0000EE"/>
            </w:tcBorders>
            <w:gridSpan w:val="7"/>
          </w:tcPr>
          <w:p>
            <w:pPr>
              <w:spacing w:after="0" w:line="202"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ABOUT THIS PROSPECTUS</w:t>
              </w:r>
            </w:hyperlink>
          </w:p>
        </w:tc>
        <w:tc>
          <w:tcPr>
            <w:tcW w:w="740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bottom w:val="single" w:sz="8" w:color="0000EE"/>
            </w:tcBorders>
          </w:tcPr>
          <w:p>
            <w:pPr>
              <w:jc w:val="center"/>
              <w:spacing w:after="0" w:line="20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ii</w:t>
              </w:r>
            </w:hyperlink>
          </w:p>
        </w:tc>
        <w:tc>
          <w:tcPr>
            <w:tcW w:w="260" w:type="dxa"/>
            <w:vAlign w:val="bottom"/>
            <w:gridSpan w:val="2"/>
          </w:tcPr>
          <w:p>
            <w:pPr>
              <w:spacing w:after="0"/>
              <w:rPr>
                <w:sz w:val="17"/>
                <w:szCs w:val="17"/>
                <w:color w:val="auto"/>
              </w:rPr>
            </w:pPr>
          </w:p>
        </w:tc>
      </w:tr>
      <w:tr>
        <w:trPr>
          <w:trHeight w:val="250"/>
        </w:trPr>
        <w:tc>
          <w:tcPr>
            <w:tcW w:w="2060" w:type="dxa"/>
            <w:vAlign w:val="bottom"/>
            <w:gridSpan w:val="5"/>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PROSPECTUS SUMMARY</w:t>
              </w:r>
            </w:hyperlink>
          </w:p>
        </w:tc>
        <w:tc>
          <w:tcPr>
            <w:tcW w:w="7580" w:type="dxa"/>
            <w:vAlign w:val="bottom"/>
            <w:gridSpan w:val="9"/>
          </w:tcPr>
          <w:p>
            <w:pPr>
              <w:spacing w:after="0"/>
              <w:rPr>
                <w:sz w:val="21"/>
                <w:szCs w:val="21"/>
                <w:color w:val="auto"/>
              </w:rPr>
            </w:pPr>
          </w:p>
        </w:tc>
        <w:tc>
          <w:tcPr>
            <w:tcW w:w="360" w:type="dxa"/>
            <w:vAlign w:val="bottom"/>
            <w:gridSpan w:val="2"/>
          </w:tcPr>
          <w:p>
            <w:pPr>
              <w:jc w:val="center"/>
              <w:ind w:left="151"/>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rFonts w:ascii="Arial" w:cs="Arial" w:eastAsia="Arial" w:hAnsi="Arial"/>
                <w:sz w:val="18"/>
                <w:szCs w:val="18"/>
                <w:color w:val="0000EE"/>
                <w:w w:val="93"/>
              </w:rPr>
            </w:pPr>
            <w:hyperlink w:anchor="page14">
              <w:r>
                <w:rPr>
                  <w:rFonts w:ascii="Arial" w:cs="Arial" w:eastAsia="Arial" w:hAnsi="Arial"/>
                  <w:sz w:val="18"/>
                  <w:szCs w:val="18"/>
                  <w:color w:val="0000EE"/>
                  <w:w w:val="93"/>
                </w:rPr>
                <w:t>RISK FACTORS</w:t>
              </w:r>
            </w:hyperlink>
          </w:p>
        </w:tc>
        <w:tc>
          <w:tcPr>
            <w:tcW w:w="800" w:type="dxa"/>
            <w:vAlign w:val="bottom"/>
            <w:gridSpan w:val="3"/>
          </w:tcPr>
          <w:p>
            <w:pPr>
              <w:spacing w:after="0"/>
              <w:rPr>
                <w:sz w:val="21"/>
                <w:szCs w:val="21"/>
                <w:color w:val="auto"/>
              </w:rPr>
            </w:pPr>
          </w:p>
        </w:tc>
        <w:tc>
          <w:tcPr>
            <w:tcW w:w="7580" w:type="dxa"/>
            <w:vAlign w:val="bottom"/>
            <w:gridSpan w:val="9"/>
          </w:tcPr>
          <w:p>
            <w:pPr>
              <w:spacing w:after="0"/>
              <w:rPr>
                <w:sz w:val="21"/>
                <w:szCs w:val="21"/>
                <w:color w:val="auto"/>
              </w:rPr>
            </w:pPr>
          </w:p>
        </w:tc>
        <w:tc>
          <w:tcPr>
            <w:tcW w:w="360" w:type="dxa"/>
            <w:vAlign w:val="bottom"/>
            <w:gridSpan w:val="2"/>
          </w:tcPr>
          <w:p>
            <w:pPr>
              <w:jc w:val="center"/>
              <w:ind w:left="151"/>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9640" w:type="dxa"/>
            <w:vAlign w:val="bottom"/>
            <w:gridSpan w:val="1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SPECIAL NOTE REGARDING FORWARD-LOOKING STATEMENTS</w:t>
              </w:r>
            </w:hyperlink>
          </w:p>
        </w:tc>
        <w:tc>
          <w:tcPr>
            <w:tcW w:w="360" w:type="dxa"/>
            <w:vAlign w:val="bottom"/>
            <w:gridSpan w:val="2"/>
          </w:tcPr>
          <w:p>
            <w:pPr>
              <w:jc w:val="center"/>
              <w:ind w:left="151"/>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5340" w:type="dxa"/>
            <w:vAlign w:val="bottom"/>
            <w:gridSpan w:val="1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4300" w:type="dxa"/>
            <w:vAlign w:val="bottom"/>
          </w:tcPr>
          <w:p>
            <w:pPr>
              <w:spacing w:after="0"/>
              <w:rPr>
                <w:sz w:val="21"/>
                <w:szCs w:val="21"/>
                <w:color w:val="auto"/>
              </w:rPr>
            </w:pPr>
          </w:p>
        </w:tc>
        <w:tc>
          <w:tcPr>
            <w:tcW w:w="360" w:type="dxa"/>
            <w:vAlign w:val="bottom"/>
            <w:gridSpan w:val="2"/>
          </w:tcPr>
          <w:p>
            <w:pPr>
              <w:jc w:val="center"/>
              <w:ind w:left="151"/>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2880" w:type="dxa"/>
            <w:vAlign w:val="bottom"/>
            <w:gridSpan w:val="9"/>
          </w:tcPr>
          <w:p>
            <w:pPr>
              <w:spacing w:after="0"/>
              <w:rPr>
                <w:rFonts w:ascii="Arial" w:cs="Arial" w:eastAsia="Arial" w:hAnsi="Arial"/>
                <w:sz w:val="18"/>
                <w:szCs w:val="18"/>
                <w:color w:val="0000EE"/>
                <w:w w:val="95"/>
              </w:rPr>
            </w:pPr>
            <w:hyperlink w:anchor="page16">
              <w:r>
                <w:rPr>
                  <w:rFonts w:ascii="Arial" w:cs="Arial" w:eastAsia="Arial" w:hAnsi="Arial"/>
                  <w:sz w:val="18"/>
                  <w:szCs w:val="18"/>
                  <w:color w:val="0000EE"/>
                  <w:w w:val="95"/>
                </w:rPr>
                <w:t>DESCRIPTION OF CAPITAL STOCK</w:t>
              </w:r>
            </w:hyperlink>
          </w:p>
        </w:tc>
        <w:tc>
          <w:tcPr>
            <w:tcW w:w="6760" w:type="dxa"/>
            <w:vAlign w:val="bottom"/>
            <w:gridSpan w:val="5"/>
          </w:tcPr>
          <w:p>
            <w:pPr>
              <w:spacing w:after="0"/>
              <w:rPr>
                <w:sz w:val="21"/>
                <w:szCs w:val="21"/>
                <w:color w:val="auto"/>
              </w:rPr>
            </w:pPr>
          </w:p>
        </w:tc>
        <w:tc>
          <w:tcPr>
            <w:tcW w:w="360" w:type="dxa"/>
            <w:vAlign w:val="bottom"/>
            <w:gridSpan w:val="2"/>
          </w:tcPr>
          <w:p>
            <w:pPr>
              <w:jc w:val="center"/>
              <w:ind w:left="151"/>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3040" w:type="dxa"/>
            <w:vAlign w:val="bottom"/>
            <w:gridSpan w:val="10"/>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DESCRIPTION OF DEBT SECURITIES</w:t>
              </w:r>
            </w:hyperlink>
          </w:p>
        </w:tc>
        <w:tc>
          <w:tcPr>
            <w:tcW w:w="6600" w:type="dxa"/>
            <w:vAlign w:val="bottom"/>
            <w:gridSpan w:val="4"/>
          </w:tcPr>
          <w:p>
            <w:pPr>
              <w:spacing w:after="0"/>
              <w:rPr>
                <w:sz w:val="21"/>
                <w:szCs w:val="21"/>
                <w:color w:val="auto"/>
              </w:rPr>
            </w:pPr>
          </w:p>
        </w:tc>
        <w:tc>
          <w:tcPr>
            <w:tcW w:w="380" w:type="dxa"/>
            <w:vAlign w:val="bottom"/>
            <w:gridSpan w:val="3"/>
          </w:tcPr>
          <w:p>
            <w:pPr>
              <w:jc w:val="center"/>
              <w:ind w:left="131"/>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11</w:t>
              </w:r>
            </w:hyperlink>
          </w:p>
        </w:tc>
        <w:tc>
          <w:tcPr>
            <w:tcW w:w="240" w:type="dxa"/>
            <w:vAlign w:val="bottom"/>
          </w:tcPr>
          <w:p>
            <w:pPr>
              <w:spacing w:after="0"/>
              <w:rPr>
                <w:sz w:val="21"/>
                <w:szCs w:val="2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3040" w:type="dxa"/>
            <w:vAlign w:val="bottom"/>
            <w:gridSpan w:val="1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DESCRIPTION OF WARRANTS</w:t>
              </w:r>
            </w:hyperlink>
          </w:p>
        </w:tc>
        <w:tc>
          <w:tcPr>
            <w:tcW w:w="6600" w:type="dxa"/>
            <w:vAlign w:val="bottom"/>
            <w:gridSpan w:val="4"/>
          </w:tcPr>
          <w:p>
            <w:pPr>
              <w:spacing w:after="0"/>
              <w:rPr>
                <w:sz w:val="21"/>
                <w:szCs w:val="21"/>
                <w:color w:val="auto"/>
              </w:rPr>
            </w:pPr>
          </w:p>
        </w:tc>
        <w:tc>
          <w:tcPr>
            <w:tcW w:w="380" w:type="dxa"/>
            <w:vAlign w:val="bottom"/>
            <w:gridSpan w:val="3"/>
          </w:tcPr>
          <w:p>
            <w:pPr>
              <w:jc w:val="center"/>
              <w:ind w:left="111"/>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18</w:t>
              </w:r>
            </w:hyperlink>
          </w:p>
        </w:tc>
        <w:tc>
          <w:tcPr>
            <w:tcW w:w="240" w:type="dxa"/>
            <w:vAlign w:val="bottom"/>
          </w:tcPr>
          <w:p>
            <w:pPr>
              <w:spacing w:after="0"/>
              <w:rPr>
                <w:sz w:val="21"/>
                <w:szCs w:val="2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250"/>
        </w:trPr>
        <w:tc>
          <w:tcPr>
            <w:tcW w:w="3040" w:type="dxa"/>
            <w:vAlign w:val="bottom"/>
            <w:gridSpan w:val="10"/>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LEGAL OWNERSHIP OF SECURITIES</w:t>
              </w:r>
            </w:hyperlink>
          </w:p>
        </w:tc>
        <w:tc>
          <w:tcPr>
            <w:tcW w:w="6600" w:type="dxa"/>
            <w:vAlign w:val="bottom"/>
            <w:gridSpan w:val="4"/>
          </w:tcPr>
          <w:p>
            <w:pPr>
              <w:spacing w:after="0"/>
              <w:rPr>
                <w:sz w:val="21"/>
                <w:szCs w:val="21"/>
                <w:color w:val="auto"/>
              </w:rPr>
            </w:pPr>
          </w:p>
        </w:tc>
        <w:tc>
          <w:tcPr>
            <w:tcW w:w="380" w:type="dxa"/>
            <w:vAlign w:val="bottom"/>
            <w:gridSpan w:val="3"/>
          </w:tcPr>
          <w:p>
            <w:pPr>
              <w:jc w:val="center"/>
              <w:ind w:left="111"/>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20</w:t>
              </w:r>
            </w:hyperlink>
          </w:p>
        </w:tc>
        <w:tc>
          <w:tcPr>
            <w:tcW w:w="240" w:type="dxa"/>
            <w:vAlign w:val="bottom"/>
          </w:tcPr>
          <w:p>
            <w:pPr>
              <w:spacing w:after="0"/>
              <w:rPr>
                <w:sz w:val="21"/>
                <w:szCs w:val="2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250"/>
        </w:trPr>
        <w:tc>
          <w:tcPr>
            <w:tcW w:w="3040" w:type="dxa"/>
            <w:vAlign w:val="bottom"/>
            <w:gridSpan w:val="1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SELLING STOCKHOLDERS</w:t>
              </w:r>
            </w:hyperlink>
          </w:p>
        </w:tc>
        <w:tc>
          <w:tcPr>
            <w:tcW w:w="6600" w:type="dxa"/>
            <w:vAlign w:val="bottom"/>
            <w:gridSpan w:val="4"/>
          </w:tcPr>
          <w:p>
            <w:pPr>
              <w:spacing w:after="0"/>
              <w:rPr>
                <w:sz w:val="21"/>
                <w:szCs w:val="21"/>
                <w:color w:val="auto"/>
              </w:rPr>
            </w:pPr>
          </w:p>
        </w:tc>
        <w:tc>
          <w:tcPr>
            <w:tcW w:w="380" w:type="dxa"/>
            <w:vAlign w:val="bottom"/>
            <w:gridSpan w:val="3"/>
          </w:tcPr>
          <w:p>
            <w:pPr>
              <w:jc w:val="center"/>
              <w:ind w:left="111"/>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23</w:t>
              </w:r>
            </w:hyperlink>
          </w:p>
        </w:tc>
        <w:tc>
          <w:tcPr>
            <w:tcW w:w="240" w:type="dxa"/>
            <w:vAlign w:val="bottom"/>
          </w:tcPr>
          <w:p>
            <w:pPr>
              <w:spacing w:after="0"/>
              <w:rPr>
                <w:sz w:val="21"/>
                <w:szCs w:val="2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250"/>
        </w:trPr>
        <w:tc>
          <w:tcPr>
            <w:tcW w:w="2060" w:type="dxa"/>
            <w:vAlign w:val="bottom"/>
            <w:gridSpan w:val="5"/>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PLAN OF DISTRIBUTION</w:t>
              </w:r>
            </w:hyperlink>
          </w:p>
        </w:tc>
        <w:tc>
          <w:tcPr>
            <w:tcW w:w="160" w:type="dxa"/>
            <w:vAlign w:val="bottom"/>
          </w:tcPr>
          <w:p>
            <w:pPr>
              <w:spacing w:after="0"/>
              <w:rPr>
                <w:sz w:val="21"/>
                <w:szCs w:val="21"/>
                <w:color w:val="auto"/>
              </w:rPr>
            </w:pPr>
          </w:p>
        </w:tc>
        <w:tc>
          <w:tcPr>
            <w:tcW w:w="7420" w:type="dxa"/>
            <w:vAlign w:val="bottom"/>
            <w:gridSpan w:val="8"/>
          </w:tcPr>
          <w:p>
            <w:pPr>
              <w:spacing w:after="0"/>
              <w:rPr>
                <w:sz w:val="21"/>
                <w:szCs w:val="21"/>
                <w:color w:val="auto"/>
              </w:rPr>
            </w:pPr>
          </w:p>
        </w:tc>
        <w:tc>
          <w:tcPr>
            <w:tcW w:w="380" w:type="dxa"/>
            <w:vAlign w:val="bottom"/>
            <w:gridSpan w:val="3"/>
          </w:tcPr>
          <w:p>
            <w:pPr>
              <w:jc w:val="center"/>
              <w:ind w:left="111"/>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23</w:t>
              </w:r>
            </w:hyperlink>
          </w:p>
        </w:tc>
        <w:tc>
          <w:tcPr>
            <w:tcW w:w="240" w:type="dxa"/>
            <w:vAlign w:val="bottom"/>
          </w:tcPr>
          <w:p>
            <w:pPr>
              <w:spacing w:after="0"/>
              <w:rPr>
                <w:sz w:val="21"/>
                <w:szCs w:val="2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250"/>
        </w:trPr>
        <w:tc>
          <w:tcPr>
            <w:tcW w:w="2060" w:type="dxa"/>
            <w:vAlign w:val="bottom"/>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7580" w:type="dxa"/>
            <w:vAlign w:val="bottom"/>
            <w:gridSpan w:val="9"/>
          </w:tcPr>
          <w:p>
            <w:pPr>
              <w:spacing w:after="0"/>
              <w:rPr>
                <w:sz w:val="21"/>
                <w:szCs w:val="21"/>
                <w:color w:val="auto"/>
              </w:rPr>
            </w:pPr>
          </w:p>
        </w:tc>
        <w:tc>
          <w:tcPr>
            <w:tcW w:w="380" w:type="dxa"/>
            <w:vAlign w:val="bottom"/>
            <w:gridSpan w:val="3"/>
          </w:tcPr>
          <w:p>
            <w:pPr>
              <w:jc w:val="center"/>
              <w:ind w:left="111"/>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25</w:t>
              </w:r>
            </w:hyperlink>
          </w:p>
        </w:tc>
        <w:tc>
          <w:tcPr>
            <w:tcW w:w="240" w:type="dxa"/>
            <w:vAlign w:val="bottom"/>
          </w:tcPr>
          <w:p>
            <w:pPr>
              <w:spacing w:after="0"/>
              <w:rPr>
                <w:sz w:val="21"/>
                <w:szCs w:val="2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250"/>
        </w:trPr>
        <w:tc>
          <w:tcPr>
            <w:tcW w:w="780" w:type="dxa"/>
            <w:vAlign w:val="bottom"/>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EXPERTS</w:t>
              </w:r>
            </w:hyperlink>
          </w:p>
        </w:tc>
        <w:tc>
          <w:tcPr>
            <w:tcW w:w="680" w:type="dxa"/>
            <w:vAlign w:val="bottom"/>
            <w:gridSpan w:val="2"/>
          </w:tcPr>
          <w:p>
            <w:pPr>
              <w:spacing w:after="0"/>
              <w:rPr>
                <w:sz w:val="21"/>
                <w:szCs w:val="21"/>
                <w:color w:val="auto"/>
              </w:rPr>
            </w:pPr>
          </w:p>
        </w:tc>
        <w:tc>
          <w:tcPr>
            <w:tcW w:w="8180" w:type="dxa"/>
            <w:vAlign w:val="bottom"/>
            <w:gridSpan w:val="11"/>
          </w:tcPr>
          <w:p>
            <w:pPr>
              <w:spacing w:after="0"/>
              <w:rPr>
                <w:sz w:val="21"/>
                <w:szCs w:val="21"/>
                <w:color w:val="auto"/>
              </w:rPr>
            </w:pPr>
          </w:p>
        </w:tc>
        <w:tc>
          <w:tcPr>
            <w:tcW w:w="380" w:type="dxa"/>
            <w:vAlign w:val="bottom"/>
            <w:gridSpan w:val="3"/>
          </w:tcPr>
          <w:p>
            <w:pPr>
              <w:jc w:val="center"/>
              <w:ind w:left="111"/>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25</w:t>
              </w:r>
            </w:hyperlink>
          </w:p>
        </w:tc>
        <w:tc>
          <w:tcPr>
            <w:tcW w:w="240" w:type="dxa"/>
            <w:vAlign w:val="bottom"/>
          </w:tcPr>
          <w:p>
            <w:pPr>
              <w:spacing w:after="0"/>
              <w:rPr>
                <w:sz w:val="21"/>
                <w:szCs w:val="2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40" w:type="dxa"/>
            <w:vAlign w:val="bottom"/>
            <w:gridSpan w:val="1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250"/>
        </w:trPr>
        <w:tc>
          <w:tcPr>
            <w:tcW w:w="9640" w:type="dxa"/>
            <w:vAlign w:val="bottom"/>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WHERE YOU CAN FIND ADDITIONAL INFORMATION</w:t>
              </w:r>
            </w:hyperlink>
          </w:p>
        </w:tc>
        <w:tc>
          <w:tcPr>
            <w:tcW w:w="380" w:type="dxa"/>
            <w:vAlign w:val="bottom"/>
            <w:gridSpan w:val="3"/>
          </w:tcPr>
          <w:p>
            <w:pPr>
              <w:jc w:val="center"/>
              <w:ind w:left="111"/>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25</w:t>
              </w:r>
            </w:hyperlink>
          </w:p>
        </w:tc>
        <w:tc>
          <w:tcPr>
            <w:tcW w:w="240" w:type="dxa"/>
            <w:vAlign w:val="bottom"/>
          </w:tcPr>
          <w:p>
            <w:pPr>
              <w:spacing w:after="0"/>
              <w:rPr>
                <w:sz w:val="21"/>
                <w:szCs w:val="21"/>
                <w:color w:val="auto"/>
              </w:rPr>
            </w:pPr>
          </w:p>
        </w:tc>
      </w:tr>
      <w:tr>
        <w:trPr>
          <w:trHeight w:val="20"/>
        </w:trPr>
        <w:tc>
          <w:tcPr>
            <w:tcW w:w="4420" w:type="dxa"/>
            <w:vAlign w:val="bottom"/>
            <w:gridSpan w:val="11"/>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250"/>
        </w:trPr>
        <w:tc>
          <w:tcPr>
            <w:tcW w:w="964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INCORPORATION OF CERTAIN INFORMATION BY REFERENCE</w:t>
              </w:r>
            </w:hyperlink>
          </w:p>
        </w:tc>
        <w:tc>
          <w:tcPr>
            <w:tcW w:w="380" w:type="dxa"/>
            <w:vAlign w:val="bottom"/>
            <w:gridSpan w:val="3"/>
          </w:tcPr>
          <w:p>
            <w:pPr>
              <w:jc w:val="center"/>
              <w:ind w:left="11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27</w:t>
              </w:r>
            </w:hyperlink>
          </w:p>
        </w:tc>
        <w:tc>
          <w:tcPr>
            <w:tcW w:w="240" w:type="dxa"/>
            <w:vAlign w:val="bottom"/>
          </w:tcPr>
          <w:p>
            <w:pPr>
              <w:spacing w:after="0"/>
              <w:rPr>
                <w:sz w:val="21"/>
                <w:szCs w:val="2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60"/>
          </w:cols>
          <w:pgMar w:left="840" w:top="769" w:right="7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83" w:lineRule="exact"/>
        <w:rPr>
          <w:sz w:val="20"/>
          <w:szCs w:val="20"/>
          <w:color w:val="auto"/>
        </w:rPr>
      </w:pPr>
    </w:p>
    <w:p>
      <w:pPr>
        <w:jc w:val="both"/>
        <w:ind w:firstLine="324"/>
        <w:spacing w:after="0" w:line="425"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or SEC, using a “shelf” registration process. Under this shelf registration statement, we may, from time to time, offer and sell, either individually or in combination, in one or more offerings, up to a total dollar amount of $200,000,000 of any combination of the securities described in this prospectus. In addition, under this shelf process, the selling stockholders to be named in a supplement to this prospectus may, from time to time, offer or sell up to 2,000,000 shares of our common stock.</w:t>
      </w:r>
    </w:p>
    <w:p>
      <w:pPr>
        <w:spacing w:after="0" w:line="155" w:lineRule="exact"/>
        <w:rPr>
          <w:sz w:val="20"/>
          <w:szCs w:val="20"/>
          <w:color w:val="auto"/>
        </w:rPr>
      </w:pPr>
    </w:p>
    <w:p>
      <w:pPr>
        <w:jc w:val="both"/>
        <w:ind w:firstLine="324"/>
        <w:spacing w:after="0" w:line="387" w:lineRule="auto"/>
        <w:rPr>
          <w:sz w:val="20"/>
          <w:szCs w:val="20"/>
          <w:color w:val="auto"/>
        </w:rPr>
      </w:pPr>
      <w:r>
        <w:rPr>
          <w:rFonts w:ascii="Arial" w:cs="Arial" w:eastAsia="Arial" w:hAnsi="Arial"/>
          <w:sz w:val="17"/>
          <w:szCs w:val="17"/>
          <w:color w:val="auto"/>
        </w:rPr>
        <w:t>This prospectus provides you with a general description of the securities we and the selling stockholders may offer. Each time we and/or the selling stockholders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283" w:lineRule="exact"/>
        <w:rPr>
          <w:sz w:val="20"/>
          <w:szCs w:val="20"/>
          <w:color w:val="auto"/>
        </w:rPr>
      </w:pPr>
    </w:p>
    <w:p>
      <w:pPr>
        <w:jc w:val="both"/>
        <w:ind w:firstLine="324"/>
        <w:spacing w:after="0" w:line="365"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Neither we nor the selling stockholders have authorized anyone to provide you with different or additional information. You must not rely upon any information or representation not contained or incorporated by reference in this prospectus, the accompanying prospectus supplement or in any related free writing prospectus that we may authorize to be provided to you. This prospectus is an offer to sell only the securities offered hereby, but only under circumstances and in jurisdictions where it is lawful to do so.</w:t>
      </w:r>
    </w:p>
    <w:p>
      <w:pPr>
        <w:spacing w:after="0" w:line="191" w:lineRule="exact"/>
        <w:rPr>
          <w:sz w:val="20"/>
          <w:szCs w:val="20"/>
          <w:color w:val="auto"/>
        </w:rPr>
      </w:pPr>
    </w:p>
    <w:p>
      <w:pPr>
        <w:jc w:val="both"/>
        <w:ind w:firstLine="324"/>
        <w:spacing w:after="0" w:line="395" w:lineRule="auto"/>
        <w:rPr>
          <w:sz w:val="20"/>
          <w:szCs w:val="20"/>
          <w:color w:val="auto"/>
        </w:rPr>
      </w:pPr>
      <w:r>
        <w:rPr>
          <w:rFonts w:ascii="Arial" w:cs="Arial" w:eastAsia="Arial" w:hAnsi="Arial"/>
          <w:sz w:val="17"/>
          <w:szCs w:val="17"/>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172" w:lineRule="exact"/>
        <w:rPr>
          <w:sz w:val="20"/>
          <w:szCs w:val="20"/>
          <w:color w:val="auto"/>
        </w:rPr>
      </w:pPr>
    </w:p>
    <w:p>
      <w:pPr>
        <w:jc w:val="both"/>
        <w:ind w:firstLine="324"/>
        <w:spacing w:after="0" w:line="388" w:lineRule="auto"/>
        <w:rPr>
          <w:sz w:val="20"/>
          <w:szCs w:val="20"/>
          <w:color w:val="auto"/>
        </w:rPr>
      </w:pPr>
      <w:r>
        <w:rPr>
          <w:rFonts w:ascii="Arial" w:cs="Arial" w:eastAsia="Arial" w:hAnsi="Arial"/>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756" w:right="239" w:bottom="1440" w:gutter="0" w:footer="0" w:header="0"/>
        </w:sectPr>
      </w:pPr>
    </w:p>
    <w:bookmarkStart w:id="7" w:name="page8"/>
    <w:bookmarkEnd w:id="7"/>
    <w:p>
      <w:pPr>
        <w:jc w:val="both"/>
        <w:ind w:firstLine="324"/>
        <w:spacing w:after="0" w:line="425"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81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85712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8571230"/>
                    </a:xfrm>
                    <a:prstGeom prst="rect">
                      <a:avLst/>
                    </a:prstGeom>
                    <a:noFill/>
                  </pic:spPr>
                </pic:pic>
              </a:graphicData>
            </a:graphic>
          </wp:anchor>
        </w:drawing>
        <w:t>PROSPECTUS SUMMARY</w:t>
      </w:r>
    </w:p>
    <w:p>
      <w:pPr>
        <w:spacing w:after="0" w:line="324"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8"/>
          <w:szCs w:val="18"/>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51" w:lineRule="exact"/>
        <w:rPr>
          <w:sz w:val="20"/>
          <w:szCs w:val="20"/>
          <w:color w:val="auto"/>
        </w:rPr>
      </w:pPr>
    </w:p>
    <w:p>
      <w:pPr>
        <w:jc w:val="both"/>
        <w:ind w:firstLine="324"/>
        <w:spacing w:after="0" w:line="392" w:lineRule="auto"/>
        <w:rPr>
          <w:sz w:val="20"/>
          <w:szCs w:val="20"/>
          <w:color w:val="auto"/>
        </w:rPr>
      </w:pPr>
      <w:r>
        <w:rPr>
          <w:rFonts w:ascii="Arial" w:cs="Arial" w:eastAsia="Arial" w:hAnsi="Arial"/>
          <w:sz w:val="17"/>
          <w:szCs w:val="17"/>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42,000 procedures have been performed by over 2,000 surgeons in the United States and 34 other countries. Published clinical studies have shown that 15% to 30% of all chronic lower back pain is associated with the sacroiliac joint. We believe iFuse is currently the market leading implantable device used in minimally invasive surgical fusions of the sacroiliac joint in the United States.</w:t>
      </w:r>
    </w:p>
    <w:p>
      <w:pPr>
        <w:spacing w:after="0" w:line="200" w:lineRule="exact"/>
        <w:rPr>
          <w:sz w:val="20"/>
          <w:szCs w:val="20"/>
          <w:color w:val="auto"/>
        </w:rPr>
      </w:pPr>
    </w:p>
    <w:p>
      <w:pPr>
        <w:jc w:val="both"/>
        <w:ind w:firstLine="324"/>
        <w:spacing w:after="0" w:line="388" w:lineRule="auto"/>
        <w:rPr>
          <w:sz w:val="20"/>
          <w:szCs w:val="20"/>
          <w:color w:val="auto"/>
        </w:rPr>
      </w:pPr>
      <w:r>
        <w:rPr>
          <w:rFonts w:ascii="Arial" w:cs="Arial" w:eastAsia="Arial" w:hAnsi="Arial"/>
          <w:sz w:val="17"/>
          <w:szCs w:val="17"/>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In April 2019, we received clearance from the U.S. Food and Drug Administration (FDA) to promote our iFuse Bedrock technique for fusion of the sacroiliac joint in conjunction with multi-level spinal fusion procedures to provide further stabilization and immobilization of the sacroiliac joint. We market our products with a direct sales force and a number of distributors in the United States, and with a combination of a direct sales force and distributors in other countries.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16" w:lineRule="exact"/>
        <w:rPr>
          <w:sz w:val="20"/>
          <w:szCs w:val="20"/>
          <w:color w:val="auto"/>
        </w:rPr>
      </w:pPr>
    </w:p>
    <w:p>
      <w:pPr>
        <w:jc w:val="both"/>
        <w:ind w:firstLine="297"/>
        <w:spacing w:after="0" w:line="360" w:lineRule="auto"/>
        <w:rPr>
          <w:sz w:val="20"/>
          <w:szCs w:val="20"/>
          <w:color w:val="auto"/>
        </w:rPr>
      </w:pPr>
      <w:r>
        <w:rPr>
          <w:rFonts w:ascii="Arial" w:cs="Arial" w:eastAsia="Arial" w:hAnsi="Arial"/>
          <w:sz w:val="18"/>
          <w:szCs w:val="18"/>
          <w:color w:val="auto"/>
        </w:rPr>
        <w:t>Our business is subject to numerous risks. You should read these risks before you invest in our common stock. In particular, our risks include, but are not limited to, the following:</w:t>
      </w:r>
    </w:p>
    <w:p>
      <w:pPr>
        <w:ind w:left="660" w:hanging="334"/>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jc w:val="both"/>
        <w:ind w:left="660" w:hanging="334"/>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hospitals, surgeons, and other healthcare providers are unable to obtain coverage and sufficient reimbursement from third-party payors for procedures performed using our products, or if payors reverse existing exclusive or non-exclusive coverage policies relating to our products, adoption and use of our products, or the prices paid for our implants, may decline;</w:t>
      </w:r>
    </w:p>
    <w:p>
      <w:pPr>
        <w:ind w:left="660" w:hanging="334"/>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ind w:left="660" w:hanging="334"/>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revenue, and ongoing and future research may prove our products to be less safe and effective than initially anticipated;</w:t>
      </w:r>
    </w:p>
    <w:p>
      <w:pPr>
        <w:ind w:left="660" w:right="20" w:hanging="334"/>
        <w:spacing w:after="0" w:line="38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pressure from our competitors, healthcare provider consolidation and payor consolidation may impact our ability to sell our product at prices necessary to support our current business strategies;</w:t>
      </w:r>
    </w:p>
    <w:p>
      <w:pPr>
        <w:sectPr>
          <w:pgSz w:w="11900" w:h="16838" w:orient="portrait"/>
          <w:cols w:equalWidth="0" w:num="1">
            <w:col w:w="10580"/>
          </w:cols>
          <w:pgMar w:left="660" w:top="1229" w:right="6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80"/>
          </w:cols>
          <w:pgMar w:left="660" w:top="1229" w:right="659" w:bottom="1440" w:gutter="0" w:footer="0" w:header="0"/>
          <w:type w:val="continuous"/>
        </w:sectPr>
      </w:pPr>
    </w:p>
    <w:bookmarkStart w:id="9" w:name="page10"/>
    <w:bookmarkEnd w:id="9"/>
    <w:p>
      <w:pPr>
        <w:ind w:left="660" w:hanging="334"/>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8314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8314055"/>
                    </a:xfrm>
                    <a:prstGeom prst="rect">
                      <a:avLst/>
                    </a:prstGeom>
                    <a:noFill/>
                  </pic:spPr>
                </pic:pic>
              </a:graphicData>
            </a:graphic>
          </wp:anchor>
        </w:drawing>
        <w:t>We currently manufacture and sell products primarily used in a single procedure, which could negatively affect our operations and financial condition;</w:t>
      </w:r>
    </w:p>
    <w:p>
      <w:pPr>
        <w:ind w:left="660" w:right="20" w:hanging="334"/>
        <w:spacing w:after="0" w:line="381"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ind w:left="660" w:hanging="334"/>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ind w:left="660" w:hanging="334"/>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 and</w:t>
      </w:r>
    </w:p>
    <w:p>
      <w:pPr>
        <w:ind w:left="660" w:hanging="334"/>
        <w:spacing w:after="0" w:line="46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and our sales representatives must comply with U.S. federal and state fraud and abuse laws, including those relating to physician kickbacks and false claims for reimbursement, as well as equivalent foreign laws, which subjects us to risk of non-compliance.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324"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8"/>
          <w:szCs w:val="18"/>
          <w:color w:val="auto"/>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spacing w:after="0" w:line="186" w:lineRule="exact"/>
        <w:rPr>
          <w:sz w:val="20"/>
          <w:szCs w:val="20"/>
          <w:color w:val="auto"/>
        </w:rPr>
      </w:pPr>
    </w:p>
    <w:p>
      <w:pPr>
        <w:jc w:val="both"/>
        <w:ind w:firstLine="324"/>
        <w:spacing w:after="0" w:line="424" w:lineRule="auto"/>
        <w:rPr>
          <w:sz w:val="20"/>
          <w:szCs w:val="20"/>
          <w:color w:val="auto"/>
        </w:rPr>
      </w:pPr>
      <w:r>
        <w:rPr>
          <w:rFonts w:ascii="Arial" w:cs="Arial" w:eastAsia="Arial" w:hAnsi="Arial"/>
          <w:sz w:val="17"/>
          <w:szCs w:val="17"/>
          <w:color w:val="auto"/>
        </w:rPr>
        <w:t>Our common stock is currently listed on the Nasdaq Global Market under the symbol “SIBN.” We are an “emerging growth company” under the Jumpstart Our Business Startups Act of 2012, and therefore we are subject to reduced public company reporting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324"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8"/>
          <w:szCs w:val="18"/>
          <w:color w:val="auto"/>
        </w:rPr>
        <w:t>We may offer shares of our common stock and preferred stock,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up to a maximum aggregate sales price of $200,000,000. We may also offer common stock, preferred stock and/or debt securities upon the exercise of warrants.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93" w:lineRule="exact"/>
        <w:rPr>
          <w:sz w:val="20"/>
          <w:szCs w:val="20"/>
          <w:color w:val="auto"/>
        </w:rPr>
      </w:pPr>
    </w:p>
    <w:p>
      <w:pPr>
        <w:ind w:left="660" w:hanging="33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103" w:lineRule="exact"/>
        <w:rPr>
          <w:rFonts w:ascii="Arial" w:cs="Arial" w:eastAsia="Arial" w:hAnsi="Arial"/>
          <w:sz w:val="18"/>
          <w:szCs w:val="18"/>
          <w:color w:val="auto"/>
        </w:rPr>
      </w:pPr>
    </w:p>
    <w:p>
      <w:pPr>
        <w:ind w:left="660" w:hanging="33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103" w:lineRule="exact"/>
        <w:rPr>
          <w:rFonts w:ascii="Arial" w:cs="Arial" w:eastAsia="Arial" w:hAnsi="Arial"/>
          <w:sz w:val="18"/>
          <w:szCs w:val="18"/>
          <w:color w:val="auto"/>
        </w:rPr>
      </w:pPr>
    </w:p>
    <w:p>
      <w:pPr>
        <w:ind w:left="660" w:hanging="33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maturity date, if applicable;</w:t>
      </w:r>
    </w:p>
    <w:p>
      <w:pPr>
        <w:spacing w:after="0" w:line="103" w:lineRule="exact"/>
        <w:rPr>
          <w:rFonts w:ascii="Arial" w:cs="Arial" w:eastAsia="Arial" w:hAnsi="Arial"/>
          <w:sz w:val="18"/>
          <w:szCs w:val="18"/>
          <w:color w:val="auto"/>
        </w:rPr>
      </w:pPr>
    </w:p>
    <w:p>
      <w:pPr>
        <w:ind w:left="660" w:hanging="33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103" w:lineRule="exact"/>
        <w:rPr>
          <w:rFonts w:ascii="Arial" w:cs="Arial" w:eastAsia="Arial" w:hAnsi="Arial"/>
          <w:sz w:val="18"/>
          <w:szCs w:val="18"/>
          <w:color w:val="auto"/>
        </w:rPr>
      </w:pPr>
    </w:p>
    <w:p>
      <w:pPr>
        <w:ind w:left="660" w:hanging="33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103" w:lineRule="exact"/>
        <w:rPr>
          <w:rFonts w:ascii="Arial" w:cs="Arial" w:eastAsia="Arial" w:hAnsi="Arial"/>
          <w:sz w:val="18"/>
          <w:szCs w:val="18"/>
          <w:color w:val="auto"/>
        </w:rPr>
      </w:pPr>
    </w:p>
    <w:p>
      <w:pPr>
        <w:ind w:left="660" w:hanging="33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redemption, conversion, exercise, exchange or sinking fund terms, if any;</w:t>
      </w:r>
    </w:p>
    <w:p>
      <w:pPr>
        <w:spacing w:after="0" w:line="103" w:lineRule="exact"/>
        <w:rPr>
          <w:rFonts w:ascii="Arial" w:cs="Arial" w:eastAsia="Arial" w:hAnsi="Arial"/>
          <w:sz w:val="18"/>
          <w:szCs w:val="18"/>
          <w:color w:val="auto"/>
        </w:rPr>
      </w:pPr>
    </w:p>
    <w:p>
      <w:pPr>
        <w:ind w:left="660" w:hanging="334"/>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ind w:left="660" w:hanging="33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ranking;</w:t>
      </w:r>
    </w:p>
    <w:p>
      <w:pPr>
        <w:spacing w:after="0" w:line="103" w:lineRule="exact"/>
        <w:rPr>
          <w:rFonts w:ascii="Arial" w:cs="Arial" w:eastAsia="Arial" w:hAnsi="Arial"/>
          <w:sz w:val="18"/>
          <w:szCs w:val="18"/>
          <w:color w:val="auto"/>
        </w:rPr>
      </w:pPr>
    </w:p>
    <w:p>
      <w:pPr>
        <w:ind w:left="660" w:hanging="33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restrictive covenants, if any;</w:t>
      </w:r>
    </w:p>
    <w:p>
      <w:pPr>
        <w:sectPr>
          <w:pgSz w:w="11900" w:h="16838" w:orient="portrait"/>
          <w:cols w:equalWidth="0" w:num="1">
            <w:col w:w="10580"/>
          </w:cols>
          <w:pgMar w:left="660" w:top="1233"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80"/>
          </w:cols>
          <w:pgMar w:left="660" w:top="1233" w:right="659" w:bottom="1440" w:gutter="0" w:footer="0" w:header="0"/>
          <w:type w:val="continuous"/>
        </w:sectPr>
      </w:pPr>
    </w:p>
    <w:bookmarkStart w:id="10" w:name="page11"/>
    <w:bookmarkEnd w:id="10"/>
    <w:p>
      <w:pPr>
        <w:ind w:left="660" w:hanging="33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490220</wp:posOffset>
            </wp:positionV>
            <wp:extent cx="7250430" cy="8519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8519795"/>
                    </a:xfrm>
                    <a:prstGeom prst="rect">
                      <a:avLst/>
                    </a:prstGeom>
                    <a:noFill/>
                  </pic:spPr>
                </pic:pic>
              </a:graphicData>
            </a:graphic>
          </wp:anchor>
        </w:drawing>
        <w:t>voting or other rights, if any; and</w:t>
      </w:r>
    </w:p>
    <w:p>
      <w:pPr>
        <w:spacing w:after="0" w:line="103" w:lineRule="exact"/>
        <w:rPr>
          <w:rFonts w:ascii="Arial" w:cs="Arial" w:eastAsia="Arial" w:hAnsi="Arial"/>
          <w:sz w:val="18"/>
          <w:szCs w:val="18"/>
          <w:color w:val="auto"/>
        </w:rPr>
      </w:pPr>
    </w:p>
    <w:p>
      <w:pPr>
        <w:ind w:left="660" w:hanging="33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material or special U.S. federal income tax considerations, if any.</w:t>
      </w:r>
    </w:p>
    <w:p>
      <w:pPr>
        <w:spacing w:after="0" w:line="185" w:lineRule="exact"/>
        <w:rPr>
          <w:sz w:val="20"/>
          <w:szCs w:val="20"/>
          <w:color w:val="auto"/>
        </w:rPr>
      </w:pPr>
    </w:p>
    <w:p>
      <w:pPr>
        <w:jc w:val="both"/>
        <w:ind w:firstLine="324"/>
        <w:spacing w:after="0" w:line="387" w:lineRule="auto"/>
        <w:rPr>
          <w:sz w:val="20"/>
          <w:szCs w:val="20"/>
          <w:color w:val="auto"/>
        </w:rPr>
      </w:pPr>
      <w:r>
        <w:rPr>
          <w:rFonts w:ascii="Arial" w:cs="Arial" w:eastAsia="Arial" w:hAnsi="Arial"/>
          <w:sz w:val="18"/>
          <w:szCs w:val="18"/>
          <w:color w:val="auto"/>
        </w:rPr>
        <w:t>In addition, the selling stockholders to be named in a prospectus supplement may also offer and sell, from time to time, up to 2,000,000 shares of our common stock.</w:t>
      </w:r>
    </w:p>
    <w:p>
      <w:pPr>
        <w:spacing w:after="0" w:line="62"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82" w:lineRule="exact"/>
        <w:rPr>
          <w:sz w:val="20"/>
          <w:szCs w:val="20"/>
          <w:color w:val="auto"/>
        </w:rPr>
      </w:pPr>
    </w:p>
    <w:p>
      <w:pPr>
        <w:jc w:val="both"/>
        <w:spacing w:after="0" w:line="391"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67" w:lineRule="exact"/>
        <w:rPr>
          <w:sz w:val="20"/>
          <w:szCs w:val="20"/>
          <w:color w:val="auto"/>
        </w:rPr>
      </w:pPr>
    </w:p>
    <w:p>
      <w:pPr>
        <w:jc w:val="both"/>
        <w:ind w:firstLine="369"/>
        <w:spacing w:after="0" w:line="435" w:lineRule="auto"/>
        <w:rPr>
          <w:sz w:val="20"/>
          <w:szCs w:val="20"/>
          <w:color w:val="auto"/>
        </w:rPr>
      </w:pPr>
      <w:r>
        <w:rPr>
          <w:rFonts w:ascii="Arial" w:cs="Arial" w:eastAsia="Arial" w:hAnsi="Arial"/>
          <w:sz w:val="16"/>
          <w:szCs w:val="16"/>
          <w:color w:val="auto"/>
        </w:rPr>
        <w:t>We or the selling stockholders may sell the securities directly to investors or to or through agents, underwriters or dealers. We and the selling stockholders, and our or their agents or underwriters, reserve the right to accept or reject all or part of any proposed purchase of securities. If we or the selling stockholders do offer securities to or through agents or underwriters, we will include in the applicable prospectus supplement:</w:t>
      </w:r>
    </w:p>
    <w:p>
      <w:pPr>
        <w:spacing w:after="0" w:line="148" w:lineRule="exact"/>
        <w:rPr>
          <w:sz w:val="20"/>
          <w:szCs w:val="20"/>
          <w:color w:val="auto"/>
        </w:rPr>
      </w:pPr>
    </w:p>
    <w:p>
      <w:pPr>
        <w:ind w:left="660" w:hanging="33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103" w:lineRule="exact"/>
        <w:rPr>
          <w:rFonts w:ascii="Arial" w:cs="Arial" w:eastAsia="Arial" w:hAnsi="Arial"/>
          <w:sz w:val="18"/>
          <w:szCs w:val="18"/>
          <w:color w:val="auto"/>
        </w:rPr>
      </w:pPr>
    </w:p>
    <w:p>
      <w:pPr>
        <w:ind w:left="660" w:hanging="33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103" w:lineRule="exact"/>
        <w:rPr>
          <w:rFonts w:ascii="Arial" w:cs="Arial" w:eastAsia="Arial" w:hAnsi="Arial"/>
          <w:sz w:val="18"/>
          <w:szCs w:val="18"/>
          <w:color w:val="auto"/>
        </w:rPr>
      </w:pPr>
    </w:p>
    <w:p>
      <w:pPr>
        <w:ind w:left="660" w:hanging="33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103" w:lineRule="exact"/>
        <w:rPr>
          <w:rFonts w:ascii="Arial" w:cs="Arial" w:eastAsia="Arial" w:hAnsi="Arial"/>
          <w:sz w:val="18"/>
          <w:szCs w:val="18"/>
          <w:color w:val="auto"/>
        </w:rPr>
      </w:pPr>
    </w:p>
    <w:p>
      <w:pPr>
        <w:ind w:left="660" w:hanging="33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320" w:lineRule="exact"/>
        <w:rPr>
          <w:sz w:val="20"/>
          <w:szCs w:val="20"/>
          <w:color w:val="auto"/>
        </w:rPr>
      </w:pPr>
    </w:p>
    <w:p>
      <w:pPr>
        <w:jc w:val="both"/>
        <w:ind w:firstLine="324"/>
        <w:spacing w:after="0" w:line="387" w:lineRule="auto"/>
        <w:rPr>
          <w:sz w:val="20"/>
          <w:szCs w:val="20"/>
          <w:color w:val="auto"/>
        </w:rPr>
      </w:pPr>
      <w:r>
        <w:rPr>
          <w:rFonts w:ascii="Arial" w:cs="Arial" w:eastAsia="Arial" w:hAnsi="Arial"/>
          <w:sz w:val="17"/>
          <w:szCs w:val="17"/>
          <w:i w:val="1"/>
          <w:iCs w:val="1"/>
          <w:color w:val="auto"/>
        </w:rPr>
        <w:t>Common Stock</w:t>
      </w:r>
      <w:r>
        <w:rPr>
          <w:rFonts w:ascii="Arial" w:cs="Arial" w:eastAsia="Arial" w:hAnsi="Arial"/>
          <w:sz w:val="17"/>
          <w:szCs w:val="17"/>
          <w:color w:val="auto"/>
        </w:rPr>
        <w:t>. We may issue shares of our common stock from time to time. The selling stockholders may offer shares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extent such shares were issued and outstanding prior to the original date of filing of the registration statement to which this prospectus relates. The holders of our common stock are entitled to one vote for each share held of record on all matters submitted to a vote of stockholders. Subject to preferences that may be applicable to any outstanding shares of preferred stock, the holders of common stock are entitled to receive ratably such dividends as may be declared by our board of directors out of legally available funds. Upon our liquidation, dissolution or winding up, holders of our common stock are entitled to share ratably in all assets remaining after payment of liabilities and the liquidation preferences of any outstanding shares of preferred stock. Holders of common stock have no preemptive rights and no right to convert their common stock into any other securities. There are no redemption or sinking fund provisions applicable to our common stock. In this prospectus, we have summarized certain general features of the common stock under “Description of Capital Stock - Common Stock.” We urge you, however, to read the applicable prospectus supplement (and any related free writing prospectus that we may authorize to be provided to you) related to any common stock being offered.</w:t>
      </w:r>
    </w:p>
    <w:p>
      <w:pPr>
        <w:spacing w:after="0" w:line="179" w:lineRule="exact"/>
        <w:rPr>
          <w:sz w:val="20"/>
          <w:szCs w:val="20"/>
          <w:color w:val="auto"/>
        </w:rPr>
      </w:pPr>
    </w:p>
    <w:p>
      <w:pPr>
        <w:jc w:val="both"/>
        <w:ind w:firstLine="324"/>
        <w:spacing w:after="0" w:line="420" w:lineRule="auto"/>
        <w:rPr>
          <w:sz w:val="20"/>
          <w:szCs w:val="20"/>
          <w:color w:val="auto"/>
        </w:rPr>
      </w:pPr>
      <w:r>
        <w:rPr>
          <w:rFonts w:ascii="Arial" w:cs="Arial" w:eastAsia="Arial" w:hAnsi="Arial"/>
          <w:sz w:val="16"/>
          <w:szCs w:val="16"/>
          <w:i w:val="1"/>
          <w:iCs w:val="1"/>
          <w:color w:val="auto"/>
        </w:rPr>
        <w:t xml:space="preserve">Preferred Stock. </w:t>
      </w:r>
      <w:r>
        <w:rPr>
          <w:rFonts w:ascii="Arial" w:cs="Arial" w:eastAsia="Arial" w:hAnsi="Arial"/>
          <w:sz w:val="16"/>
          <w:szCs w:val="16"/>
          <w:color w:val="auto"/>
        </w:rPr>
        <w:t>We may issue shares of our preferred stock from time to time, in one or more series. Our board of directors will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your option and would be at prescribed conversion rates.</w:t>
      </w:r>
    </w:p>
    <w:p>
      <w:pPr>
        <w:spacing w:after="0" w:line="159" w:lineRule="exact"/>
        <w:rPr>
          <w:sz w:val="20"/>
          <w:szCs w:val="20"/>
          <w:color w:val="auto"/>
        </w:rPr>
      </w:pPr>
    </w:p>
    <w:p>
      <w:pPr>
        <w:jc w:val="both"/>
        <w:ind w:firstLine="324"/>
        <w:spacing w:after="0" w:line="424" w:lineRule="auto"/>
        <w:rPr>
          <w:sz w:val="20"/>
          <w:szCs w:val="20"/>
          <w:color w:val="auto"/>
        </w:rPr>
      </w:pPr>
      <w:r>
        <w:rPr>
          <w:rFonts w:ascii="Arial" w:cs="Arial" w:eastAsia="Arial" w:hAnsi="Arial"/>
          <w:sz w:val="17"/>
          <w:szCs w:val="17"/>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w:t>
      </w:r>
    </w:p>
    <w:p>
      <w:pPr>
        <w:sectPr>
          <w:pgSz w:w="11900" w:h="16838" w:orient="portrait"/>
          <w:cols w:equalWidth="0" w:num="1">
            <w:col w:w="10580"/>
          </w:cols>
          <w:pgMar w:left="660" w:top="1233"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80"/>
          </w:cols>
          <w:pgMar w:left="660" w:top="1233" w:right="659" w:bottom="1440" w:gutter="0" w:footer="0" w:header="0"/>
          <w:type w:val="continuous"/>
        </w:sectPr>
      </w:pPr>
    </w:p>
    <w:bookmarkStart w:id="11" w:name="page12"/>
    <w:bookmarkEnd w:id="11"/>
    <w:p>
      <w:pPr>
        <w:jc w:val="both"/>
        <w:spacing w:after="0" w:line="3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8262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8262620"/>
                    </a:xfrm>
                    <a:prstGeom prst="rect">
                      <a:avLst/>
                    </a:prstGeom>
                    <a:noFill/>
                  </pic:spPr>
                </pic:pic>
              </a:graphicData>
            </a:graphic>
          </wp:anchor>
        </w:drawing>
        <w:t>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79" w:lineRule="exact"/>
        <w:rPr>
          <w:sz w:val="20"/>
          <w:szCs w:val="20"/>
          <w:color w:val="auto"/>
        </w:rPr>
      </w:pPr>
    </w:p>
    <w:p>
      <w:pPr>
        <w:jc w:val="both"/>
        <w:ind w:firstLine="324"/>
        <w:spacing w:after="0" w:line="392"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We may issue debt securities from time to time, in one or more series, as either senior or subordinated debt or as senior or</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spacing w:after="0" w:line="173" w:lineRule="exact"/>
        <w:rPr>
          <w:sz w:val="20"/>
          <w:szCs w:val="20"/>
          <w:color w:val="auto"/>
        </w:rPr>
      </w:pPr>
    </w:p>
    <w:p>
      <w:pPr>
        <w:jc w:val="both"/>
        <w:ind w:firstLine="324"/>
        <w:spacing w:after="0" w:line="415" w:lineRule="auto"/>
        <w:rPr>
          <w:sz w:val="20"/>
          <w:szCs w:val="20"/>
          <w:color w:val="auto"/>
        </w:rPr>
      </w:pPr>
      <w:r>
        <w:rPr>
          <w:rFonts w:ascii="Arial" w:cs="Arial" w:eastAsia="Arial" w:hAnsi="Arial"/>
          <w:sz w:val="16"/>
          <w:szCs w:val="16"/>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63" w:lineRule="exact"/>
        <w:rPr>
          <w:sz w:val="20"/>
          <w:szCs w:val="20"/>
          <w:color w:val="auto"/>
        </w:rPr>
      </w:pPr>
    </w:p>
    <w:p>
      <w:pPr>
        <w:jc w:val="both"/>
        <w:ind w:firstLine="324"/>
        <w:spacing w:after="0" w:line="412"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We may issue warrants for the purchase of common stock, preferred stock and/or debt securities in one or more series. We may</w:t>
      </w:r>
      <w:r>
        <w:rPr>
          <w:rFonts w:ascii="Arial" w:cs="Arial" w:eastAsia="Arial" w:hAnsi="Arial"/>
          <w:sz w:val="16"/>
          <w:szCs w:val="16"/>
          <w:i w:val="1"/>
          <w:iCs w:val="1"/>
          <w:color w:val="auto"/>
        </w:rPr>
        <w:t xml:space="preserve"> </w:t>
      </w:r>
      <w:r>
        <w:rPr>
          <w:rFonts w:ascii="Arial" w:cs="Arial" w:eastAsia="Arial" w:hAnsi="Arial"/>
          <w:sz w:val="16"/>
          <w:szCs w:val="16"/>
          <w:color w:val="auto"/>
        </w:rPr>
        <w:t>issue warrants independently or in combination with common stock, preferred stock and/or debt securities. In this prospectus, we have summarized certain general features of the warrants under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69"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324"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We will not receive any proceeds from the sale of shares of our common stock by any selling stockholder. See “Use of Proceeds” in this prospectus.</w:t>
      </w:r>
    </w:p>
    <w:p>
      <w:pPr>
        <w:sectPr>
          <w:pgSz w:w="11900" w:h="16838" w:orient="portrait"/>
          <w:cols w:equalWidth="0" w:num="1">
            <w:col w:w="10580"/>
          </w:cols>
          <w:pgMar w:left="660" w:top="1233" w:right="65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80"/>
          </w:cols>
          <w:pgMar w:left="660" w:top="1233" w:right="659" w:bottom="1440" w:gutter="0" w:footer="0" w:header="0"/>
          <w:type w:val="continuous"/>
        </w:sectPr>
      </w:pPr>
    </w:p>
    <w:bookmarkStart w:id="12" w:name="page13"/>
    <w:bookmarkEnd w:id="1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490220</wp:posOffset>
            </wp:positionV>
            <wp:extent cx="7250430" cy="1925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1925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324" w:lineRule="exact"/>
        <w:rPr>
          <w:sz w:val="20"/>
          <w:szCs w:val="20"/>
          <w:color w:val="auto"/>
        </w:rPr>
      </w:pPr>
    </w:p>
    <w:p>
      <w:pPr>
        <w:jc w:val="both"/>
        <w:ind w:firstLine="297"/>
        <w:spacing w:after="0" w:line="373" w:lineRule="auto"/>
        <w:rPr>
          <w:sz w:val="20"/>
          <w:szCs w:val="20"/>
          <w:color w:val="auto"/>
        </w:rPr>
      </w:pPr>
      <w:r>
        <w:rPr>
          <w:rFonts w:ascii="Arial" w:cs="Arial" w:eastAsia="Arial" w:hAnsi="Arial"/>
          <w:sz w:val="18"/>
          <w:szCs w:val="18"/>
          <w:color w:val="auto"/>
        </w:rPr>
        <w:t>Our common stock is listed on the Nasdaq Global Market under the symbol “SIBN.” The applicable prospectus supplement will contain information, where applicable, as to other listings, if any, on the Nasdaq Global Market or other securities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680" w:top="1440" w:right="6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jc w:val="both"/>
        <w:ind w:firstLine="324"/>
        <w:spacing w:after="0" w:line="385"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24" w:lineRule="exact"/>
        <w:rPr>
          <w:sz w:val="20"/>
          <w:szCs w:val="20"/>
          <w:color w:val="auto"/>
        </w:rPr>
      </w:pPr>
    </w:p>
    <w:p>
      <w:pPr>
        <w:jc w:val="both"/>
        <w:ind w:left="20" w:firstLine="297"/>
        <w:spacing w:after="0" w:line="365" w:lineRule="auto"/>
        <w:rPr>
          <w:sz w:val="20"/>
          <w:szCs w:val="20"/>
          <w:color w:val="auto"/>
        </w:rPr>
      </w:pPr>
      <w:r>
        <w:rPr>
          <w:rFonts w:ascii="Arial" w:cs="Arial" w:eastAsia="Arial" w:hAnsi="Arial"/>
          <w:sz w:val="18"/>
          <w:szCs w:val="18"/>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3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expand our sales team to increase demand for our products and expand geographically;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favorable coverage and reimbursement determinations from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marketing authorization from the U.S. Food and Drug Administration or FDA;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ectPr>
          <w:pgSz w:w="11900" w:h="16838" w:orient="portrait"/>
          <w:cols w:equalWidth="0" w:num="1">
            <w:col w:w="11420"/>
          </w:cols>
          <w:pgMar w:left="240" w:top="810"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810" w:right="239" w:bottom="1440" w:gutter="0" w:footer="0" w:header="0"/>
          <w:type w:val="continuous"/>
        </w:sectPr>
      </w:pPr>
    </w:p>
    <w:bookmarkStart w:id="14" w:name="page15"/>
    <w:bookmarkEnd w:id="14"/>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a limited number of suppliers which may impact the availability of instruments and materials;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drive demand for our products and sustain or increase such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 and expand our sales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79" w:lineRule="exact"/>
        <w:rPr>
          <w:sz w:val="20"/>
          <w:szCs w:val="20"/>
          <w:color w:val="auto"/>
        </w:rPr>
      </w:pPr>
    </w:p>
    <w:p>
      <w:pPr>
        <w:jc w:val="both"/>
        <w:ind w:firstLine="324"/>
        <w:spacing w:after="0" w:line="410" w:lineRule="auto"/>
        <w:rPr>
          <w:sz w:val="20"/>
          <w:szCs w:val="20"/>
          <w:color w:val="auto"/>
        </w:rPr>
      </w:pPr>
      <w:r>
        <w:rPr>
          <w:rFonts w:ascii="Arial" w:cs="Arial" w:eastAsia="Arial" w:hAnsi="Arial"/>
          <w:sz w:val="16"/>
          <w:szCs w:val="16"/>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97"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which may include costs of funding future acquisitions or for any other purpose we describe in the applicable prospectus supplement.</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will not receive any proceeds from the sale of shares of our common stock by any selling stockholder.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76"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00" w:lineRule="exact"/>
        <w:rPr>
          <w:sz w:val="20"/>
          <w:szCs w:val="20"/>
          <w:color w:val="auto"/>
        </w:rPr>
      </w:pPr>
    </w:p>
    <w:p>
      <w:pPr>
        <w:spacing w:after="0" w:line="299"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8"/>
          <w:szCs w:val="18"/>
          <w:color w:val="auto"/>
        </w:rPr>
        <w:t>Our authorized capital stock consists of 100,000,000 shares of common stock, $0.0001 par value per share, and 5,000,000 shares of preferred stock, $0.0001 par value per share. A description of material terms and provisions of our certificate of incorporation and bylaws affecting the rights of holders of our capital stock is set forth below. The description is intended as a summary, and is qualified in its entirety by reference to our certificate of incorporation and the bylaws.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320"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320"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3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320"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324"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8"/>
          <w:szCs w:val="18"/>
          <w:color w:val="auto"/>
        </w:rPr>
        <w:t>Our amended and restated certificate of incorporation authorizes our board of directors,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sectPr>
          <w:pgSz w:w="11900" w:h="16838" w:orient="portrait"/>
          <w:cols w:equalWidth="0" w:num="1">
            <w:col w:w="11420"/>
          </w:cols>
          <w:pgMar w:left="240" w:top="756" w:right="2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56" w:right="239" w:bottom="1440" w:gutter="0" w:footer="0" w:header="0"/>
          <w:type w:val="continuous"/>
        </w:sectPr>
      </w:pPr>
    </w:p>
    <w:bookmarkStart w:id="16" w:name="page17"/>
    <w:bookmarkEnd w:id="16"/>
    <w:p>
      <w:pPr>
        <w:jc w:val="both"/>
        <w:ind w:firstLine="324"/>
        <w:spacing w:after="0" w:line="366" w:lineRule="auto"/>
        <w:rPr>
          <w:sz w:val="20"/>
          <w:szCs w:val="20"/>
          <w:color w:val="auto"/>
        </w:rPr>
      </w:pPr>
      <w:r>
        <w:rPr>
          <w:rFonts w:ascii="Arial" w:cs="Arial" w:eastAsia="Arial" w:hAnsi="Arial"/>
          <w:sz w:val="18"/>
          <w:szCs w:val="18"/>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19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applicable;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provisions for a sinking fund, if applicable;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03" w:lineRule="exact"/>
        <w:rPr>
          <w:rFonts w:ascii="Arial" w:cs="Arial" w:eastAsia="Arial" w:hAnsi="Arial"/>
          <w:sz w:val="18"/>
          <w:szCs w:val="18"/>
          <w:color w:val="auto"/>
        </w:rPr>
      </w:pPr>
    </w:p>
    <w:p>
      <w:pPr>
        <w:ind w:left="660" w:right="20" w:hanging="328"/>
        <w:spacing w:after="0" w:line="3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ind w:left="660" w:right="20" w:hanging="328"/>
        <w:spacing w:after="0" w:line="3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rights of the preferred stock;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transfer, sale or other assignment;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discussion of material United States federal income tax considerations applicable to the preferred stock;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115" w:lineRule="exact"/>
        <w:rPr>
          <w:rFonts w:ascii="Arial" w:cs="Arial" w:eastAsia="Arial" w:hAnsi="Arial"/>
          <w:sz w:val="17"/>
          <w:szCs w:val="17"/>
          <w:color w:val="auto"/>
        </w:rPr>
      </w:pPr>
    </w:p>
    <w:p>
      <w:pPr>
        <w:ind w:left="660" w:hanging="328"/>
        <w:spacing w:after="0" w:line="3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 and Delaware Law</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12" w:lineRule="exact"/>
        <w:rPr>
          <w:sz w:val="20"/>
          <w:szCs w:val="20"/>
          <w:color w:val="auto"/>
        </w:rPr>
      </w:pPr>
    </w:p>
    <w:p>
      <w:pPr>
        <w:jc w:val="both"/>
        <w:ind w:firstLine="446"/>
        <w:spacing w:after="0" w:line="381" w:lineRule="auto"/>
        <w:rPr>
          <w:sz w:val="20"/>
          <w:szCs w:val="20"/>
          <w:color w:val="auto"/>
        </w:rPr>
      </w:pPr>
      <w:r>
        <w:rPr>
          <w:rFonts w:ascii="Arial" w:cs="Arial" w:eastAsia="Arial" w:hAnsi="Arial"/>
          <w:sz w:val="17"/>
          <w:szCs w:val="17"/>
          <w:color w:val="auto"/>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1" w:lineRule="exact"/>
        <w:rPr>
          <w:sz w:val="20"/>
          <w:szCs w:val="20"/>
          <w:color w:val="auto"/>
        </w:rPr>
      </w:pPr>
    </w:p>
    <w:p>
      <w:pPr>
        <w:jc w:val="center"/>
        <w:ind w:left="5660" w:right="1100" w:hanging="5328"/>
        <w:spacing w:after="0" w:line="590" w:lineRule="auto"/>
        <w:tabs>
          <w:tab w:leader="none" w:pos="6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time that the interested stockholder became an interested stockholder; 9</w:t>
      </w:r>
    </w:p>
    <w:p>
      <w:pPr>
        <w:sectPr>
          <w:pgSz w:w="11900" w:h="16838" w:orient="portrait"/>
          <w:cols w:equalWidth="0" w:num="1">
            <w:col w:w="11420"/>
          </w:cols>
          <w:pgMar w:left="240" w:top="1030" w:right="239" w:bottom="1440" w:gutter="0" w:footer="0" w:header="0"/>
        </w:sectPr>
      </w:pPr>
    </w:p>
    <w:bookmarkStart w:id="17" w:name="page18"/>
    <w:bookmarkEnd w:id="17"/>
    <w:p>
      <w:pPr>
        <w:ind w:left="660" w:right="20" w:hanging="328"/>
        <w:spacing w:after="0" w:line="3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222222"/>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w:t>
      </w:r>
      <w:r>
        <w:rPr>
          <w:rFonts w:ascii="Arial" w:cs="Arial" w:eastAsia="Arial" w:hAnsi="Arial"/>
          <w:sz w:val="18"/>
          <w:szCs w:val="18"/>
          <w:color w:val="000000"/>
        </w:rPr>
        <w:t>or</w:t>
      </w:r>
    </w:p>
    <w:p>
      <w:pPr>
        <w:ind w:left="660" w:right="60" w:hanging="328"/>
        <w:spacing w:after="0" w:line="37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83" w:lineRule="exact"/>
        <w:rPr>
          <w:sz w:val="20"/>
          <w:szCs w:val="20"/>
          <w:color w:val="auto"/>
        </w:rPr>
      </w:pPr>
    </w:p>
    <w:p>
      <w:pPr>
        <w:jc w:val="both"/>
        <w:ind w:firstLine="446"/>
        <w:spacing w:after="0" w:line="36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320" w:lineRule="exact"/>
        <w:rPr>
          <w:sz w:val="20"/>
          <w:szCs w:val="20"/>
          <w:color w:val="auto"/>
        </w:rPr>
      </w:pPr>
    </w:p>
    <w:p>
      <w:pPr>
        <w:jc w:val="both"/>
        <w:ind w:firstLine="324"/>
        <w:spacing w:after="0" w:line="387"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may have the effect of deterring hostile takeovers or delaying or preventing changes in control of our management team, including the following:</w:t>
      </w:r>
    </w:p>
    <w:p>
      <w:pPr>
        <w:spacing w:after="0" w:line="170" w:lineRule="exact"/>
        <w:rPr>
          <w:sz w:val="20"/>
          <w:szCs w:val="20"/>
          <w:color w:val="auto"/>
        </w:rPr>
      </w:pPr>
    </w:p>
    <w:p>
      <w:pPr>
        <w:jc w:val="both"/>
        <w:ind w:left="660" w:hanging="328"/>
        <w:spacing w:after="0" w:line="39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Board of Directors Vacancies</w:t>
      </w:r>
      <w:r>
        <w:rPr>
          <w:rFonts w:ascii="Arial" w:cs="Arial" w:eastAsia="Arial" w:hAnsi="Arial"/>
          <w:sz w:val="17"/>
          <w:szCs w:val="17"/>
          <w:color w:val="auto"/>
        </w:rPr>
        <w:t>. Our amended and restated certificate of incorporation and amended and restated bylaws authorize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to fill vacant directorships, including newly-created seats. In addition, the number of directors constituting our board of directors is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266" w:lineRule="exact"/>
        <w:rPr>
          <w:rFonts w:ascii="Arial" w:cs="Arial" w:eastAsia="Arial" w:hAnsi="Arial"/>
          <w:sz w:val="17"/>
          <w:szCs w:val="17"/>
          <w:color w:val="auto"/>
        </w:rPr>
      </w:pPr>
    </w:p>
    <w:p>
      <w:pPr>
        <w:jc w:val="both"/>
        <w:ind w:left="660" w:hanging="328"/>
        <w:spacing w:after="0" w:line="36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provide that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into three classes of directors, each of whom will hold office for a three-year term. In addition, directors may only be removed from the board of directors for cause and only by the approval of a majority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285" w:lineRule="exact"/>
        <w:rPr>
          <w:rFonts w:ascii="Arial" w:cs="Arial" w:eastAsia="Arial" w:hAnsi="Arial"/>
          <w:sz w:val="18"/>
          <w:szCs w:val="18"/>
          <w:color w:val="auto"/>
        </w:rPr>
      </w:pPr>
    </w:p>
    <w:p>
      <w:pPr>
        <w:jc w:val="both"/>
        <w:ind w:left="660" w:hanging="328"/>
        <w:spacing w:after="0" w:line="36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provides that stockholders are not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take action by written consent, and are only be able to take action at annual or special meetings of our stockholders. Stockholders are not be permitted to cumulate their votes for the election of directors. Our amended and restated bylaws further provide that special meetings of our stockholders may be called only by a majority vote of our entire board of directors, the chairman of our board of directors, or our chief executive officer.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14" w:right="239" w:bottom="1440" w:gutter="0" w:footer="0" w:header="0"/>
        </w:sectPr>
      </w:pPr>
    </w:p>
    <w:bookmarkStart w:id="18" w:name="page19"/>
    <w:bookmarkEnd w:id="18"/>
    <w:p>
      <w:pPr>
        <w:jc w:val="both"/>
        <w:ind w:left="660" w:hanging="328"/>
        <w:spacing w:after="0" w:line="3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amended and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285" w:lineRule="exact"/>
        <w:rPr>
          <w:rFonts w:ascii="Arial" w:cs="Arial" w:eastAsia="Arial" w:hAnsi="Arial"/>
          <w:sz w:val="18"/>
          <w:szCs w:val="18"/>
          <w:color w:val="auto"/>
        </w:rPr>
      </w:pPr>
    </w:p>
    <w:p>
      <w:pPr>
        <w:jc w:val="both"/>
        <w:ind w:left="660" w:hanging="328"/>
        <w:spacing w:after="0" w:line="39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Issuance of Undesignated Preferred Stock</w:t>
      </w:r>
      <w:r>
        <w:rPr>
          <w:rFonts w:ascii="Arial" w:cs="Arial" w:eastAsia="Arial" w:hAnsi="Arial"/>
          <w:sz w:val="17"/>
          <w:szCs w:val="17"/>
          <w:color w:val="auto"/>
        </w:rPr>
        <w:t>. Our board of directors have the authority, without further action by the holders of common stock, to issue</w:t>
      </w:r>
      <w:r>
        <w:rPr>
          <w:rFonts w:ascii="Arial" w:cs="Arial" w:eastAsia="Arial" w:hAnsi="Arial"/>
          <w:sz w:val="17"/>
          <w:szCs w:val="17"/>
          <w:i w:val="1"/>
          <w:iCs w:val="1"/>
          <w:color w:val="auto"/>
        </w:rPr>
        <w:t xml:space="preserve"> </w:t>
      </w:r>
      <w:r>
        <w:rPr>
          <w:rFonts w:ascii="Arial" w:cs="Arial" w:eastAsia="Arial" w:hAnsi="Arial"/>
          <w:sz w:val="17"/>
          <w:szCs w:val="17"/>
          <w:color w:val="auto"/>
        </w:rPr>
        <w:t>up to 5,000,000 shares of undesignated preferred stock with rights and preferences, including voting rights, designated from time to time by the board of directors. The existence of authorized but unissued shares of preferred stock enable our board of directors to render more difficult or to discourage an attempt to obtain control of us by means of a merger, tender offer, proxy contest, or otherwise.</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Choice of Forum</w:t>
      </w:r>
    </w:p>
    <w:p>
      <w:pPr>
        <w:spacing w:after="0" w:line="243" w:lineRule="exact"/>
        <w:rPr>
          <w:sz w:val="20"/>
          <w:szCs w:val="20"/>
          <w:color w:val="auto"/>
        </w:rPr>
      </w:pPr>
    </w:p>
    <w:p>
      <w:pPr>
        <w:jc w:val="both"/>
        <w:ind w:firstLine="446"/>
        <w:spacing w:after="0" w:line="386"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provision does not apply to suits brought to enforce a duty or liability created by the Exchange Act.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is be the exclusive forum for resolving any complaint asserting a cause of action arising under the Securities Act. We do not currently intend to enforce the federal forum selection provision unless a recent Delaware Chancery Court decision invalidating such a clause is appealed and the Delaware Supreme Court reverses the decision.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324"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Our common stock is listed on the Nasdaq Global Market the symbol “SIBN.” The applicable prospectus supplement will contain information, where applicable, as to any other listing, if any, on the Nasdaq Global Market or any securities market or other exchange of the preferred stock covered by such prospectus supplement.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83" w:lineRule="exact"/>
        <w:rPr>
          <w:sz w:val="20"/>
          <w:szCs w:val="20"/>
          <w:color w:val="auto"/>
        </w:rPr>
      </w:pPr>
    </w:p>
    <w:p>
      <w:pPr>
        <w:jc w:val="both"/>
        <w:ind w:firstLine="324"/>
        <w:spacing w:after="0" w:line="392" w:lineRule="auto"/>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14" w:right="239" w:bottom="1440" w:gutter="0" w:footer="0" w:header="0"/>
        </w:sectPr>
      </w:pPr>
    </w:p>
    <w:bookmarkStart w:id="19" w:name="page20"/>
    <w:bookmarkEnd w:id="19"/>
    <w:p>
      <w:pPr>
        <w:jc w:val="both"/>
        <w:ind w:firstLine="324"/>
        <w:spacing w:after="0" w:line="425" w:lineRule="auto"/>
        <w:rPr>
          <w:sz w:val="20"/>
          <w:szCs w:val="20"/>
          <w:color w:val="auto"/>
        </w:rPr>
      </w:pPr>
      <w:r>
        <w:rPr>
          <w:rFonts w:ascii="Arial" w:cs="Arial" w:eastAsia="Arial" w:hAnsi="Arial"/>
          <w:sz w:val="16"/>
          <w:szCs w:val="16"/>
          <w:color w:val="auto"/>
        </w:rPr>
        <w:t>We will issue the debt securities under the indenture that we will enter into with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55"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324" w:lineRule="exact"/>
        <w:rPr>
          <w:sz w:val="20"/>
          <w:szCs w:val="20"/>
          <w:color w:val="auto"/>
        </w:rPr>
      </w:pPr>
    </w:p>
    <w:p>
      <w:pPr>
        <w:jc w:val="both"/>
        <w:ind w:firstLine="324"/>
        <w:spacing w:after="0" w:line="395"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72" w:lineRule="exact"/>
        <w:rPr>
          <w:sz w:val="20"/>
          <w:szCs w:val="20"/>
          <w:color w:val="auto"/>
        </w:rPr>
      </w:pPr>
    </w:p>
    <w:p>
      <w:pPr>
        <w:jc w:val="both"/>
        <w:ind w:firstLine="324"/>
        <w:spacing w:after="0" w:line="425"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32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03" w:lineRule="exact"/>
        <w:rPr>
          <w:rFonts w:ascii="Arial" w:cs="Arial" w:eastAsia="Arial" w:hAnsi="Arial"/>
          <w:sz w:val="18"/>
          <w:szCs w:val="18"/>
          <w:color w:val="auto"/>
        </w:rPr>
      </w:pPr>
    </w:p>
    <w:p>
      <w:pPr>
        <w:ind w:left="660" w:right="20" w:hanging="328"/>
        <w:spacing w:after="0" w:line="3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jc w:val="both"/>
        <w:ind w:left="660" w:hanging="328"/>
        <w:spacing w:after="0" w:line="3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ind w:left="660" w:hanging="328"/>
        <w:spacing w:after="0" w:line="381"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14" w:right="239" w:bottom="1440" w:gutter="0" w:footer="0" w:header="0"/>
        </w:sectPr>
      </w:pPr>
    </w:p>
    <w:bookmarkStart w:id="20" w:name="page21"/>
    <w:bookmarkEnd w:id="20"/>
    <w:p>
      <w:pPr>
        <w:ind w:left="328" w:right="20" w:hanging="328"/>
        <w:spacing w:after="0" w:line="405" w:lineRule="auto"/>
        <w:tabs>
          <w:tab w:leader="none" w:pos="328"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jc w:val="both"/>
        <w:ind w:left="328" w:hanging="328"/>
        <w:spacing w:after="0" w:line="360"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ind w:left="328" w:hanging="328"/>
        <w:spacing w:after="0"/>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denominations in which we will issue the series of debt securities, if other than denominations of $1,000 and any integral multiple thereof;</w:t>
      </w:r>
    </w:p>
    <w:p>
      <w:pPr>
        <w:spacing w:after="0" w:line="115" w:lineRule="exact"/>
        <w:rPr>
          <w:rFonts w:ascii="Arial" w:cs="Arial" w:eastAsia="Arial" w:hAnsi="Arial"/>
          <w:sz w:val="17"/>
          <w:szCs w:val="17"/>
          <w:color w:val="auto"/>
        </w:rPr>
      </w:pPr>
    </w:p>
    <w:p>
      <w:pPr>
        <w:ind w:left="328" w:hanging="328"/>
        <w:spacing w:after="0" w:line="405" w:lineRule="auto"/>
        <w:tabs>
          <w:tab w:leader="none" w:pos="328"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ind w:left="328" w:hanging="328"/>
        <w:spacing w:after="0"/>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w:t>
      </w:r>
    </w:p>
    <w:p>
      <w:pPr>
        <w:spacing w:after="0" w:line="103" w:lineRule="exact"/>
        <w:rPr>
          <w:rFonts w:ascii="Arial" w:cs="Arial" w:eastAsia="Arial" w:hAnsi="Arial"/>
          <w:sz w:val="18"/>
          <w:szCs w:val="18"/>
          <w:color w:val="auto"/>
        </w:rPr>
      </w:pPr>
    </w:p>
    <w:p>
      <w:pPr>
        <w:ind w:left="328" w:hanging="328"/>
        <w:spacing w:after="0" w:line="360"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conditions, if any, upon which such global security or securities may be exchanged in whole or in part for other individual securities, and the depositary for such global security or securities;</w:t>
      </w:r>
    </w:p>
    <w:p>
      <w:pPr>
        <w:jc w:val="both"/>
        <w:ind w:left="328" w:hanging="328"/>
        <w:spacing w:after="0" w:line="360"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ind w:left="328" w:hanging="328"/>
        <w:spacing w:after="0" w:line="360"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ind w:left="328" w:hanging="328"/>
        <w:spacing w:after="0" w:line="360"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ind w:left="328" w:hanging="328"/>
        <w:spacing w:after="0" w:line="360"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ind w:left="328" w:hanging="328"/>
        <w:spacing w:after="0"/>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103" w:lineRule="exact"/>
        <w:rPr>
          <w:rFonts w:ascii="Arial" w:cs="Arial" w:eastAsia="Arial" w:hAnsi="Arial"/>
          <w:sz w:val="18"/>
          <w:szCs w:val="18"/>
          <w:color w:val="auto"/>
        </w:rPr>
      </w:pPr>
    </w:p>
    <w:p>
      <w:pPr>
        <w:ind w:left="328" w:hanging="328"/>
        <w:spacing w:after="0"/>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103" w:lineRule="exact"/>
        <w:rPr>
          <w:rFonts w:ascii="Arial" w:cs="Arial" w:eastAsia="Arial" w:hAnsi="Arial"/>
          <w:sz w:val="18"/>
          <w:szCs w:val="18"/>
          <w:color w:val="auto"/>
        </w:rPr>
      </w:pPr>
    </w:p>
    <w:p>
      <w:pPr>
        <w:ind w:left="328" w:hanging="328"/>
        <w:spacing w:after="0" w:line="360"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ind w:left="328" w:hanging="328"/>
        <w:spacing w:after="0"/>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115" w:lineRule="exact"/>
        <w:rPr>
          <w:rFonts w:ascii="Arial" w:cs="Arial" w:eastAsia="Arial" w:hAnsi="Arial"/>
          <w:sz w:val="17"/>
          <w:szCs w:val="17"/>
          <w:color w:val="auto"/>
        </w:rPr>
      </w:pPr>
    </w:p>
    <w:p>
      <w:pPr>
        <w:ind w:left="328" w:hanging="328"/>
        <w:spacing w:after="0" w:line="360"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ind w:left="328" w:hanging="328"/>
        <w:spacing w:after="0" w:line="360"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ind w:left="328" w:hanging="328"/>
        <w:spacing w:after="0"/>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103" w:lineRule="exact"/>
        <w:rPr>
          <w:rFonts w:ascii="Arial" w:cs="Arial" w:eastAsia="Arial" w:hAnsi="Arial"/>
          <w:sz w:val="18"/>
          <w:szCs w:val="18"/>
          <w:color w:val="auto"/>
        </w:rPr>
      </w:pPr>
    </w:p>
    <w:p>
      <w:pPr>
        <w:ind w:left="328" w:hanging="328"/>
        <w:spacing w:after="0" w:line="387"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2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8"/>
          </w:cols>
          <w:pgMar w:left="572" w:top="81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324" w:lineRule="exact"/>
        <w:rPr>
          <w:sz w:val="20"/>
          <w:szCs w:val="20"/>
          <w:color w:val="auto"/>
        </w:rPr>
      </w:pPr>
    </w:p>
    <w:p>
      <w:pPr>
        <w:jc w:val="both"/>
        <w:ind w:firstLine="324"/>
        <w:spacing w:after="0" w:line="395"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324"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324" w:lineRule="exact"/>
        <w:rPr>
          <w:sz w:val="20"/>
          <w:szCs w:val="20"/>
          <w:color w:val="auto"/>
        </w:rPr>
      </w:pPr>
    </w:p>
    <w:p>
      <w:pPr>
        <w:jc w:val="both"/>
        <w:ind w:firstLine="324"/>
        <w:spacing w:after="0" w:line="38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70" w:lineRule="exact"/>
        <w:rPr>
          <w:sz w:val="20"/>
          <w:szCs w:val="20"/>
          <w:color w:val="auto"/>
        </w:rPr>
      </w:pPr>
    </w:p>
    <w:p>
      <w:pPr>
        <w:jc w:val="both"/>
        <w:ind w:left="660" w:hanging="328"/>
        <w:spacing w:after="0" w:line="381"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jc w:val="both"/>
        <w:ind w:left="660" w:hanging="328"/>
        <w:spacing w:after="0" w:line="381"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 w:lineRule="exact"/>
        <w:rPr>
          <w:rFonts w:ascii="Arial" w:cs="Arial" w:eastAsia="Arial" w:hAnsi="Arial"/>
          <w:sz w:val="17"/>
          <w:szCs w:val="17"/>
          <w:color w:val="auto"/>
        </w:rPr>
      </w:pPr>
    </w:p>
    <w:p>
      <w:pPr>
        <w:jc w:val="both"/>
        <w:ind w:left="660" w:hanging="328"/>
        <w:spacing w:after="0" w:line="36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320" w:lineRule="exact"/>
        <w:rPr>
          <w:sz w:val="20"/>
          <w:szCs w:val="20"/>
          <w:color w:val="auto"/>
        </w:rPr>
      </w:pPr>
    </w:p>
    <w:p>
      <w:pPr>
        <w:jc w:val="both"/>
        <w:ind w:firstLine="324"/>
        <w:spacing w:after="0" w:line="420"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10" w:right="239" w:bottom="1440" w:gutter="0" w:footer="0" w:header="0"/>
        </w:sectPr>
      </w:pPr>
    </w:p>
    <w:bookmarkStart w:id="22" w:name="page23"/>
    <w:bookmarkEnd w:id="22"/>
    <w:p>
      <w:pPr>
        <w:jc w:val="both"/>
        <w:ind w:firstLine="324"/>
        <w:spacing w:after="0" w:line="402"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66" w:lineRule="exact"/>
        <w:rPr>
          <w:sz w:val="20"/>
          <w:szCs w:val="20"/>
          <w:color w:val="auto"/>
        </w:rPr>
      </w:pPr>
    </w:p>
    <w:p>
      <w:pPr>
        <w:jc w:val="both"/>
        <w:ind w:firstLine="324"/>
        <w:spacing w:after="0" w:line="392"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03" w:lineRule="exact"/>
        <w:rPr>
          <w:rFonts w:ascii="Arial" w:cs="Arial" w:eastAsia="Arial" w:hAnsi="Arial"/>
          <w:sz w:val="18"/>
          <w:szCs w:val="18"/>
          <w:color w:val="auto"/>
        </w:rPr>
      </w:pPr>
    </w:p>
    <w:p>
      <w:pPr>
        <w:ind w:left="660" w:hanging="328"/>
        <w:spacing w:after="0" w:line="36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ind w:firstLine="324"/>
        <w:spacing w:after="0" w:line="38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w:t>
      </w:r>
    </w:p>
    <w:p>
      <w:pPr>
        <w:spacing w:after="0" w:line="103" w:lineRule="exact"/>
        <w:rPr>
          <w:rFonts w:ascii="Arial" w:cs="Arial" w:eastAsia="Arial" w:hAnsi="Arial"/>
          <w:sz w:val="18"/>
          <w:szCs w:val="18"/>
          <w:color w:val="auto"/>
        </w:rPr>
      </w:pPr>
    </w:p>
    <w:p>
      <w:pPr>
        <w:ind w:left="660" w:hanging="328"/>
        <w:spacing w:after="0" w:line="3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ind w:left="660" w:hanging="328"/>
        <w:spacing w:after="0" w:line="3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ind w:firstLine="324"/>
        <w:spacing w:after="0" w:line="38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32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03" w:lineRule="exact"/>
        <w:rPr>
          <w:rFonts w:ascii="Arial" w:cs="Arial" w:eastAsia="Arial" w:hAnsi="Arial"/>
          <w:sz w:val="18"/>
          <w:szCs w:val="18"/>
          <w:color w:val="auto"/>
        </w:rPr>
      </w:pPr>
    </w:p>
    <w:p>
      <w:pPr>
        <w:jc w:val="both"/>
        <w:ind w:left="660" w:hanging="328"/>
        <w:spacing w:after="0" w:line="40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ind w:left="660" w:hanging="328"/>
        <w:spacing w:after="0" w:line="38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14" w:right="239" w:bottom="1440" w:gutter="0" w:footer="0" w:header="0"/>
        </w:sectPr>
      </w:pPr>
    </w:p>
    <w:bookmarkStart w:id="23" w:name="page24"/>
    <w:bookmarkEnd w:id="23"/>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interests of any holder of debt securities of any series in any material respect;</w:t>
      </w:r>
    </w:p>
    <w:p>
      <w:pPr>
        <w:spacing w:after="0" w:line="103" w:lineRule="exact"/>
        <w:rPr>
          <w:rFonts w:ascii="Arial" w:cs="Arial" w:eastAsia="Arial" w:hAnsi="Arial"/>
          <w:sz w:val="18"/>
          <w:szCs w:val="18"/>
          <w:color w:val="auto"/>
        </w:rPr>
      </w:pPr>
    </w:p>
    <w:p>
      <w:pPr>
        <w:jc w:val="both"/>
        <w:ind w:left="660" w:hanging="328"/>
        <w:spacing w:after="0" w:line="3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320"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8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103" w:lineRule="exact"/>
        <w:rPr>
          <w:rFonts w:ascii="Arial" w:cs="Arial" w:eastAsia="Arial" w:hAnsi="Arial"/>
          <w:sz w:val="18"/>
          <w:szCs w:val="18"/>
          <w:color w:val="auto"/>
        </w:rPr>
      </w:pPr>
    </w:p>
    <w:p>
      <w:pPr>
        <w:ind w:left="660" w:hanging="328"/>
        <w:spacing w:after="0" w:line="36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12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Discharge</w:t>
      </w:r>
    </w:p>
    <w:p>
      <w:pPr>
        <w:spacing w:after="0" w:line="324" w:lineRule="exact"/>
        <w:rPr>
          <w:sz w:val="20"/>
          <w:szCs w:val="20"/>
          <w:color w:val="auto"/>
        </w:rPr>
      </w:pPr>
    </w:p>
    <w:p>
      <w:pPr>
        <w:ind w:firstLine="324"/>
        <w:spacing w:after="0" w:line="38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320" w:lineRule="exact"/>
        <w:rPr>
          <w:sz w:val="20"/>
          <w:szCs w:val="20"/>
          <w:color w:val="auto"/>
        </w:rPr>
      </w:pPr>
    </w:p>
    <w:p>
      <w:pPr>
        <w:ind w:firstLine="324"/>
        <w:spacing w:after="0" w:line="38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1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Form, Exchange and Transfer</w:t>
      </w:r>
    </w:p>
    <w:p>
      <w:pPr>
        <w:spacing w:after="0" w:line="324" w:lineRule="exact"/>
        <w:rPr>
          <w:sz w:val="20"/>
          <w:szCs w:val="20"/>
          <w:color w:val="auto"/>
        </w:rPr>
      </w:pPr>
    </w:p>
    <w:p>
      <w:pPr>
        <w:jc w:val="both"/>
        <w:ind w:firstLine="324"/>
        <w:spacing w:after="0" w:line="36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 entry securities will be set forth in the applicable prospectus supplement.</w:t>
      </w:r>
    </w:p>
    <w:p>
      <w:pPr>
        <w:spacing w:after="0" w:line="191"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3" w:lineRule="exact"/>
        <w:rPr>
          <w:sz w:val="20"/>
          <w:szCs w:val="20"/>
          <w:color w:val="auto"/>
        </w:rPr>
      </w:pPr>
    </w:p>
    <w:p>
      <w:pPr>
        <w:jc w:val="both"/>
        <w:ind w:firstLine="324"/>
        <w:spacing w:after="0" w:line="392"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3"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320" w:lineRule="exact"/>
        <w:rPr>
          <w:sz w:val="20"/>
          <w:szCs w:val="20"/>
          <w:color w:val="auto"/>
        </w:rPr>
      </w:pPr>
    </w:p>
    <w:p>
      <w:pPr>
        <w:jc w:val="both"/>
        <w:ind w:left="660" w:hanging="328"/>
        <w:spacing w:after="0" w:line="36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ind w:left="660" w:hanging="328"/>
        <w:spacing w:after="0" w:line="38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324" w:lineRule="exact"/>
        <w:rPr>
          <w:sz w:val="20"/>
          <w:szCs w:val="20"/>
          <w:color w:val="auto"/>
        </w:rPr>
      </w:pPr>
    </w:p>
    <w:p>
      <w:pPr>
        <w:jc w:val="both"/>
        <w:ind w:firstLine="324"/>
        <w:spacing w:after="0" w:line="366"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10" w:right="239" w:bottom="1440" w:gutter="0" w:footer="0" w:header="0"/>
        </w:sectPr>
      </w:pPr>
    </w:p>
    <w:bookmarkStart w:id="25" w:name="page26"/>
    <w:bookmarkEnd w:id="25"/>
    <w:p>
      <w:pPr>
        <w:jc w:val="both"/>
        <w:ind w:firstLine="324"/>
        <w:spacing w:after="0" w:line="37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3" w:lineRule="exact"/>
        <w:rPr>
          <w:sz w:val="20"/>
          <w:szCs w:val="20"/>
          <w:color w:val="auto"/>
        </w:rPr>
      </w:pPr>
    </w:p>
    <w:p>
      <w:pPr>
        <w:jc w:val="both"/>
        <w:ind w:firstLine="324"/>
        <w:spacing w:after="0" w:line="36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1"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324" w:lineRule="exact"/>
        <w:rPr>
          <w:sz w:val="20"/>
          <w:szCs w:val="20"/>
          <w:color w:val="auto"/>
        </w:rPr>
      </w:pPr>
    </w:p>
    <w:p>
      <w:pPr>
        <w:jc w:val="both"/>
        <w:ind w:firstLine="324"/>
        <w:spacing w:after="0" w:line="38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83"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0" w:lineRule="exact"/>
        <w:rPr>
          <w:sz w:val="20"/>
          <w:szCs w:val="20"/>
          <w:color w:val="auto"/>
        </w:rPr>
      </w:pPr>
    </w:p>
    <w:p>
      <w:pPr>
        <w:jc w:val="both"/>
        <w:ind w:firstLine="324"/>
        <w:spacing w:after="0" w:line="386" w:lineRule="auto"/>
        <w:rPr>
          <w:sz w:val="20"/>
          <w:szCs w:val="20"/>
          <w:color w:val="auto"/>
        </w:rPr>
      </w:pPr>
      <w:r>
        <w:rPr>
          <w:rFonts w:ascii="Arial" w:cs="Arial" w:eastAsia="Arial" w:hAnsi="Arial"/>
          <w:sz w:val="17"/>
          <w:szCs w:val="17"/>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1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General</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warrants being offered, including:</w:t>
      </w:r>
    </w:p>
    <w:p>
      <w:pPr>
        <w:spacing w:after="0" w:line="32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03" w:lineRule="exact"/>
        <w:rPr>
          <w:rFonts w:ascii="Arial" w:cs="Arial" w:eastAsia="Arial" w:hAnsi="Arial"/>
          <w:sz w:val="18"/>
          <w:szCs w:val="18"/>
          <w:color w:val="auto"/>
        </w:rPr>
      </w:pPr>
    </w:p>
    <w:p>
      <w:pPr>
        <w:ind w:left="660" w:hanging="328"/>
        <w:spacing w:after="0" w:line="36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ind w:left="660" w:hanging="328"/>
        <w:spacing w:after="0" w:line="36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ind w:left="660" w:hanging="328"/>
        <w:spacing w:after="0" w:line="381"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of holding or exercising the warrants;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320" w:lineRule="exact"/>
        <w:rPr>
          <w:sz w:val="20"/>
          <w:szCs w:val="20"/>
          <w:color w:val="auto"/>
        </w:rPr>
      </w:pPr>
    </w:p>
    <w:p>
      <w:pPr>
        <w:ind w:firstLine="324"/>
        <w:spacing w:after="0" w:line="38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170" w:lineRule="exact"/>
        <w:rPr>
          <w:sz w:val="20"/>
          <w:szCs w:val="20"/>
          <w:color w:val="auto"/>
        </w:rPr>
      </w:pPr>
    </w:p>
    <w:p>
      <w:pPr>
        <w:ind w:left="660" w:hanging="328"/>
        <w:spacing w:after="0" w:line="3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ind w:left="660" w:hanging="328"/>
        <w:spacing w:after="0" w:line="38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324" w:lineRule="exact"/>
        <w:rPr>
          <w:sz w:val="20"/>
          <w:szCs w:val="20"/>
          <w:color w:val="auto"/>
        </w:rPr>
      </w:pPr>
    </w:p>
    <w:p>
      <w:pPr>
        <w:jc w:val="both"/>
        <w:ind w:firstLine="324"/>
        <w:spacing w:after="0" w:line="366"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91"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1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Governing Law</w:t>
      </w:r>
    </w:p>
    <w:p>
      <w:pPr>
        <w:spacing w:after="0" w:line="324" w:lineRule="exact"/>
        <w:rPr>
          <w:sz w:val="20"/>
          <w:szCs w:val="20"/>
          <w:color w:val="auto"/>
        </w:rPr>
      </w:pPr>
    </w:p>
    <w:p>
      <w:pPr>
        <w:jc w:val="both"/>
        <w:ind w:firstLine="324"/>
        <w:spacing w:after="0" w:line="387" w:lineRule="auto"/>
        <w:rPr>
          <w:sz w:val="20"/>
          <w:szCs w:val="20"/>
          <w:color w:val="auto"/>
        </w:rPr>
      </w:pPr>
      <w:r>
        <w:rPr>
          <w:rFonts w:ascii="Arial" w:cs="Arial" w:eastAsia="Arial" w:hAnsi="Arial"/>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324" w:lineRule="exact"/>
        <w:rPr>
          <w:sz w:val="20"/>
          <w:szCs w:val="20"/>
          <w:color w:val="auto"/>
        </w:rPr>
      </w:pPr>
    </w:p>
    <w:p>
      <w:pPr>
        <w:jc w:val="both"/>
        <w:ind w:firstLine="324"/>
        <w:spacing w:after="0" w:line="420" w:lineRule="auto"/>
        <w:rPr>
          <w:sz w:val="20"/>
          <w:szCs w:val="20"/>
          <w:color w:val="auto"/>
        </w:rPr>
      </w:pPr>
      <w:r>
        <w:rPr>
          <w:rFonts w:ascii="Arial" w:cs="Arial" w:eastAsia="Arial" w:hAnsi="Arial"/>
          <w:sz w:val="16"/>
          <w:szCs w:val="16"/>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OWNERSHIP OF SECURITIES</w:t>
      </w:r>
    </w:p>
    <w:p>
      <w:pPr>
        <w:spacing w:after="0" w:line="297" w:lineRule="exact"/>
        <w:rPr>
          <w:sz w:val="20"/>
          <w:szCs w:val="20"/>
          <w:color w:val="auto"/>
        </w:rPr>
      </w:pPr>
    </w:p>
    <w:p>
      <w:pPr>
        <w:jc w:val="both"/>
        <w:ind w:firstLine="324"/>
        <w:spacing w:after="0" w:line="392" w:lineRule="auto"/>
        <w:rPr>
          <w:sz w:val="20"/>
          <w:szCs w:val="20"/>
          <w:color w:val="auto"/>
        </w:rPr>
      </w:pPr>
      <w:r>
        <w:rPr>
          <w:rFonts w:ascii="Arial" w:cs="Arial" w:eastAsia="Arial" w:hAnsi="Arial"/>
          <w:sz w:val="17"/>
          <w:szCs w:val="17"/>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Holders</w:t>
      </w:r>
    </w:p>
    <w:p>
      <w:pPr>
        <w:spacing w:after="0" w:line="324"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6" w:lineRule="exact"/>
        <w:rPr>
          <w:sz w:val="20"/>
          <w:szCs w:val="20"/>
          <w:color w:val="auto"/>
        </w:rPr>
      </w:pPr>
    </w:p>
    <w:p>
      <w:pPr>
        <w:jc w:val="both"/>
        <w:ind w:firstLine="324"/>
        <w:spacing w:after="0" w:line="392"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73"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Holders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10" w:right="239" w:bottom="1440" w:gutter="0" w:footer="0" w:header="0"/>
        </w:sectPr>
      </w:pPr>
    </w:p>
    <w:bookmarkStart w:id="28" w:name="page29"/>
    <w:bookmarkEnd w:id="28"/>
    <w:p>
      <w:pPr>
        <w:jc w:val="both"/>
        <w:ind w:firstLine="324"/>
        <w:spacing w:after="0" w:line="435" w:lineRule="auto"/>
        <w:rPr>
          <w:sz w:val="20"/>
          <w:szCs w:val="20"/>
          <w:color w:val="auto"/>
        </w:rPr>
      </w:pPr>
      <w:r>
        <w:rPr>
          <w:rFonts w:ascii="Arial" w:cs="Arial" w:eastAsia="Arial" w:hAnsi="Arial"/>
          <w:sz w:val="16"/>
          <w:szCs w:val="16"/>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48" w:lineRule="exact"/>
        <w:rPr>
          <w:sz w:val="20"/>
          <w:szCs w:val="20"/>
          <w:color w:val="auto"/>
        </w:rPr>
      </w:pPr>
    </w:p>
    <w:p>
      <w:pPr>
        <w:jc w:val="both"/>
        <w:ind w:firstLine="324"/>
        <w:spacing w:after="0" w:line="395" w:lineRule="auto"/>
        <w:rPr>
          <w:sz w:val="20"/>
          <w:szCs w:val="20"/>
          <w:color w:val="auto"/>
        </w:rPr>
      </w:pPr>
      <w:r>
        <w:rPr>
          <w:rFonts w:ascii="Arial" w:cs="Arial" w:eastAsia="Arial" w:hAnsi="Arial"/>
          <w:sz w:val="17"/>
          <w:szCs w:val="17"/>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Holders</w:t>
      </w:r>
    </w:p>
    <w:p>
      <w:pPr>
        <w:spacing w:after="0" w:line="324" w:lineRule="exact"/>
        <w:rPr>
          <w:sz w:val="20"/>
          <w:szCs w:val="20"/>
          <w:color w:val="auto"/>
        </w:rPr>
      </w:pPr>
    </w:p>
    <w:p>
      <w:pPr>
        <w:jc w:val="both"/>
        <w:ind w:firstLine="324"/>
        <w:spacing w:after="0" w:line="435" w:lineRule="auto"/>
        <w:rPr>
          <w:sz w:val="20"/>
          <w:szCs w:val="20"/>
          <w:color w:val="auto"/>
        </w:rPr>
      </w:pPr>
      <w:r>
        <w:rPr>
          <w:rFonts w:ascii="Arial" w:cs="Arial" w:eastAsia="Arial" w:hAnsi="Arial"/>
          <w:sz w:val="16"/>
          <w:szCs w:val="16"/>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48" w:lineRule="exact"/>
        <w:rPr>
          <w:sz w:val="20"/>
          <w:szCs w:val="20"/>
          <w:color w:val="auto"/>
        </w:rPr>
      </w:pPr>
    </w:p>
    <w:p>
      <w:pPr>
        <w:jc w:val="both"/>
        <w:ind w:firstLine="324"/>
        <w:spacing w:after="0" w:line="366"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324" w:lineRule="exact"/>
        <w:rPr>
          <w:sz w:val="20"/>
          <w:szCs w:val="20"/>
          <w:color w:val="auto"/>
        </w:rPr>
      </w:pPr>
    </w:p>
    <w:p>
      <w:pPr>
        <w:jc w:val="both"/>
        <w:ind w:firstLine="324"/>
        <w:spacing w:after="0" w:line="38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or in street name, you should check with your own institution to find out:</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whether and how you can instruct it to send you securities registered in your own name so you can be a holder, if that is permitted in the future;</w:t>
      </w:r>
    </w:p>
    <w:p>
      <w:pPr>
        <w:spacing w:after="0" w:line="115" w:lineRule="exact"/>
        <w:rPr>
          <w:rFonts w:ascii="Arial" w:cs="Arial" w:eastAsia="Arial" w:hAnsi="Arial"/>
          <w:sz w:val="17"/>
          <w:szCs w:val="17"/>
          <w:color w:val="auto"/>
        </w:rPr>
      </w:pPr>
    </w:p>
    <w:p>
      <w:pPr>
        <w:ind w:left="660" w:hanging="328"/>
        <w:spacing w:after="0" w:line="3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83" w:lineRule="exact"/>
        <w:rPr>
          <w:sz w:val="20"/>
          <w:szCs w:val="20"/>
          <w:color w:val="auto"/>
        </w:rPr>
      </w:pPr>
    </w:p>
    <w:p>
      <w:pPr>
        <w:ind w:right="20" w:firstLine="324"/>
        <w:spacing w:after="0" w:line="38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14" w:right="239" w:bottom="1440" w:gutter="0" w:footer="0" w:header="0"/>
        </w:sectPr>
      </w:pPr>
    </w:p>
    <w:bookmarkStart w:id="29" w:name="page30"/>
    <w:bookmarkEnd w:id="29"/>
    <w:p>
      <w:pPr>
        <w:jc w:val="both"/>
        <w:ind w:firstLine="324"/>
        <w:spacing w:after="0" w:line="373" w:lineRule="auto"/>
        <w:rPr>
          <w:sz w:val="20"/>
          <w:szCs w:val="20"/>
          <w:color w:val="auto"/>
        </w:rPr>
      </w:pPr>
      <w:r>
        <w:rPr>
          <w:rFonts w:ascii="Arial" w:cs="Arial" w:eastAsia="Arial" w:hAnsi="Arial"/>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83"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93"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324" w:lineRule="exact"/>
        <w:rPr>
          <w:sz w:val="20"/>
          <w:szCs w:val="20"/>
          <w:color w:val="auto"/>
        </w:rPr>
      </w:pPr>
    </w:p>
    <w:p>
      <w:pPr>
        <w:jc w:val="both"/>
        <w:ind w:right="20" w:firstLine="324"/>
        <w:spacing w:after="0" w:line="373" w:lineRule="auto"/>
        <w:rPr>
          <w:sz w:val="20"/>
          <w:szCs w:val="20"/>
          <w:color w:val="auto"/>
        </w:rPr>
      </w:pPr>
      <w:r>
        <w:rPr>
          <w:rFonts w:ascii="Arial" w:cs="Arial" w:eastAsia="Arial" w:hAnsi="Arial"/>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securities are issued only in the form of a global security, an investor should be aware of the following:</w:t>
      </w:r>
    </w:p>
    <w:p>
      <w:pPr>
        <w:spacing w:after="0" w:line="320" w:lineRule="exact"/>
        <w:rPr>
          <w:sz w:val="20"/>
          <w:szCs w:val="20"/>
          <w:color w:val="auto"/>
        </w:rPr>
      </w:pPr>
    </w:p>
    <w:p>
      <w:pPr>
        <w:ind w:left="660" w:hanging="328"/>
        <w:spacing w:after="0" w:line="36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ind w:left="660" w:hanging="328"/>
        <w:spacing w:after="0" w:line="36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ind w:left="660" w:hanging="328"/>
        <w:spacing w:after="0" w:line="36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ind w:left="660" w:hanging="328"/>
        <w:spacing w:after="0" w:line="36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ind w:left="660" w:hanging="328"/>
        <w:spacing w:after="0" w:line="36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w:t>
      </w:r>
    </w:p>
    <w:p>
      <w:pPr>
        <w:ind w:left="660" w:right="20" w:hanging="328"/>
        <w:spacing w:after="0" w:line="36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ind w:left="660" w:right="20" w:hanging="328"/>
        <w:spacing w:after="0" w:line="36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ind w:left="660" w:hanging="328"/>
        <w:spacing w:after="0" w:line="38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70" w:lineRule="exact"/>
        <w:rPr>
          <w:sz w:val="20"/>
          <w:szCs w:val="20"/>
          <w:color w:val="auto"/>
        </w:rPr>
      </w:pPr>
    </w:p>
    <w:p>
      <w:pPr>
        <w:ind w:firstLine="324"/>
        <w:spacing w:after="0" w:line="38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ectPr>
          <w:pgSz w:w="11900" w:h="16838" w:orient="portrait"/>
          <w:cols w:equalWidth="0" w:num="1">
            <w:col w:w="11420"/>
          </w:cols>
          <w:pgMar w:left="240" w:top="814" w:right="239"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814"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324"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we provide otherwise in the applicable prospectus supplement, the global security will terminate when the following special situations occur:</w:t>
      </w:r>
    </w:p>
    <w:p>
      <w:pPr>
        <w:spacing w:after="0" w:line="331" w:lineRule="exact"/>
        <w:rPr>
          <w:sz w:val="20"/>
          <w:szCs w:val="20"/>
          <w:color w:val="auto"/>
        </w:rPr>
      </w:pPr>
    </w:p>
    <w:p>
      <w:pPr>
        <w:ind w:left="660" w:hanging="328"/>
        <w:spacing w:after="0" w:line="36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104"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STOCKHOLDERS</w:t>
      </w:r>
    </w:p>
    <w:p>
      <w:pPr>
        <w:spacing w:after="0" w:line="270" w:lineRule="exact"/>
        <w:rPr>
          <w:sz w:val="20"/>
          <w:szCs w:val="20"/>
          <w:color w:val="auto"/>
        </w:rPr>
      </w:pPr>
    </w:p>
    <w:p>
      <w:pPr>
        <w:jc w:val="both"/>
        <w:ind w:firstLine="297"/>
        <w:spacing w:after="0" w:line="417" w:lineRule="auto"/>
        <w:rPr>
          <w:sz w:val="20"/>
          <w:szCs w:val="20"/>
          <w:color w:val="auto"/>
        </w:rPr>
      </w:pPr>
      <w:r>
        <w:rPr>
          <w:rFonts w:ascii="Arial" w:cs="Arial" w:eastAsia="Arial" w:hAnsi="Arial"/>
          <w:sz w:val="16"/>
          <w:szCs w:val="16"/>
          <w:color w:val="auto"/>
        </w:rPr>
        <w:t>This prospectus also relates to the possible resale by certain of our stockholders, who we refer to in this prospectus as the “selling stockholders,” of up to 2,000,000 shares of our common stock that were issued and outstanding prior to the original date of filing of the registration statement of which this prospectus forms a part, including shares that may be owned by affiliates. The selling stockholders are (1) former holders of our preferred stock that originally acquired the shares of our common stock included in this prospectus through several private placements of our convertible preferred stock prior to our initial public offering, all of which shares of preferred stock were converted into shares of our common stock in connection with our initial public offering, or (2) a holder who acquired shares of common stock in a private placement of our common stock or pursuant to the exercise of stock options.</w:t>
      </w:r>
    </w:p>
    <w:p>
      <w:pPr>
        <w:spacing w:after="0" w:line="108" w:lineRule="exact"/>
        <w:rPr>
          <w:sz w:val="20"/>
          <w:szCs w:val="20"/>
          <w:color w:val="auto"/>
        </w:rPr>
      </w:pPr>
    </w:p>
    <w:p>
      <w:pPr>
        <w:jc w:val="both"/>
        <w:ind w:firstLine="297"/>
        <w:spacing w:after="0" w:line="365" w:lineRule="auto"/>
        <w:rPr>
          <w:sz w:val="20"/>
          <w:szCs w:val="20"/>
          <w:color w:val="auto"/>
        </w:rPr>
      </w:pPr>
      <w:r>
        <w:rPr>
          <w:rFonts w:ascii="Arial" w:cs="Arial" w:eastAsia="Arial" w:hAnsi="Arial"/>
          <w:sz w:val="18"/>
          <w:szCs w:val="18"/>
          <w:color w:val="auto"/>
        </w:rPr>
        <w:t>Information about the selling stockholders, where applicable, including their identities, the amount of shares of common stock owned by each selling stockholder prior to the offering, the number of shares of our common stock to be offered by each selling stockholder and the amount of common stock to be owned by each selling stockholder after completion of the offering, will be set forth in an applicable prospectus supplement, documents incorporated by reference or in a free writing prospectus we file with the SEC. The applicable prospectus supplement will also disclose whether any of the selling stockholders has held any position or office with, has been employed by or otherwise has had a material relationship with us during the three years prior to the date of the prospectus supplement.</w:t>
      </w:r>
    </w:p>
    <w:p>
      <w:pPr>
        <w:spacing w:after="0" w:line="137" w:lineRule="exact"/>
        <w:rPr>
          <w:sz w:val="20"/>
          <w:szCs w:val="20"/>
          <w:color w:val="auto"/>
        </w:rPr>
      </w:pPr>
    </w:p>
    <w:p>
      <w:pPr>
        <w:jc w:val="both"/>
        <w:ind w:firstLine="297"/>
        <w:spacing w:after="0" w:line="435" w:lineRule="auto"/>
        <w:rPr>
          <w:sz w:val="20"/>
          <w:szCs w:val="20"/>
          <w:color w:val="auto"/>
        </w:rPr>
      </w:pPr>
      <w:r>
        <w:rPr>
          <w:rFonts w:ascii="Arial" w:cs="Arial" w:eastAsia="Arial" w:hAnsi="Arial"/>
          <w:sz w:val="16"/>
          <w:szCs w:val="16"/>
          <w:color w:val="auto"/>
        </w:rPr>
        <w:t>The selling stockholders shall not sell any shares of our common stock pursuant to this prospectus until we have identified such selling stockholders and the shares being offered for resale by such selling stockholders in a subsequent prospectus supplement. However, the selling stockholders may sell or transfer all or a portion of their shares of our common stock pursuant to any available exemption from the registration requirements of the Securities Act.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83" w:lineRule="exact"/>
        <w:rPr>
          <w:sz w:val="20"/>
          <w:szCs w:val="20"/>
          <w:color w:val="auto"/>
        </w:rPr>
      </w:pPr>
    </w:p>
    <w:p>
      <w:pPr>
        <w:jc w:val="both"/>
        <w:ind w:right="20" w:firstLine="324"/>
        <w:spacing w:after="0" w:line="387" w:lineRule="auto"/>
        <w:rPr>
          <w:sz w:val="20"/>
          <w:szCs w:val="20"/>
          <w:color w:val="auto"/>
        </w:rPr>
      </w:pPr>
      <w:r>
        <w:rPr>
          <w:rFonts w:ascii="Arial" w:cs="Arial" w:eastAsia="Arial" w:hAnsi="Arial"/>
          <w:sz w:val="18"/>
          <w:szCs w:val="18"/>
          <w:color w:val="auto"/>
        </w:rPr>
        <w:t>We or the selling stockholders may sell the securities from time to time pursuant to underwritten public offerings, direct sales to the public, negotiated transactions, block trades or a combination of these methods. We or the selling stockholders may sell the securities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10" w:right="239" w:bottom="1440" w:gutter="0" w:footer="0" w:header="0"/>
        </w:sectPr>
      </w:pPr>
    </w:p>
    <w:bookmarkStart w:id="31" w:name="page32"/>
    <w:bookmarkEnd w:id="31"/>
    <w:p>
      <w:pPr>
        <w:spacing w:after="0" w:line="387" w:lineRule="auto"/>
        <w:rPr>
          <w:sz w:val="20"/>
          <w:szCs w:val="20"/>
          <w:color w:val="auto"/>
        </w:rPr>
      </w:pPr>
      <w:r>
        <w:rPr>
          <w:rFonts w:ascii="Arial" w:cs="Arial" w:eastAsia="Arial" w:hAnsi="Arial"/>
          <w:sz w:val="18"/>
          <w:szCs w:val="18"/>
          <w:color w:val="auto"/>
        </w:rPr>
        <w:t>to or through underwriters or dealers, through agents, or directly to one or more purchasers. We or the selling stockholders may distribute securities from time to time in one or more transactions:</w:t>
      </w:r>
    </w:p>
    <w:p>
      <w:pPr>
        <w:spacing w:after="0" w:line="1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04" w:lineRule="exact"/>
        <w:rPr>
          <w:sz w:val="20"/>
          <w:szCs w:val="20"/>
          <w:color w:val="auto"/>
        </w:rPr>
      </w:pPr>
    </w:p>
    <w:p>
      <w:pPr>
        <w:ind w:firstLine="324"/>
        <w:spacing w:after="0" w:line="38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7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or names of the underwriters, if any;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3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w:t>
      </w:r>
    </w:p>
    <w:p>
      <w:pPr>
        <w:spacing w:after="0" w:line="320"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the selling stockholders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or the selling stockholders may use underwriters with whom we have a material relationship. We will describe in the prospectus supplement, naming the underwriter, the nature of any such relationship.</w:t>
      </w:r>
    </w:p>
    <w:p>
      <w:pPr>
        <w:spacing w:after="0" w:line="190" w:lineRule="exact"/>
        <w:rPr>
          <w:sz w:val="20"/>
          <w:szCs w:val="20"/>
          <w:color w:val="auto"/>
        </w:rPr>
      </w:pPr>
    </w:p>
    <w:p>
      <w:pPr>
        <w:jc w:val="both"/>
        <w:ind w:firstLine="324"/>
        <w:spacing w:after="0" w:line="435" w:lineRule="auto"/>
        <w:rPr>
          <w:sz w:val="20"/>
          <w:szCs w:val="20"/>
          <w:color w:val="auto"/>
        </w:rPr>
      </w:pPr>
      <w:r>
        <w:rPr>
          <w:rFonts w:ascii="Arial" w:cs="Arial" w:eastAsia="Arial" w:hAnsi="Arial"/>
          <w:sz w:val="16"/>
          <w:szCs w:val="16"/>
          <w:color w:val="auto"/>
        </w:rPr>
        <w:t>We or the selling stockholders may sell securities directly or through agents we designate from time to time. We will name any agent involved in the offering and sale of securities and we will describe any commissions we or the selling stockholders will pay the agent in the prospectus supplement. Unless the prospectus supplement states otherwise, our or the selling stockholders’ agent will act on a best-efforts basis for the period of its appointment.</w:t>
      </w:r>
    </w:p>
    <w:p>
      <w:pPr>
        <w:spacing w:after="0" w:line="148"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8"/>
          <w:szCs w:val="18"/>
          <w:color w:val="auto"/>
        </w:rPr>
        <w:t>We or the selling stockholders may authorize agents or underwriters to solicit offers by certain types of institutional investors to purchase securities from us or the selling stockholders at the public offering price set forth in the prospectus supplement pursuant to delayed delivery contracts providing for payment and delivery on a specified date in the future. We will describe the conditions to these contracts and the commissions we or the selling stockholders must pay for solicitation of these contracts in the prospectus supplement.</w:t>
      </w:r>
    </w:p>
    <w:p>
      <w:pPr>
        <w:spacing w:after="0" w:line="186"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We or the selling stockholders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or the selling stockholders in the ordinary course of business.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14" w:right="239" w:bottom="1440" w:gutter="0" w:footer="0" w:header="0"/>
        </w:sectPr>
      </w:pPr>
    </w:p>
    <w:bookmarkStart w:id="32" w:name="page33"/>
    <w:bookmarkEnd w:id="32"/>
    <w:p>
      <w:pPr>
        <w:jc w:val="both"/>
        <w:ind w:firstLine="324"/>
        <w:spacing w:after="0" w:line="373" w:lineRule="auto"/>
        <w:rPr>
          <w:sz w:val="20"/>
          <w:szCs w:val="20"/>
          <w:color w:val="auto"/>
        </w:rPr>
      </w:pPr>
      <w:r>
        <w:rPr>
          <w:rFonts w:ascii="Arial" w:cs="Arial" w:eastAsia="Arial" w:hAnsi="Arial"/>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83" w:lineRule="exact"/>
        <w:rPr>
          <w:sz w:val="20"/>
          <w:szCs w:val="20"/>
          <w:color w:val="auto"/>
        </w:rPr>
      </w:pPr>
    </w:p>
    <w:p>
      <w:pPr>
        <w:jc w:val="both"/>
        <w:ind w:firstLine="324"/>
        <w:spacing w:after="0" w:line="388" w:lineRule="auto"/>
        <w:rPr>
          <w:sz w:val="20"/>
          <w:szCs w:val="20"/>
          <w:color w:val="auto"/>
        </w:rPr>
      </w:pPr>
      <w:r>
        <w:rPr>
          <w:rFonts w:ascii="Arial" w:cs="Arial" w:eastAsia="Arial" w:hAnsi="Arial"/>
          <w:sz w:val="17"/>
          <w:szCs w:val="17"/>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78" w:lineRule="exact"/>
        <w:rPr>
          <w:sz w:val="20"/>
          <w:szCs w:val="20"/>
          <w:color w:val="auto"/>
        </w:rPr>
      </w:pPr>
    </w:p>
    <w:p>
      <w:pPr>
        <w:jc w:val="both"/>
        <w:ind w:firstLine="324"/>
        <w:spacing w:after="0" w:line="388" w:lineRule="auto"/>
        <w:rPr>
          <w:sz w:val="20"/>
          <w:szCs w:val="20"/>
          <w:color w:val="auto"/>
        </w:rPr>
      </w:pPr>
      <w:r>
        <w:rPr>
          <w:rFonts w:ascii="Arial" w:cs="Arial" w:eastAsia="Arial" w:hAnsi="Arial"/>
          <w:sz w:val="17"/>
          <w:szCs w:val="17"/>
          <w:color w:val="auto"/>
        </w:rPr>
        <w:t>Any underwriters or agents that are qualified market makers on the Nasdaq Global Market may engage in passive market making transactions in the common stock on the Nasdaq Global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78"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97"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Cooley LLP will pass upon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00" w:lineRule="exact"/>
        <w:rPr>
          <w:sz w:val="20"/>
          <w:szCs w:val="20"/>
          <w:color w:val="auto"/>
        </w:rPr>
      </w:pPr>
    </w:p>
    <w:p>
      <w:pPr>
        <w:spacing w:after="0" w:line="340"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2018, have been so incorporated in reliance on the report of PricewaterhouseCoopers LLP, an independent registered public accounting firm, given on the authority of said firm as experts in auditing and accounting.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83" w:lineRule="exact"/>
        <w:rPr>
          <w:sz w:val="20"/>
          <w:szCs w:val="20"/>
          <w:color w:val="auto"/>
        </w:rPr>
      </w:pPr>
    </w:p>
    <w:p>
      <w:pPr>
        <w:jc w:val="both"/>
        <w:ind w:firstLine="324"/>
        <w:spacing w:after="0" w:line="369" w:lineRule="auto"/>
        <w:rPr>
          <w:sz w:val="20"/>
          <w:szCs w:val="20"/>
          <w:color w:val="auto"/>
        </w:rPr>
      </w:pPr>
      <w:r>
        <w:rPr>
          <w:rFonts w:ascii="Arial" w:cs="Arial" w:eastAsia="Arial" w:hAnsi="Arial"/>
          <w:sz w:val="18"/>
          <w:szCs w:val="18"/>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w:t>
      </w:r>
    </w:p>
    <w:p>
      <w:pPr>
        <w:sectPr>
          <w:pgSz w:w="11900" w:h="16838" w:orient="portrait"/>
          <w:cols w:equalWidth="0" w:num="1">
            <w:col w:w="11420"/>
          </w:cols>
          <w:pgMar w:left="240" w:top="814" w:right="239"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814" w:right="239" w:bottom="1440" w:gutter="0" w:footer="0" w:header="0"/>
          <w:type w:val="continuous"/>
        </w:sectPr>
      </w:pPr>
    </w:p>
    <w:bookmarkStart w:id="33" w:name="page34"/>
    <w:bookmarkEnd w:id="33"/>
    <w:p>
      <w:pPr>
        <w:jc w:val="both"/>
        <w:spacing w:after="0" w:line="373" w:lineRule="auto"/>
        <w:rPr>
          <w:sz w:val="20"/>
          <w:szCs w:val="20"/>
          <w:color w:val="auto"/>
        </w:rPr>
      </w:pPr>
      <w:r>
        <w:rPr>
          <w:rFonts w:ascii="Arial" w:cs="Arial" w:eastAsia="Arial" w:hAnsi="Arial"/>
          <w:sz w:val="18"/>
          <w:szCs w:val="18"/>
          <w:color w:val="auto"/>
        </w:rPr>
        <w:t xml:space="preserve">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Arial" w:cs="Arial" w:eastAsia="Arial" w:hAnsi="Arial"/>
          <w:sz w:val="18"/>
          <w:szCs w:val="18"/>
          <w:u w:val="single" w:color="auto"/>
          <w:color w:val="0000FF"/>
        </w:rPr>
        <w:t>www.sec.gov</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1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00" w:lineRule="exact"/>
        <w:rPr>
          <w:sz w:val="20"/>
          <w:szCs w:val="20"/>
          <w:color w:val="auto"/>
        </w:rPr>
      </w:pPr>
    </w:p>
    <w:p>
      <w:pPr>
        <w:spacing w:after="0" w:line="299" w:lineRule="exact"/>
        <w:rPr>
          <w:sz w:val="20"/>
          <w:szCs w:val="20"/>
          <w:color w:val="auto"/>
        </w:rPr>
      </w:pPr>
    </w:p>
    <w:p>
      <w:pPr>
        <w:jc w:val="both"/>
        <w:ind w:firstLine="297"/>
        <w:spacing w:after="0" w:line="405" w:lineRule="auto"/>
        <w:rPr>
          <w:sz w:val="20"/>
          <w:szCs w:val="20"/>
          <w:color w:val="auto"/>
        </w:rPr>
      </w:pPr>
      <w:r>
        <w:rPr>
          <w:rFonts w:ascii="Arial" w:cs="Arial" w:eastAsia="Arial" w:hAnsi="Arial"/>
          <w:sz w:val="16"/>
          <w:szCs w:val="16"/>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001-38701):</w:t>
      </w:r>
    </w:p>
    <w:p>
      <w:pPr>
        <w:spacing w:after="0" w:line="200" w:lineRule="exact"/>
        <w:rPr>
          <w:sz w:val="20"/>
          <w:szCs w:val="20"/>
          <w:color w:val="auto"/>
        </w:rPr>
      </w:pPr>
    </w:p>
    <w:p>
      <w:pPr>
        <w:spacing w:after="0" w:line="28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w:t>
      </w:r>
      <w:hyperlink r:id="rId25">
        <w:r>
          <w:rPr>
            <w:rFonts w:ascii="Arial" w:cs="Arial" w:eastAsia="Arial" w:hAnsi="Arial"/>
            <w:sz w:val="18"/>
            <w:szCs w:val="18"/>
            <w:u w:val="single" w:color="auto"/>
            <w:color w:val="0000EE"/>
          </w:rPr>
          <w:t>Annual Report on Form 10-K, for the year ended December 31, 2018</w:t>
        </w:r>
      </w:hyperlink>
      <w:r>
        <w:rPr>
          <w:rFonts w:ascii="Arial" w:cs="Arial" w:eastAsia="Arial" w:hAnsi="Arial"/>
          <w:sz w:val="18"/>
          <w:szCs w:val="18"/>
          <w:color w:val="auto"/>
        </w:rPr>
        <w:t>, filed with the SEC on March 14, 2019;</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w:t>
      </w:r>
      <w:hyperlink r:id="rId26">
        <w:r>
          <w:rPr>
            <w:rFonts w:ascii="Arial" w:cs="Arial" w:eastAsia="Arial" w:hAnsi="Arial"/>
            <w:sz w:val="18"/>
            <w:szCs w:val="18"/>
            <w:u w:val="single" w:color="auto"/>
            <w:color w:val="0000EE"/>
          </w:rPr>
          <w:t>Quarterly Report on Form 10-Q, for the quarter ended March 31, 2019</w:t>
        </w:r>
      </w:hyperlink>
      <w:r>
        <w:rPr>
          <w:rFonts w:ascii="Arial" w:cs="Arial" w:eastAsia="Arial" w:hAnsi="Arial"/>
          <w:sz w:val="18"/>
          <w:szCs w:val="18"/>
          <w:color w:val="auto"/>
        </w:rPr>
        <w:t>, filed with the SEC on May 9, 2019;</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w:t>
      </w:r>
      <w:hyperlink r:id="rId27">
        <w:r>
          <w:rPr>
            <w:rFonts w:ascii="Arial" w:cs="Arial" w:eastAsia="Arial" w:hAnsi="Arial"/>
            <w:sz w:val="18"/>
            <w:szCs w:val="18"/>
            <w:u w:val="single" w:color="auto"/>
            <w:color w:val="0000EE"/>
          </w:rPr>
          <w:t>Quarterly Report on Form 10-Q, for the quarter ended June 30, 2019</w:t>
        </w:r>
      </w:hyperlink>
      <w:r>
        <w:rPr>
          <w:rFonts w:ascii="Arial" w:cs="Arial" w:eastAsia="Arial" w:hAnsi="Arial"/>
          <w:sz w:val="18"/>
          <w:szCs w:val="18"/>
          <w:color w:val="auto"/>
        </w:rPr>
        <w:t>, filed with the SEC on August 7, 2019;</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w:t>
      </w:r>
      <w:hyperlink r:id="rId28">
        <w:r>
          <w:rPr>
            <w:rFonts w:ascii="Arial" w:cs="Arial" w:eastAsia="Arial" w:hAnsi="Arial"/>
            <w:sz w:val="18"/>
            <w:szCs w:val="18"/>
            <w:u w:val="single" w:color="auto"/>
            <w:color w:val="0000EE"/>
          </w:rPr>
          <w:t>Quarterly Report on Form 10-Q, for the quarter ended September 30, 2019</w:t>
        </w:r>
      </w:hyperlink>
      <w:r>
        <w:rPr>
          <w:rFonts w:ascii="Arial" w:cs="Arial" w:eastAsia="Arial" w:hAnsi="Arial"/>
          <w:sz w:val="18"/>
          <w:szCs w:val="18"/>
          <w:color w:val="auto"/>
        </w:rPr>
        <w:t>, filed with the SEC on November 12, 2019;</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9">
        <w:r>
          <w:rPr>
            <w:rFonts w:ascii="Arial" w:cs="Arial" w:eastAsia="Arial" w:hAnsi="Arial"/>
            <w:sz w:val="18"/>
            <w:szCs w:val="18"/>
            <w:u w:val="single" w:color="auto"/>
            <w:color w:val="0000EE"/>
          </w:rPr>
          <w:t>January 22, 2019</w:t>
        </w:r>
      </w:hyperlink>
      <w:r>
        <w:rPr>
          <w:rFonts w:ascii="Arial" w:cs="Arial" w:eastAsia="Arial" w:hAnsi="Arial"/>
          <w:sz w:val="18"/>
          <w:szCs w:val="18"/>
          <w:color w:val="auto"/>
        </w:rPr>
        <w:t xml:space="preserve">, </w:t>
      </w:r>
      <w:hyperlink r:id="rId30">
        <w:r>
          <w:rPr>
            <w:rFonts w:ascii="Arial" w:cs="Arial" w:eastAsia="Arial" w:hAnsi="Arial"/>
            <w:sz w:val="18"/>
            <w:szCs w:val="18"/>
            <w:u w:val="single" w:color="auto"/>
            <w:color w:val="0000EE"/>
          </w:rPr>
          <w:t>April 11, 2019</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June 14, 2019</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August 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2.02 and related exhibit), </w:t>
      </w:r>
      <w:hyperlink r:id="rId33">
        <w:r>
          <w:rPr>
            <w:rFonts w:ascii="Arial" w:cs="Arial" w:eastAsia="Arial" w:hAnsi="Arial"/>
            <w:sz w:val="18"/>
            <w:szCs w:val="18"/>
            <w:u w:val="single" w:color="auto"/>
            <w:color w:val="0000EE"/>
          </w:rPr>
          <w:t>August 14, 2019</w:t>
        </w:r>
      </w:hyperlink>
      <w:r>
        <w:rPr>
          <w:rFonts w:ascii="Arial" w:cs="Arial" w:eastAsia="Arial" w:hAnsi="Arial"/>
          <w:sz w:val="18"/>
          <w:szCs w:val="18"/>
          <w:color w:val="auto"/>
        </w:rPr>
        <w:t xml:space="preserve">, and </w:t>
      </w:r>
      <w:hyperlink r:id="rId34">
        <w:r>
          <w:rPr>
            <w:rFonts w:ascii="Arial" w:cs="Arial" w:eastAsia="Arial" w:hAnsi="Arial"/>
            <w:sz w:val="18"/>
            <w:szCs w:val="18"/>
            <w:u w:val="single" w:color="auto"/>
            <w:color w:val="0000EE"/>
          </w:rPr>
          <w:t>December 4, 2019</w:t>
        </w:r>
      </w:hyperlink>
      <w:r>
        <w:rPr>
          <w:rFonts w:ascii="Arial" w:cs="Arial" w:eastAsia="Arial" w:hAnsi="Arial"/>
          <w:sz w:val="18"/>
          <w:szCs w:val="18"/>
          <w:color w:val="auto"/>
        </w:rPr>
        <w:t>;</w:t>
      </w:r>
    </w:p>
    <w:p>
      <w:pPr>
        <w:spacing w:after="0" w:line="3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2E98D4"/>
        </w:rPr>
        <w:t xml:space="preserve">our Definitive Proxy Statement on Schedule 14A, filed on April 30, 2019 (but only with respect to information required by Part III of our Annual Report on Form 10-K for the year ended December 31, 2018, which information shall update and supersede information included in Part III of our Annual Report on Form 10-K for the year ended December 31, 2018); </w:t>
      </w:r>
      <w:r>
        <w:rPr>
          <w:rFonts w:ascii="Arial" w:cs="Arial" w:eastAsia="Arial" w:hAnsi="Arial"/>
          <w:sz w:val="18"/>
          <w:szCs w:val="18"/>
          <w:color w:val="000000"/>
        </w:rPr>
        <w:t>and</w:t>
      </w:r>
    </w:p>
    <w:p>
      <w:pPr>
        <w:spacing w:after="0" w:line="3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35">
        <w:r>
          <w:rPr>
            <w:rFonts w:ascii="Arial" w:cs="Arial" w:eastAsia="Arial" w:hAnsi="Arial"/>
            <w:sz w:val="18"/>
            <w:szCs w:val="18"/>
            <w:u w:val="single" w:color="auto"/>
            <w:color w:val="0000EE"/>
          </w:rPr>
          <w:t>Form 8-A, filed with the SEC on October 11, 2018</w:t>
        </w:r>
      </w:hyperlink>
      <w:r>
        <w:rPr>
          <w:rFonts w:ascii="Arial" w:cs="Arial" w:eastAsia="Arial" w:hAnsi="Arial"/>
          <w:sz w:val="18"/>
          <w:szCs w:val="18"/>
          <w:color w:val="auto"/>
        </w:rPr>
        <w:t>, including any amendment or report filed for the purpose of updating such description.</w:t>
      </w:r>
    </w:p>
    <w:p>
      <w:pPr>
        <w:spacing w:after="0" w:line="346" w:lineRule="exact"/>
        <w:rPr>
          <w:rFonts w:ascii="Arial" w:cs="Arial" w:eastAsia="Arial" w:hAnsi="Arial"/>
          <w:sz w:val="18"/>
          <w:szCs w:val="18"/>
          <w:color w:val="auto"/>
        </w:rPr>
      </w:pPr>
    </w:p>
    <w:p>
      <w:pPr>
        <w:jc w:val="both"/>
        <w:ind w:firstLine="297"/>
        <w:spacing w:after="0" w:line="385" w:lineRule="auto"/>
        <w:rPr>
          <w:sz w:val="20"/>
          <w:szCs w:val="20"/>
          <w:color w:val="auto"/>
        </w:rPr>
      </w:pPr>
      <w:r>
        <w:rPr>
          <w:rFonts w:ascii="Arial" w:cs="Arial" w:eastAsia="Arial" w:hAnsi="Arial"/>
          <w:sz w:val="17"/>
          <w:szCs w:val="17"/>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8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10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10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Santa Clara, California 95050</w:t>
      </w:r>
    </w:p>
    <w:p>
      <w:pPr>
        <w:spacing w:after="0" w:line="10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104" w:lineRule="exact"/>
        <w:rPr>
          <w:rFonts w:ascii="Arial" w:cs="Arial" w:eastAsia="Arial" w:hAnsi="Arial"/>
          <w:sz w:val="18"/>
          <w:szCs w:val="18"/>
          <w:color w:val="auto"/>
        </w:rPr>
      </w:pPr>
    </w:p>
    <w:p>
      <w:pPr>
        <w:jc w:val="center"/>
        <w:spacing w:after="0" w:line="207" w:lineRule="exact"/>
        <w:rPr>
          <w:sz w:val="20"/>
          <w:szCs w:val="20"/>
          <w:color w:val="auto"/>
        </w:rPr>
      </w:pPr>
      <w:r>
        <w:rPr>
          <w:rFonts w:ascii="Arial" w:cs="Arial" w:eastAsia="Arial" w:hAnsi="Arial"/>
          <w:sz w:val="18"/>
          <w:szCs w:val="18"/>
          <w:color w:val="auto"/>
        </w:rPr>
        <w:t>(408) 207</w:t>
      </w:r>
      <w:r>
        <w:rPr>
          <w:rFonts w:ascii="MS PGothic" w:cs="MS PGothic" w:eastAsia="MS PGothic" w:hAnsi="MS PGothic"/>
          <w:sz w:val="18"/>
          <w:szCs w:val="18"/>
          <w:color w:val="auto"/>
        </w:rPr>
        <w:t>‑</w:t>
      </w:r>
      <w:r>
        <w:rPr>
          <w:rFonts w:ascii="Arial" w:cs="Arial" w:eastAsia="Arial" w:hAnsi="Arial"/>
          <w:sz w:val="18"/>
          <w:szCs w:val="18"/>
          <w:color w:val="auto"/>
        </w:rPr>
        <w:t>0700</w:t>
      </w:r>
    </w:p>
    <w:p>
      <w:pPr>
        <w:sectPr>
          <w:pgSz w:w="11900" w:h="16838" w:orient="portrait"/>
          <w:cols w:equalWidth="0" w:num="1">
            <w:col w:w="11420"/>
          </w:cols>
          <w:pgMar w:left="240" w:top="756" w:right="239" w:bottom="1440"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756" w:right="2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56" w:lineRule="exact"/>
        <w:rPr>
          <w:sz w:val="20"/>
          <w:szCs w:val="20"/>
          <w:color w:val="auto"/>
        </w:rPr>
      </w:pPr>
    </w:p>
    <w:p>
      <w:pPr>
        <w:jc w:val="both"/>
        <w:ind w:firstLine="324"/>
        <w:spacing w:after="0" w:line="465" w:lineRule="auto"/>
        <w:rPr>
          <w:sz w:val="20"/>
          <w:szCs w:val="20"/>
          <w:color w:val="auto"/>
        </w:rPr>
      </w:pPr>
      <w:r>
        <w:rPr>
          <w:rFonts w:ascii="Arial" w:cs="Arial" w:eastAsia="Arial" w:hAnsi="Arial"/>
          <w:sz w:val="16"/>
          <w:szCs w:val="16"/>
          <w:color w:val="auto"/>
        </w:rPr>
        <w:t>The following table sets forth an estimate of the fees and expenses, other than the underwriting discounts and commissions, payable by the registrant in connection with the issuance and distribution of the securities being registered. All the amounts shown are estimates, except for the SEC registration fee.</w:t>
      </w:r>
    </w:p>
    <w:p>
      <w:pPr>
        <w:spacing w:after="0" w:line="200" w:lineRule="exact"/>
        <w:rPr>
          <w:sz w:val="20"/>
          <w:szCs w:val="20"/>
          <w:color w:val="auto"/>
        </w:rPr>
      </w:pPr>
    </w:p>
    <w:p>
      <w:pPr>
        <w:spacing w:after="0" w:line="213" w:lineRule="exact"/>
        <w:rPr>
          <w:sz w:val="20"/>
          <w:szCs w:val="20"/>
          <w:color w:val="auto"/>
        </w:rPr>
      </w:pPr>
    </w:p>
    <w:tbl>
      <w:tblPr>
        <w:tblLayout w:type="fixed"/>
        <w:tblInd w:w="160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SEC registration fee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40"/>
              <w:spacing w:after="0"/>
              <w:rPr>
                <w:sz w:val="20"/>
                <w:szCs w:val="20"/>
                <w:color w:val="auto"/>
              </w:rPr>
            </w:pPr>
            <w:r>
              <w:rPr>
                <w:rFonts w:ascii="Arial" w:cs="Arial" w:eastAsia="Arial" w:hAnsi="Arial"/>
                <w:sz w:val="16"/>
                <w:szCs w:val="16"/>
                <w:color w:val="auto"/>
              </w:rPr>
              <w:t>31,229</w:t>
            </w:r>
          </w:p>
        </w:tc>
        <w:tc>
          <w:tcPr>
            <w:tcW w:w="0" w:type="dxa"/>
            <w:vAlign w:val="bottom"/>
          </w:tcPr>
          <w:p>
            <w:pPr>
              <w:spacing w:after="0"/>
              <w:rPr>
                <w:sz w:val="1"/>
                <w:szCs w:val="1"/>
                <w:color w:val="auto"/>
              </w:rPr>
            </w:pPr>
          </w:p>
        </w:tc>
      </w:tr>
      <w:tr>
        <w:trPr>
          <w:trHeight w:val="276"/>
        </w:trPr>
        <w:tc>
          <w:tcPr>
            <w:tcW w:w="6840" w:type="dxa"/>
            <w:vAlign w:val="bottom"/>
          </w:tcPr>
          <w:p>
            <w:pPr>
              <w:spacing w:after="0"/>
              <w:rPr>
                <w:sz w:val="20"/>
                <w:szCs w:val="20"/>
                <w:color w:val="auto"/>
              </w:rPr>
            </w:pPr>
            <w:r>
              <w:rPr>
                <w:rFonts w:ascii="Arial" w:cs="Arial" w:eastAsia="Arial" w:hAnsi="Arial"/>
                <w:sz w:val="18"/>
                <w:szCs w:val="18"/>
                <w:color w:val="auto"/>
              </w:rPr>
              <w:t>The Nasdaq Global Market listing fee</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FINRA filing fee (if applicable)</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Printing and miscellaneous fees and expenses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68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8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These fees are calculated based on the securities offered and the number of issuances and accordingly cannot be estimated at this time.</w:t>
      </w:r>
    </w:p>
    <w:p>
      <w:pPr>
        <w:spacing w:after="0" w:line="200" w:lineRule="exact"/>
        <w:rPr>
          <w:sz w:val="20"/>
          <w:szCs w:val="20"/>
          <w:color w:val="auto"/>
        </w:rPr>
      </w:pPr>
    </w:p>
    <w:p>
      <w:pPr>
        <w:spacing w:after="0" w:line="2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283" w:lineRule="exact"/>
        <w:rPr>
          <w:sz w:val="20"/>
          <w:szCs w:val="20"/>
          <w:color w:val="auto"/>
        </w:rPr>
      </w:pPr>
    </w:p>
    <w:p>
      <w:pPr>
        <w:jc w:val="both"/>
        <w:ind w:firstLine="446"/>
        <w:spacing w:after="0" w:line="36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the Securities Act.</w:t>
      </w:r>
    </w:p>
    <w:p>
      <w:pPr>
        <w:spacing w:after="0" w:line="186" w:lineRule="exact"/>
        <w:rPr>
          <w:sz w:val="20"/>
          <w:szCs w:val="20"/>
          <w:color w:val="auto"/>
        </w:rPr>
      </w:pPr>
    </w:p>
    <w:p>
      <w:pPr>
        <w:jc w:val="both"/>
        <w:ind w:firstLine="446"/>
        <w:spacing w:after="0" w:line="369"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38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03" w:lineRule="exact"/>
        <w:rPr>
          <w:rFonts w:ascii="Arial" w:cs="Arial" w:eastAsia="Arial" w:hAnsi="Arial"/>
          <w:sz w:val="18"/>
          <w:szCs w:val="18"/>
          <w:color w:val="auto"/>
        </w:rPr>
      </w:pPr>
    </w:p>
    <w:p>
      <w:pPr>
        <w:ind w:left="660" w:hanging="328"/>
        <w:spacing w:after="0" w:line="36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Delaware General Corporation Law; or</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320" w:lineRule="exact"/>
        <w:rPr>
          <w:sz w:val="20"/>
          <w:szCs w:val="20"/>
          <w:color w:val="auto"/>
        </w:rPr>
      </w:pPr>
    </w:p>
    <w:p>
      <w:pPr>
        <w:jc w:val="both"/>
        <w:ind w:firstLine="446"/>
        <w:spacing w:after="0" w:line="360" w:lineRule="auto"/>
        <w:rPr>
          <w:sz w:val="20"/>
          <w:szCs w:val="20"/>
          <w:color w:val="auto"/>
        </w:rPr>
      </w:pPr>
      <w:r>
        <w:rPr>
          <w:rFonts w:ascii="Arial" w:cs="Arial" w:eastAsia="Arial" w:hAnsi="Arial"/>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jc w:val="both"/>
        <w:spacing w:after="0" w:line="387" w:lineRule="auto"/>
        <w:rPr>
          <w:sz w:val="20"/>
          <w:szCs w:val="20"/>
          <w:color w:val="auto"/>
        </w:rPr>
      </w:pPr>
      <w:r>
        <w:rPr>
          <w:rFonts w:ascii="Arial" w:cs="Arial" w:eastAsia="Arial" w:hAnsi="Arial"/>
          <w:sz w:val="18"/>
          <w:szCs w:val="18"/>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769" w:right="239" w:bottom="1440" w:gutter="0" w:footer="0" w:header="0"/>
        </w:sectPr>
      </w:pPr>
    </w:p>
    <w:bookmarkStart w:id="36" w:name="page37"/>
    <w:bookmarkEnd w:id="36"/>
    <w:p>
      <w:pPr>
        <w:jc w:val="both"/>
        <w:spacing w:after="0" w:line="402" w:lineRule="auto"/>
        <w:rPr>
          <w:sz w:val="20"/>
          <w:szCs w:val="20"/>
          <w:color w:val="auto"/>
        </w:rPr>
      </w:pPr>
      <w:r>
        <w:rPr>
          <w:rFonts w:ascii="Arial" w:cs="Arial" w:eastAsia="Arial" w:hAnsi="Arial"/>
          <w:sz w:val="17"/>
          <w:szCs w:val="17"/>
          <w:color w:val="auto"/>
        </w:rPr>
        <w:t>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66" w:lineRule="exact"/>
        <w:rPr>
          <w:sz w:val="20"/>
          <w:szCs w:val="20"/>
          <w:color w:val="auto"/>
        </w:rPr>
      </w:pPr>
    </w:p>
    <w:p>
      <w:pPr>
        <w:jc w:val="both"/>
        <w:ind w:firstLine="446"/>
        <w:spacing w:after="0" w:line="389" w:lineRule="auto"/>
        <w:rPr>
          <w:sz w:val="20"/>
          <w:szCs w:val="20"/>
          <w:color w:val="auto"/>
        </w:rPr>
      </w:pPr>
      <w:r>
        <w:rPr>
          <w:rFonts w:ascii="Arial" w:cs="Arial" w:eastAsia="Arial" w:hAnsi="Arial"/>
          <w:sz w:val="17"/>
          <w:szCs w:val="17"/>
          <w:color w:val="auto"/>
        </w:rPr>
        <w:t>We have entered into, and intend to continue to enter into, indemnification agreements with each of our directors and executive officers and certain other key employees. The form of our indemnification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79" w:lineRule="exact"/>
        <w:rPr>
          <w:sz w:val="20"/>
          <w:szCs w:val="20"/>
          <w:color w:val="auto"/>
        </w:rPr>
      </w:pPr>
    </w:p>
    <w:p>
      <w:pPr>
        <w:jc w:val="both"/>
        <w:ind w:firstLine="446"/>
        <w:spacing w:after="0" w:line="387" w:lineRule="auto"/>
        <w:rPr>
          <w:sz w:val="20"/>
          <w:szCs w:val="20"/>
          <w:color w:val="auto"/>
        </w:rPr>
      </w:pPr>
      <w:r>
        <w:rPr>
          <w:rFonts w:ascii="Arial" w:cs="Arial" w:eastAsia="Arial" w:hAnsi="Arial"/>
          <w:sz w:val="18"/>
          <w:szCs w:val="18"/>
          <w:color w:val="auto"/>
        </w:rPr>
        <w:t>Section 1.9 of our amended and restated investors’ rights agreement, or IRA, provides for indemnification of certain of our stockholders against liabilities described in our IRA.</w:t>
      </w:r>
    </w:p>
    <w:p>
      <w:pPr>
        <w:spacing w:after="0" w:line="170" w:lineRule="exact"/>
        <w:rPr>
          <w:sz w:val="20"/>
          <w:szCs w:val="20"/>
          <w:color w:val="auto"/>
        </w:rPr>
      </w:pPr>
    </w:p>
    <w:p>
      <w:pPr>
        <w:jc w:val="both"/>
        <w:ind w:firstLine="446"/>
        <w:spacing w:after="0" w:line="38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under the Securities Act and the Exchange Act of 1934, as amended, that might be incurred by any director or officer in his or her capacity as such.</w:t>
      </w:r>
    </w:p>
    <w:p>
      <w:pPr>
        <w:spacing w:after="0" w:line="170" w:lineRule="exact"/>
        <w:rPr>
          <w:sz w:val="20"/>
          <w:szCs w:val="20"/>
          <w:color w:val="auto"/>
        </w:rPr>
      </w:pPr>
    </w:p>
    <w:p>
      <w:pPr>
        <w:jc w:val="both"/>
        <w:ind w:firstLine="324"/>
        <w:spacing w:after="0" w:line="424" w:lineRule="auto"/>
        <w:rPr>
          <w:sz w:val="20"/>
          <w:szCs w:val="20"/>
          <w:color w:val="auto"/>
        </w:rPr>
      </w:pPr>
      <w:r>
        <w:rPr>
          <w:rFonts w:ascii="Arial" w:cs="Arial" w:eastAsia="Arial" w:hAnsi="Arial"/>
          <w:sz w:val="17"/>
          <w:szCs w:val="17"/>
          <w:color w:val="auto"/>
        </w:rPr>
        <w:t>The underwriting agreement that we may enter into (Exhibit 1.1) may provide for indemnification by any underwriters of SI-BONE, its directors, its officers who sign the registration statement and SI-BONE’s controlling persons for some liabilities, including liabilities arising under the Securities Act.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814" w:right="239" w:bottom="1440" w:gutter="0" w:footer="0" w:header="0"/>
        </w:sectPr>
      </w:pPr>
    </w:p>
    <w:bookmarkStart w:id="37" w:name="page38"/>
    <w:bookmarkEnd w:id="37"/>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Incorporation by Reference</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76"/>
        </w:trPr>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Appendix</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r>
      <w:tr>
        <w:trPr>
          <w:trHeight w:val="192"/>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15"/>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6"/>
                <w:szCs w:val="16"/>
                <w:color w:val="auto"/>
              </w:rPr>
            </w:pP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File Number</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243"/>
        </w:trPr>
        <w:tc>
          <w:tcPr>
            <w:tcW w:w="92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20" w:type="dxa"/>
            <w:vAlign w:val="bottom"/>
            <w:gridSpan w:val="18"/>
          </w:tcPr>
          <w:p>
            <w:pPr>
              <w:spacing w:after="0"/>
              <w:rPr>
                <w:sz w:val="20"/>
                <w:szCs w:val="20"/>
                <w:color w:val="auto"/>
              </w:rPr>
            </w:pPr>
            <w:r>
              <w:rPr>
                <w:rFonts w:ascii="Arial" w:cs="Arial" w:eastAsia="Arial" w:hAnsi="Arial"/>
                <w:sz w:val="18"/>
                <w:szCs w:val="18"/>
                <w:color w:val="auto"/>
              </w:rPr>
              <w:t>Form of Underwriting Agreement.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tcBorders>
              <w:bottom w:val="single" w:sz="8" w:color="0000FF"/>
            </w:tcBorders>
            <w:gridSpan w:val="10"/>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Amended and Restated Certificate of</w:t>
              </w:r>
            </w:hyperlink>
          </w:p>
        </w:tc>
        <w:tc>
          <w:tcPr>
            <w:tcW w:w="1140" w:type="dxa"/>
            <w:vAlign w:val="bottom"/>
            <w:gridSpan w:val="8"/>
          </w:tcPr>
          <w:p>
            <w:pPr>
              <w:spacing w:after="0"/>
              <w:rPr>
                <w:sz w:val="19"/>
                <w:szCs w:val="19"/>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10/19/2018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20" w:type="dxa"/>
            <w:vAlign w:val="bottom"/>
            <w:gridSpan w:val="18"/>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Incorporation.</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60" w:type="dxa"/>
            <w:vAlign w:val="bottom"/>
            <w:tcBorders>
              <w:bottom w:val="single" w:sz="8" w:color="0000FF"/>
            </w:tcBorders>
            <w:gridSpan w:val="7"/>
          </w:tcPr>
          <w:p>
            <w:pPr>
              <w:spacing w:after="0"/>
              <w:rPr>
                <w:rFonts w:ascii="Arial" w:cs="Arial" w:eastAsia="Arial" w:hAnsi="Arial"/>
                <w:sz w:val="18"/>
                <w:szCs w:val="18"/>
                <w:color w:val="0000FF"/>
                <w:w w:val="89"/>
              </w:rPr>
            </w:pPr>
            <w:hyperlink r:id="rId37">
              <w:r>
                <w:rPr>
                  <w:rFonts w:ascii="Arial" w:cs="Arial" w:eastAsia="Arial" w:hAnsi="Arial"/>
                  <w:sz w:val="18"/>
                  <w:szCs w:val="18"/>
                  <w:color w:val="0000FF"/>
                  <w:w w:val="89"/>
                </w:rPr>
                <w:t>Amended and Restated Bylaws</w:t>
              </w:r>
            </w:hyperlink>
          </w:p>
        </w:tc>
        <w:tc>
          <w:tcPr>
            <w:tcW w:w="1560" w:type="dxa"/>
            <w:vAlign w:val="bottom"/>
            <w:gridSpan w:val="11"/>
          </w:tcPr>
          <w:p>
            <w:pPr>
              <w:spacing w:after="0"/>
              <w:rPr>
                <w:sz w:val="21"/>
                <w:szCs w:val="21"/>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20" w:type="dxa"/>
            <w:vAlign w:val="bottom"/>
            <w:gridSpan w:val="18"/>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36">
              <w:r>
                <w:rPr>
                  <w:rFonts w:ascii="Arial" w:cs="Arial" w:eastAsia="Arial" w:hAnsi="Arial"/>
                  <w:sz w:val="18"/>
                  <w:szCs w:val="18"/>
                  <w:color w:val="0000FF"/>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37">
              <w:r>
                <w:rPr>
                  <w:rFonts w:ascii="Arial" w:cs="Arial" w:eastAsia="Arial" w:hAnsi="Arial"/>
                  <w:sz w:val="18"/>
                  <w:szCs w:val="18"/>
                  <w:color w:val="0000FF"/>
                </w:rPr>
                <w:t>3.2</w:t>
              </w:r>
            </w:hyperlink>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9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20" w:type="dxa"/>
            <w:vAlign w:val="bottom"/>
            <w:gridSpan w:val="18"/>
          </w:tcPr>
          <w:p>
            <w:pPr>
              <w:spacing w:after="0"/>
              <w:rPr>
                <w:rFonts w:ascii="Arial" w:cs="Arial" w:eastAsia="Arial" w:hAnsi="Arial"/>
                <w:sz w:val="18"/>
                <w:szCs w:val="18"/>
                <w:color w:val="0000FF"/>
              </w:rPr>
            </w:pPr>
            <w:hyperlink r:id="rId38">
              <w:r>
                <w:rPr>
                  <w:rFonts w:ascii="Arial" w:cs="Arial" w:eastAsia="Arial" w:hAnsi="Arial"/>
                  <w:sz w:val="18"/>
                  <w:szCs w:val="18"/>
                  <w:color w:val="0000FF"/>
                </w:rPr>
                <w:t>Form of Common Stock Certificate</w:t>
              </w:r>
            </w:hyperlink>
          </w:p>
        </w:tc>
        <w:tc>
          <w:tcPr>
            <w:tcW w:w="13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76"/>
        </w:trPr>
        <w:tc>
          <w:tcPr>
            <w:tcW w:w="92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20" w:type="dxa"/>
            <w:vAlign w:val="bottom"/>
            <w:gridSpan w:val="18"/>
          </w:tcPr>
          <w:p>
            <w:pPr>
              <w:spacing w:after="0"/>
              <w:rPr>
                <w:sz w:val="20"/>
                <w:szCs w:val="20"/>
                <w:color w:val="auto"/>
              </w:rPr>
            </w:pPr>
            <w:r>
              <w:rPr>
                <w:rFonts w:ascii="Arial" w:cs="Arial" w:eastAsia="Arial" w:hAnsi="Arial"/>
                <w:sz w:val="18"/>
                <w:szCs w:val="18"/>
                <w:color w:val="auto"/>
                <w:w w:val="95"/>
              </w:rPr>
              <w:t>Specimen Preferred Stock Certificate and Form of</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20" w:type="dxa"/>
            <w:vAlign w:val="bottom"/>
            <w:gridSpan w:val="18"/>
          </w:tcPr>
          <w:p>
            <w:pPr>
              <w:spacing w:after="0"/>
              <w:rPr>
                <w:sz w:val="20"/>
                <w:szCs w:val="20"/>
                <w:color w:val="auto"/>
              </w:rPr>
            </w:pPr>
            <w:r>
              <w:rPr>
                <w:rFonts w:ascii="Arial" w:cs="Arial" w:eastAsia="Arial" w:hAnsi="Arial"/>
                <w:sz w:val="18"/>
                <w:szCs w:val="18"/>
                <w:color w:val="auto"/>
              </w:rPr>
              <w:t>Certificate of Designation of Preferred Stock</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tcBorders>
              <w:bottom w:val="single" w:sz="8" w:color="0000FF"/>
            </w:tcBorders>
            <w:gridSpan w:val="5"/>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Form of Debt Indenture</w:t>
              </w:r>
            </w:hyperlink>
          </w:p>
        </w:tc>
        <w:tc>
          <w:tcPr>
            <w:tcW w:w="2100" w:type="dxa"/>
            <w:vAlign w:val="bottom"/>
            <w:gridSpan w:val="13"/>
          </w:tcPr>
          <w:p>
            <w:pPr>
              <w:spacing w:after="0"/>
              <w:rPr>
                <w:sz w:val="19"/>
                <w:szCs w:val="19"/>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S-3</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11/3/2019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20" w:type="dxa"/>
            <w:vAlign w:val="bottom"/>
            <w:gridSpan w:val="18"/>
          </w:tcPr>
          <w:p>
            <w:pPr>
              <w:spacing w:after="0"/>
              <w:rPr>
                <w:sz w:val="20"/>
                <w:szCs w:val="20"/>
                <w:color w:val="auto"/>
              </w:rPr>
            </w:pPr>
            <w:r>
              <w:rPr>
                <w:rFonts w:ascii="Arial" w:cs="Arial" w:eastAsia="Arial" w:hAnsi="Arial"/>
                <w:sz w:val="18"/>
                <w:szCs w:val="18"/>
                <w:color w:val="auto"/>
              </w:rPr>
              <w:t>Form of Debt Securities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540" w:type="dxa"/>
            <w:vAlign w:val="bottom"/>
            <w:tcBorders>
              <w:bottom w:val="single" w:sz="8" w:color="0000FF"/>
            </w:tcBorders>
            <w:gridSpan w:val="16"/>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Form of Common Stock Warrant Agreement and</w:t>
              </w:r>
            </w:hyperlink>
          </w:p>
        </w:tc>
        <w:tc>
          <w:tcPr>
            <w:tcW w:w="280" w:type="dxa"/>
            <w:vAlign w:val="bottom"/>
            <w:gridSpan w:val="2"/>
          </w:tcPr>
          <w:p>
            <w:pPr>
              <w:spacing w:after="0"/>
              <w:rPr>
                <w:sz w:val="19"/>
                <w:szCs w:val="19"/>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S-3</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11/3/2019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Warrant Certificate</w:t>
              </w:r>
            </w:hyperlink>
          </w:p>
        </w:tc>
        <w:tc>
          <w:tcPr>
            <w:tcW w:w="2420" w:type="dxa"/>
            <w:vAlign w:val="bottom"/>
            <w:gridSpan w:val="1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0"/>
        </w:trPr>
        <w:tc>
          <w:tcPr>
            <w:tcW w:w="92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20" w:type="dxa"/>
            <w:vAlign w:val="bottom"/>
            <w:gridSpan w:val="18"/>
          </w:tcPr>
          <w:p>
            <w:pPr>
              <w:spacing w:after="0"/>
              <w:rPr>
                <w:rFonts w:ascii="Arial" w:cs="Arial" w:eastAsia="Arial" w:hAnsi="Arial"/>
                <w:sz w:val="18"/>
                <w:szCs w:val="18"/>
                <w:color w:val="0000FF"/>
                <w:w w:val="97"/>
              </w:rPr>
            </w:pPr>
            <w:hyperlink r:id="rId41">
              <w:r>
                <w:rPr>
                  <w:rFonts w:ascii="Arial" w:cs="Arial" w:eastAsia="Arial" w:hAnsi="Arial"/>
                  <w:sz w:val="18"/>
                  <w:szCs w:val="18"/>
                  <w:color w:val="0000FF"/>
                  <w:w w:val="97"/>
                </w:rPr>
                <w:t>Form of Preferred Stock Warrant Agreement and</w:t>
              </w:r>
            </w:hyperlink>
          </w:p>
        </w:tc>
        <w:tc>
          <w:tcPr>
            <w:tcW w:w="13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S-3</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11/3/2019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Warrant Certificate</w:t>
              </w:r>
            </w:hyperlink>
          </w:p>
        </w:tc>
        <w:tc>
          <w:tcPr>
            <w:tcW w:w="2120" w:type="dxa"/>
            <w:vAlign w:val="bottom"/>
            <w:tcBorders>
              <w:top w:val="single" w:sz="8" w:color="0000FF"/>
            </w:tcBorders>
            <w:gridSpan w:val="11"/>
          </w:tcPr>
          <w:p>
            <w:pPr>
              <w:spacing w:after="0"/>
              <w:rPr>
                <w:sz w:val="17"/>
                <w:szCs w:val="17"/>
                <w:color w:val="auto"/>
              </w:rPr>
            </w:pPr>
          </w:p>
        </w:tc>
        <w:tc>
          <w:tcPr>
            <w:tcW w:w="300" w:type="dxa"/>
            <w:vAlign w:val="bottom"/>
            <w:gridSpan w:val="3"/>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0"/>
        </w:trPr>
        <w:tc>
          <w:tcPr>
            <w:tcW w:w="92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20" w:type="dxa"/>
            <w:vAlign w:val="bottom"/>
            <w:gridSpan w:val="18"/>
          </w:tcPr>
          <w:p>
            <w:pPr>
              <w:spacing w:after="0"/>
              <w:rPr>
                <w:rFonts w:ascii="Arial" w:cs="Arial" w:eastAsia="Arial" w:hAnsi="Arial"/>
                <w:sz w:val="18"/>
                <w:szCs w:val="18"/>
                <w:color w:val="0000FF"/>
                <w:w w:val="98"/>
              </w:rPr>
            </w:pPr>
            <w:hyperlink r:id="rId42">
              <w:r>
                <w:rPr>
                  <w:rFonts w:ascii="Arial" w:cs="Arial" w:eastAsia="Arial" w:hAnsi="Arial"/>
                  <w:sz w:val="18"/>
                  <w:szCs w:val="18"/>
                  <w:color w:val="0000FF"/>
                  <w:w w:val="98"/>
                </w:rPr>
                <w:t>Form of Debt Securities Warrant Agreement and</w:t>
              </w:r>
            </w:hyperlink>
          </w:p>
        </w:tc>
        <w:tc>
          <w:tcPr>
            <w:tcW w:w="13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S-3</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333-227445</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11/3/2019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Warrant Certificate</w:t>
              </w:r>
            </w:hyperlink>
          </w:p>
        </w:tc>
        <w:tc>
          <w:tcPr>
            <w:tcW w:w="32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92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20" w:type="dxa"/>
            <w:vAlign w:val="bottom"/>
            <w:tcBorders>
              <w:bottom w:val="single" w:sz="8" w:color="0000FF"/>
            </w:tcBorders>
            <w:gridSpan w:val="5"/>
          </w:tcPr>
          <w:p>
            <w:pPr>
              <w:spacing w:after="0"/>
              <w:rPr>
                <w:rFonts w:ascii="Arial" w:cs="Arial" w:eastAsia="Arial" w:hAnsi="Arial"/>
                <w:sz w:val="18"/>
                <w:szCs w:val="18"/>
                <w:color w:val="0000FF"/>
                <w:w w:val="94"/>
              </w:rPr>
            </w:pPr>
            <w:hyperlink w:anchor="page42">
              <w:r>
                <w:rPr>
                  <w:rFonts w:ascii="Arial" w:cs="Arial" w:eastAsia="Arial" w:hAnsi="Arial"/>
                  <w:sz w:val="18"/>
                  <w:szCs w:val="18"/>
                  <w:color w:val="0000FF"/>
                  <w:w w:val="94"/>
                </w:rPr>
                <w:t>Opinion of Cooley LLP</w:t>
              </w:r>
            </w:hyperlink>
          </w:p>
        </w:tc>
        <w:tc>
          <w:tcPr>
            <w:tcW w:w="2100" w:type="dxa"/>
            <w:vAlign w:val="bottom"/>
            <w:gridSpan w:val="13"/>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50"/>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2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Consent of Independent Registered Public</w:t>
              </w:r>
            </w:hyperlink>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3"/>
              </w:rPr>
            </w:pPr>
            <w:hyperlink w:anchor="page45">
              <w:r>
                <w:rPr>
                  <w:rFonts w:ascii="Arial" w:cs="Arial" w:eastAsia="Arial" w:hAnsi="Arial"/>
                  <w:sz w:val="18"/>
                  <w:szCs w:val="18"/>
                  <w:color w:val="0000FF"/>
                  <w:w w:val="93"/>
                </w:rPr>
                <w:t>Accounting Firm</w:t>
              </w:r>
            </w:hyperlink>
          </w:p>
        </w:tc>
        <w:tc>
          <w:tcPr>
            <w:tcW w:w="1800" w:type="dxa"/>
            <w:vAlign w:val="bottom"/>
            <w:tcBorders>
              <w:top w:val="single" w:sz="8" w:color="0000FF"/>
            </w:tcBorders>
            <w:gridSpan w:val="11"/>
          </w:tcPr>
          <w:p>
            <w:pPr>
              <w:spacing w:after="0"/>
              <w:rPr>
                <w:sz w:val="17"/>
                <w:szCs w:val="17"/>
                <w:color w:val="auto"/>
              </w:rPr>
            </w:pPr>
          </w:p>
        </w:tc>
        <w:tc>
          <w:tcPr>
            <w:tcW w:w="780" w:type="dxa"/>
            <w:vAlign w:val="bottom"/>
            <w:gridSpan w:val="5"/>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bl>
    <w:p>
      <w:pPr>
        <w:spacing w:after="0" w:line="50" w:lineRule="exact"/>
        <w:rPr>
          <w:sz w:val="20"/>
          <w:szCs w:val="20"/>
          <w:color w:val="auto"/>
        </w:rPr>
      </w:pPr>
    </w:p>
    <w:p>
      <w:pPr>
        <w:sectPr>
          <w:pgSz w:w="11900" w:h="16838" w:orient="portrait"/>
          <w:cols w:equalWidth="0" w:num="1">
            <w:col w:w="11360"/>
          </w:cols>
          <w:pgMar w:left="240" w:top="918" w:right="299" w:bottom="1440" w:gutter="0" w:footer="0" w:header="0"/>
        </w:sectPr>
      </w:pP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23.2</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24.1</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25.1*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680" w:type="dxa"/>
            <w:vAlign w:val="bottom"/>
            <w:gridSpan w:val="3"/>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 xml:space="preserve">Consent of Cooley LLP </w:t>
              </w:r>
            </w:hyperlink>
            <w:r>
              <w:rPr>
                <w:rFonts w:ascii="Arial" w:cs="Arial" w:eastAsia="Arial" w:hAnsi="Arial"/>
                <w:sz w:val="18"/>
                <w:szCs w:val="18"/>
                <w:color w:val="000000"/>
              </w:rPr>
              <w:t>(See</w:t>
            </w:r>
            <w:r>
              <w:rPr>
                <w:rFonts w:ascii="Arial" w:cs="Arial" w:eastAsia="Arial" w:hAnsi="Arial"/>
                <w:sz w:val="18"/>
                <w:szCs w:val="18"/>
                <w:color w:val="0000FF"/>
              </w:rPr>
              <w:t xml:space="preserve"> </w:t>
            </w:r>
            <w:r>
              <w:rPr>
                <w:rFonts w:ascii="Arial" w:cs="Arial" w:eastAsia="Arial" w:hAnsi="Arial"/>
                <w:sz w:val="18"/>
                <w:szCs w:val="18"/>
                <w:color w:val="000000"/>
              </w:rPr>
              <w:t>Exhibit 5.1)</w:t>
            </w:r>
          </w:p>
        </w:tc>
        <w:tc>
          <w:tcPr>
            <w:tcW w:w="3180" w:type="dxa"/>
            <w:vAlign w:val="bottom"/>
          </w:tcPr>
          <w:p>
            <w:pPr>
              <w:ind w:left="3080"/>
              <w:spacing w:after="0"/>
              <w:rPr>
                <w:sz w:val="20"/>
                <w:szCs w:val="20"/>
                <w:color w:val="auto"/>
              </w:rPr>
            </w:pPr>
            <w:r>
              <w:rPr>
                <w:rFonts w:ascii="Arial" w:cs="Arial" w:eastAsia="Arial" w:hAnsi="Arial"/>
                <w:sz w:val="18"/>
                <w:szCs w:val="18"/>
                <w:color w:val="auto"/>
                <w:w w:val="88"/>
              </w:rPr>
              <w:t>x</w:t>
            </w:r>
          </w:p>
        </w:tc>
      </w:tr>
      <w:tr>
        <w:trPr>
          <w:trHeight w:val="20"/>
        </w:trPr>
        <w:tc>
          <w:tcPr>
            <w:tcW w:w="1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50"/>
        </w:trPr>
        <w:tc>
          <w:tcPr>
            <w:tcW w:w="668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 xml:space="preserve">Power of Attorney </w:t>
              </w:r>
            </w:hyperlink>
            <w:r>
              <w:rPr>
                <w:rFonts w:ascii="Arial" w:cs="Arial" w:eastAsia="Arial" w:hAnsi="Arial"/>
                <w:sz w:val="18"/>
                <w:szCs w:val="18"/>
                <w:color w:val="000000"/>
              </w:rPr>
              <w:t>(See</w:t>
            </w:r>
            <w:r>
              <w:rPr>
                <w:rFonts w:ascii="Arial" w:cs="Arial" w:eastAsia="Arial" w:hAnsi="Arial"/>
                <w:sz w:val="18"/>
                <w:szCs w:val="18"/>
                <w:color w:val="0000EE"/>
              </w:rPr>
              <w:t xml:space="preserve"> </w:t>
            </w:r>
            <w:r>
              <w:rPr>
                <w:rFonts w:ascii="Arial" w:cs="Arial" w:eastAsia="Arial" w:hAnsi="Arial"/>
                <w:sz w:val="18"/>
                <w:szCs w:val="18"/>
                <w:color w:val="000000"/>
              </w:rPr>
              <w:t>signature page)</w:t>
            </w:r>
          </w:p>
        </w:tc>
        <w:tc>
          <w:tcPr>
            <w:tcW w:w="3180" w:type="dxa"/>
            <w:vAlign w:val="bottom"/>
          </w:tcPr>
          <w:p>
            <w:pPr>
              <w:ind w:left="3080"/>
              <w:spacing w:after="0"/>
              <w:rPr>
                <w:sz w:val="20"/>
                <w:szCs w:val="20"/>
                <w:color w:val="auto"/>
              </w:rPr>
            </w:pPr>
            <w:r>
              <w:rPr>
                <w:rFonts w:ascii="Arial" w:cs="Arial" w:eastAsia="Arial" w:hAnsi="Arial"/>
                <w:sz w:val="18"/>
                <w:szCs w:val="18"/>
                <w:color w:val="auto"/>
                <w:w w:val="88"/>
              </w:rPr>
              <w:t>x</w:t>
            </w:r>
          </w:p>
        </w:tc>
      </w:tr>
      <w:tr>
        <w:trPr>
          <w:trHeight w:val="20"/>
        </w:trPr>
        <w:tc>
          <w:tcPr>
            <w:tcW w:w="1340" w:type="dxa"/>
            <w:vAlign w:val="bottom"/>
            <w:shd w:val="clear" w:color="auto" w:fill="0000EE"/>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303"/>
        </w:trPr>
        <w:tc>
          <w:tcPr>
            <w:tcW w:w="6680" w:type="dxa"/>
            <w:vAlign w:val="bottom"/>
            <w:gridSpan w:val="3"/>
          </w:tcPr>
          <w:p>
            <w:pPr>
              <w:spacing w:after="0"/>
              <w:rPr>
                <w:sz w:val="20"/>
                <w:szCs w:val="20"/>
                <w:color w:val="auto"/>
              </w:rPr>
            </w:pPr>
            <w:r>
              <w:rPr>
                <w:rFonts w:ascii="Arial" w:cs="Arial" w:eastAsia="Arial" w:hAnsi="Arial"/>
                <w:sz w:val="18"/>
                <w:szCs w:val="18"/>
                <w:color w:val="auto"/>
              </w:rPr>
              <w:t>Statement of Eligibility of Trustee under the Debt</w:t>
            </w:r>
          </w:p>
        </w:tc>
        <w:tc>
          <w:tcPr>
            <w:tcW w:w="3180" w:type="dxa"/>
            <w:vAlign w:val="bottom"/>
          </w:tcPr>
          <w:p>
            <w:pPr>
              <w:spacing w:after="0"/>
              <w:rPr>
                <w:sz w:val="24"/>
                <w:szCs w:val="24"/>
                <w:color w:val="auto"/>
              </w:rPr>
            </w:pPr>
          </w:p>
        </w:tc>
      </w:tr>
      <w:tr>
        <w:trPr>
          <w:trHeight w:val="216"/>
        </w:trPr>
        <w:tc>
          <w:tcPr>
            <w:tcW w:w="6680" w:type="dxa"/>
            <w:vAlign w:val="bottom"/>
            <w:gridSpan w:val="3"/>
          </w:tcPr>
          <w:p>
            <w:pPr>
              <w:spacing w:after="0"/>
              <w:rPr>
                <w:sz w:val="20"/>
                <w:szCs w:val="20"/>
                <w:color w:val="auto"/>
              </w:rPr>
            </w:pPr>
            <w:r>
              <w:rPr>
                <w:rFonts w:ascii="Arial" w:cs="Arial" w:eastAsia="Arial" w:hAnsi="Arial"/>
                <w:sz w:val="18"/>
                <w:szCs w:val="18"/>
                <w:color w:val="auto"/>
              </w:rPr>
              <w:t>Indenture (to be filed separately under the</w:t>
            </w:r>
          </w:p>
        </w:tc>
        <w:tc>
          <w:tcPr>
            <w:tcW w:w="3180" w:type="dxa"/>
            <w:vAlign w:val="bottom"/>
          </w:tcPr>
          <w:p>
            <w:pPr>
              <w:spacing w:after="0"/>
              <w:rPr>
                <w:sz w:val="18"/>
                <w:szCs w:val="18"/>
                <w:color w:val="auto"/>
              </w:rPr>
            </w:pPr>
          </w:p>
        </w:tc>
      </w:tr>
      <w:tr>
        <w:trPr>
          <w:trHeight w:val="230"/>
        </w:trPr>
        <w:tc>
          <w:tcPr>
            <w:tcW w:w="6680" w:type="dxa"/>
            <w:vAlign w:val="bottom"/>
            <w:gridSpan w:val="3"/>
          </w:tcPr>
          <w:p>
            <w:pPr>
              <w:spacing w:after="0"/>
              <w:rPr>
                <w:sz w:val="20"/>
                <w:szCs w:val="20"/>
                <w:color w:val="auto"/>
              </w:rPr>
            </w:pPr>
            <w:r>
              <w:rPr>
                <w:rFonts w:ascii="Arial" w:cs="Arial" w:eastAsia="Arial" w:hAnsi="Arial"/>
                <w:sz w:val="18"/>
                <w:szCs w:val="18"/>
                <w:color w:val="auto"/>
              </w:rPr>
              <w:t>electronic form type 305B2, if applicable)</w:t>
            </w:r>
          </w:p>
        </w:tc>
        <w:tc>
          <w:tcPr>
            <w:tcW w:w="3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180340</wp:posOffset>
            </wp:positionV>
            <wp:extent cx="1191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 w:space="420"/>
            <w:col w:w="10260"/>
          </w:cols>
          <w:pgMar w:left="240" w:top="918" w:right="299" w:bottom="1440" w:gutter="0" w:footer="0" w:header="0"/>
          <w:type w:val="continuous"/>
        </w:sectPr>
      </w:pPr>
    </w:p>
    <w:p>
      <w:pPr>
        <w:spacing w:after="0" w:line="10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To be filed by amendment or as an exhibit to a Current Report on Form 8-K and incorporated herein by reference, if applicable.</w:t>
      </w:r>
    </w:p>
    <w:p>
      <w:pPr>
        <w:sectPr>
          <w:pgSz w:w="11900" w:h="16838" w:orient="portrait"/>
          <w:cols w:equalWidth="0" w:num="1">
            <w:col w:w="11360"/>
          </w:cols>
          <w:pgMar w:left="240" w:top="918"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360"/>
          </w:cols>
          <w:pgMar w:left="240" w:top="918" w:right="299" w:bottom="1440" w:gutter="0" w:footer="0" w:header="0"/>
          <w:type w:val="continuous"/>
        </w:sectPr>
      </w:pPr>
    </w:p>
    <w:bookmarkStart w:id="38" w:name="page39"/>
    <w:bookmarkEnd w:id="38"/>
    <w:p>
      <w:pPr>
        <w:spacing w:after="0"/>
        <w:tabs>
          <w:tab w:leader="none" w:pos="8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93" w:lineRule="exact"/>
        <w:rPr>
          <w:sz w:val="20"/>
          <w:szCs w:val="20"/>
          <w:color w:val="auto"/>
        </w:rPr>
      </w:pPr>
    </w:p>
    <w:p>
      <w:pPr>
        <w:ind w:left="720" w:hanging="388"/>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92" w:lineRule="exact"/>
        <w:rPr>
          <w:rFonts w:ascii="Arial" w:cs="Arial" w:eastAsia="Arial" w:hAnsi="Arial"/>
          <w:sz w:val="18"/>
          <w:szCs w:val="18"/>
          <w:color w:val="auto"/>
        </w:rPr>
      </w:pPr>
    </w:p>
    <w:p>
      <w:pPr>
        <w:ind w:left="1000" w:hanging="344"/>
        <w:spacing w:after="0"/>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92" w:lineRule="exact"/>
        <w:rPr>
          <w:rFonts w:ascii="Arial" w:cs="Arial" w:eastAsia="Arial" w:hAnsi="Arial"/>
          <w:sz w:val="18"/>
          <w:szCs w:val="18"/>
          <w:color w:val="auto"/>
        </w:rPr>
      </w:pPr>
    </w:p>
    <w:p>
      <w:pPr>
        <w:jc w:val="both"/>
        <w:ind w:firstLine="656"/>
        <w:spacing w:after="0" w:line="356" w:lineRule="auto"/>
        <w:tabs>
          <w:tab w:leader="none" w:pos="1106" w:val="left"/>
        </w:tabs>
        <w:numPr>
          <w:ilvl w:val="1"/>
          <w:numId w:val="3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jc w:val="both"/>
        <w:ind w:firstLine="656"/>
        <w:spacing w:after="0" w:line="335" w:lineRule="auto"/>
        <w:tabs>
          <w:tab w:leader="none" w:pos="1202"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paragraphs (1)(i), (1)(ii) and (1)(iii) do not apply if the information required to be included in a post-effective amendment by 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189" w:lineRule="exact"/>
        <w:rPr>
          <w:rFonts w:ascii="Arial" w:cs="Arial" w:eastAsia="Arial" w:hAnsi="Arial"/>
          <w:sz w:val="18"/>
          <w:szCs w:val="18"/>
          <w:color w:val="auto"/>
        </w:rPr>
      </w:pPr>
    </w:p>
    <w:p>
      <w:pPr>
        <w:jc w:val="both"/>
        <w:ind w:firstLine="332"/>
        <w:spacing w:after="0" w:line="342" w:lineRule="auto"/>
        <w:tabs>
          <w:tab w:leader="none" w:pos="7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2" w:lineRule="exact"/>
        <w:rPr>
          <w:rFonts w:ascii="Arial" w:cs="Arial" w:eastAsia="Arial" w:hAnsi="Arial"/>
          <w:sz w:val="18"/>
          <w:szCs w:val="18"/>
          <w:color w:val="auto"/>
        </w:rPr>
      </w:pPr>
    </w:p>
    <w:p>
      <w:pPr>
        <w:ind w:right="20" w:firstLine="332"/>
        <w:spacing w:after="0" w:line="356" w:lineRule="auto"/>
        <w:tabs>
          <w:tab w:leader="none" w:pos="7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69" w:lineRule="exact"/>
        <w:rPr>
          <w:rFonts w:ascii="Arial" w:cs="Arial" w:eastAsia="Arial" w:hAnsi="Arial"/>
          <w:sz w:val="18"/>
          <w:szCs w:val="18"/>
          <w:color w:val="auto"/>
        </w:rPr>
      </w:pPr>
    </w:p>
    <w:p>
      <w:pPr>
        <w:ind w:left="720" w:hanging="388"/>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92" w:lineRule="exact"/>
        <w:rPr>
          <w:rFonts w:ascii="Arial" w:cs="Arial" w:eastAsia="Arial" w:hAnsi="Arial"/>
          <w:sz w:val="18"/>
          <w:szCs w:val="18"/>
          <w:color w:val="auto"/>
        </w:rPr>
      </w:pPr>
    </w:p>
    <w:p>
      <w:pPr>
        <w:ind w:firstLine="737"/>
        <w:spacing w:after="0" w:line="356" w:lineRule="auto"/>
        <w:tabs>
          <w:tab w:leader="none" w:pos="1127" w:val="left"/>
        </w:tabs>
        <w:numPr>
          <w:ilvl w:val="2"/>
          <w:numId w:val="3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9" w:lineRule="exact"/>
        <w:rPr>
          <w:rFonts w:ascii="Arial" w:cs="Arial" w:eastAsia="Arial" w:hAnsi="Arial"/>
          <w:sz w:val="18"/>
          <w:szCs w:val="18"/>
          <w:color w:val="auto"/>
        </w:rPr>
      </w:pPr>
    </w:p>
    <w:p>
      <w:pPr>
        <w:jc w:val="both"/>
        <w:ind w:firstLine="737"/>
        <w:spacing w:after="0" w:line="376" w:lineRule="auto"/>
        <w:tabs>
          <w:tab w:leader="none" w:pos="1161" w:val="left"/>
        </w:tabs>
        <w:numPr>
          <w:ilvl w:val="2"/>
          <w:numId w:val="35"/>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fide </w:t>
      </w:r>
      <w:r>
        <w:rPr>
          <w:rFonts w:ascii="Arial" w:cs="Arial" w:eastAsia="Arial" w:hAnsi="Arial"/>
          <w:sz w:val="16"/>
          <w:szCs w:val="16"/>
          <w:color w:val="auto"/>
        </w:rPr>
        <w:t>offering thereof.</w:t>
      </w:r>
      <w:r>
        <w:rPr>
          <w:rFonts w:ascii="Arial" w:cs="Arial" w:eastAsia="Arial" w:hAnsi="Arial"/>
          <w:sz w:val="16"/>
          <w:szCs w:val="16"/>
          <w:i w:val="1"/>
          <w:iCs w:val="1"/>
          <w:color w:val="auto"/>
        </w:rPr>
        <w:t xml:space="preserve"> Provided, however, </w:t>
      </w:r>
      <w:r>
        <w:rPr>
          <w:rFonts w:ascii="Arial" w:cs="Arial" w:eastAsia="Arial" w:hAnsi="Arial"/>
          <w:sz w:val="16"/>
          <w:szCs w:val="16"/>
          <w:color w:val="auto"/>
        </w:rPr>
        <w:t>that no statement made in a registration statement or prospectus that is part of the registration statement or made in a</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796" w:right="239" w:bottom="1440" w:gutter="0" w:footer="0" w:header="0"/>
        </w:sectPr>
      </w:pPr>
    </w:p>
    <w:bookmarkStart w:id="39" w:name="page40"/>
    <w:bookmarkEnd w:id="39"/>
    <w:p>
      <w:pPr>
        <w:jc w:val="both"/>
        <w:ind w:firstLine="332"/>
        <w:spacing w:after="0" w:line="390" w:lineRule="auto"/>
        <w:tabs>
          <w:tab w:leader="none" w:pos="771"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rFonts w:ascii="Arial" w:cs="Arial" w:eastAsia="Arial" w:hAnsi="Arial"/>
          <w:sz w:val="16"/>
          <w:szCs w:val="16"/>
          <w:color w:val="auto"/>
        </w:rPr>
      </w:pPr>
    </w:p>
    <w:p>
      <w:pPr>
        <w:ind w:left="1000" w:hanging="344"/>
        <w:spacing w:after="0"/>
        <w:tabs>
          <w:tab w:leader="none" w:pos="10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304" w:lineRule="exact"/>
        <w:rPr>
          <w:rFonts w:ascii="Arial" w:cs="Arial" w:eastAsia="Arial" w:hAnsi="Arial"/>
          <w:sz w:val="17"/>
          <w:szCs w:val="17"/>
          <w:color w:val="auto"/>
        </w:rPr>
      </w:pPr>
    </w:p>
    <w:p>
      <w:pPr>
        <w:ind w:right="20" w:firstLine="656"/>
        <w:spacing w:after="0" w:line="356" w:lineRule="auto"/>
        <w:tabs>
          <w:tab w:leader="none" w:pos="114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69" w:lineRule="exact"/>
        <w:rPr>
          <w:rFonts w:ascii="Arial" w:cs="Arial" w:eastAsia="Arial" w:hAnsi="Arial"/>
          <w:sz w:val="18"/>
          <w:szCs w:val="18"/>
          <w:color w:val="auto"/>
        </w:rPr>
      </w:pPr>
    </w:p>
    <w:p>
      <w:pPr>
        <w:ind w:firstLine="656"/>
        <w:spacing w:after="0" w:line="356" w:lineRule="auto"/>
        <w:tabs>
          <w:tab w:leader="none" w:pos="1108"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9" w:lineRule="exact"/>
        <w:rPr>
          <w:rFonts w:ascii="Arial" w:cs="Arial" w:eastAsia="Arial" w:hAnsi="Arial"/>
          <w:sz w:val="18"/>
          <w:szCs w:val="18"/>
          <w:color w:val="auto"/>
        </w:rPr>
      </w:pPr>
    </w:p>
    <w:p>
      <w:pPr>
        <w:ind w:left="1080" w:hanging="424"/>
        <w:spacing w:after="0"/>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92" w:lineRule="exact"/>
        <w:rPr>
          <w:rFonts w:ascii="Arial" w:cs="Arial" w:eastAsia="Arial" w:hAnsi="Arial"/>
          <w:sz w:val="18"/>
          <w:szCs w:val="18"/>
          <w:color w:val="auto"/>
        </w:rPr>
      </w:pPr>
    </w:p>
    <w:p>
      <w:pPr>
        <w:jc w:val="both"/>
        <w:ind w:firstLine="332"/>
        <w:spacing w:after="0" w:line="335" w:lineRule="auto"/>
        <w:tabs>
          <w:tab w:leader="none" w:pos="7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9" w:lineRule="exact"/>
        <w:rPr>
          <w:rFonts w:ascii="Arial" w:cs="Arial" w:eastAsia="Arial" w:hAnsi="Arial"/>
          <w:sz w:val="18"/>
          <w:szCs w:val="18"/>
          <w:color w:val="auto"/>
        </w:rPr>
      </w:pPr>
    </w:p>
    <w:p>
      <w:pPr>
        <w:jc w:val="both"/>
        <w:ind w:firstLine="332"/>
        <w:spacing w:after="0" w:line="335" w:lineRule="auto"/>
        <w:tabs>
          <w:tab w:leader="none" w:pos="7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rFonts w:ascii="Arial" w:cs="Arial" w:eastAsia="Arial" w:hAnsi="Arial"/>
          <w:sz w:val="18"/>
          <w:szCs w:val="18"/>
          <w:color w:val="auto"/>
        </w:rPr>
      </w:pPr>
    </w:p>
    <w:p>
      <w:pPr>
        <w:ind w:firstLine="332"/>
        <w:spacing w:after="0" w:line="356" w:lineRule="auto"/>
        <w:tabs>
          <w:tab w:leader="none" w:pos="7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15"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80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Santa Clara, State of California, on December 26, 2019 .</w:t>
      </w:r>
    </w:p>
    <w:p>
      <w:pPr>
        <w:spacing w:after="0" w:line="219"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SI-BONE, INC.</w:t>
      </w:r>
    </w:p>
    <w:p>
      <w:pPr>
        <w:spacing w:after="0" w:line="67" w:lineRule="exact"/>
        <w:rPr>
          <w:sz w:val="20"/>
          <w:szCs w:val="20"/>
          <w:color w:val="auto"/>
        </w:rPr>
      </w:pPr>
    </w:p>
    <w:p>
      <w:pPr>
        <w:ind w:left="678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31750</wp:posOffset>
            </wp:positionV>
            <wp:extent cx="25387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5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Jeffrey W. Dunn</w:t>
      </w:r>
    </w:p>
    <w:p>
      <w:pPr>
        <w:spacing w:after="0" w:line="63"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President and Chief Executive Officer and Chairman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4"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Jeffrey W. Dunn, Laura</w:t>
      </w:r>
      <w:r>
        <w:rPr>
          <w:rFonts w:ascii="Arial" w:cs="Arial" w:eastAsia="Arial" w:hAnsi="Arial"/>
          <w:sz w:val="17"/>
          <w:szCs w:val="17"/>
          <w:b w:val="1"/>
          <w:bCs w:val="1"/>
          <w:color w:val="auto"/>
        </w:rPr>
        <w:t xml:space="preserve"> </w:t>
      </w:r>
      <w:r>
        <w:rPr>
          <w:rFonts w:ascii="Arial" w:cs="Arial" w:eastAsia="Arial" w:hAnsi="Arial"/>
          <w:sz w:val="17"/>
          <w:szCs w:val="17"/>
          <w:color w:val="auto"/>
        </w:rPr>
        <w:t>Francis and Michael A. Pisetsky, and each of them, as her or his true and lawful attorneys-in-fact and agents, with full powers of substitution and resubstitution, for her or him and in her or his name, place and stead, in any and all capacities, to sign any and all amendments (including post-effective amendments) to this registration statement, and to file the same, with all exhibits thereto, and other documents in connection therewith, with the SEC, and generally to do all such things in her or his name and behalf in her or his capacities as officers and directors to enable the SI-BONE, Inc. to comply with the provisions of the Securities Act of 1933 and all requirements of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her or his substitutes or substitute, may lawfully do or cause to be done by virtue hereof.</w:t>
      </w:r>
    </w:p>
    <w:p>
      <w:pPr>
        <w:spacing w:after="0" w:line="71"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420"/>
          </w:cols>
          <w:pgMar w:left="240" w:top="756" w:right="239" w:bottom="1440" w:gutter="0" w:footer="0" w:header="0"/>
        </w:sectPr>
      </w:pP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697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5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Jeffrey W. Dunn</w:t>
      </w:r>
    </w:p>
    <w:p>
      <w:pPr>
        <w:spacing w:after="0" w:line="23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Laura A. Francis</w:t>
      </w:r>
    </w:p>
    <w:p>
      <w:pPr>
        <w:spacing w:after="0" w:line="239"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Timothy 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1697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8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Timothy E. Davis, Jr.</w:t>
      </w:r>
    </w:p>
    <w:p>
      <w:pPr>
        <w:spacing w:after="0" w:line="23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Mark J.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Mark J. Foley</w:t>
      </w:r>
    </w:p>
    <w:p>
      <w:pPr>
        <w:spacing w:after="0" w:line="23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John G.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John G. Freund, M.D.</w:t>
      </w:r>
    </w:p>
    <w:p>
      <w:pPr>
        <w:spacing w:after="0" w:line="23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Jeryl L. Hilleman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Jeryl L. Hilleman</w:t>
      </w:r>
    </w:p>
    <w:p>
      <w:pPr>
        <w:spacing w:after="0" w:line="279"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/s/ Gregory 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1697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6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Gregory K. Hinckley</w:t>
      </w:r>
    </w:p>
    <w:p>
      <w:pPr>
        <w:spacing w:after="0" w:line="23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Karen A. Licitra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Karen A. Licitra</w:t>
      </w:r>
    </w:p>
    <w:p>
      <w:pPr>
        <w:spacing w:after="0" w:line="23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Keith C.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Keith C. Valentine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3173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358"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 xml:space="preserve">President, Chief Executive Officer and Chairman </w:t>
      </w:r>
      <w:r>
        <w:rPr>
          <w:rFonts w:ascii="Arial" w:cs="Arial" w:eastAsia="Arial" w:hAnsi="Arial"/>
          <w:sz w:val="18"/>
          <w:szCs w:val="18"/>
          <w:i w:val="1"/>
          <w:iCs w:val="1"/>
          <w:color w:val="auto"/>
        </w:rPr>
        <w:t>(Principal Executive Officer)</w:t>
      </w:r>
    </w:p>
    <w:p>
      <w:pPr>
        <w:spacing w:after="0" w:line="251"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 xml:space="preserve">Chief Operating Officer and Chief Financial Officer </w:t>
      </w:r>
      <w:r>
        <w:rPr>
          <w:rFonts w:ascii="Arial" w:cs="Arial" w:eastAsia="Arial" w:hAnsi="Arial"/>
          <w:sz w:val="16"/>
          <w:szCs w:val="16"/>
          <w:i w:val="1"/>
          <w:iCs w:val="1"/>
          <w:color w:val="auto"/>
        </w:rPr>
        <w:t>(Principal Financial and Accounting Officer)</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Lead Independent Director, 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right"/>
        <w:ind w:right="106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34290</wp:posOffset>
            </wp:positionV>
            <wp:extent cx="15093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580"/>
        <w:spacing w:after="0"/>
        <w:rPr>
          <w:sz w:val="20"/>
          <w:szCs w:val="20"/>
          <w:color w:val="auto"/>
        </w:rPr>
      </w:pPr>
      <w:r>
        <w:rPr>
          <w:rFonts w:ascii="Arial" w:cs="Arial" w:eastAsia="Arial" w:hAnsi="Arial"/>
          <w:sz w:val="16"/>
          <w:szCs w:val="16"/>
          <w:color w:val="auto"/>
        </w:rPr>
        <w:t>12/26/2019</w:t>
      </w:r>
    </w:p>
    <w:p>
      <w:pPr>
        <w:spacing w:after="0" w:line="200" w:lineRule="exact"/>
        <w:rPr>
          <w:sz w:val="20"/>
          <w:szCs w:val="20"/>
          <w:color w:val="auto"/>
        </w:rPr>
      </w:pPr>
    </w:p>
    <w:p>
      <w:pPr>
        <w:spacing w:after="0" w:line="345" w:lineRule="exact"/>
        <w:rPr>
          <w:sz w:val="20"/>
          <w:szCs w:val="20"/>
          <w:color w:val="auto"/>
        </w:rPr>
      </w:pPr>
    </w:p>
    <w:p>
      <w:pPr>
        <w:jc w:val="center"/>
        <w:ind w:right="1580"/>
        <w:spacing w:after="0"/>
        <w:rPr>
          <w:sz w:val="20"/>
          <w:szCs w:val="20"/>
          <w:color w:val="auto"/>
        </w:rPr>
      </w:pPr>
      <w:r>
        <w:rPr>
          <w:rFonts w:ascii="Arial" w:cs="Arial" w:eastAsia="Arial" w:hAnsi="Arial"/>
          <w:sz w:val="16"/>
          <w:szCs w:val="16"/>
          <w:color w:val="auto"/>
        </w:rPr>
        <w:t>12/26/2019</w:t>
      </w:r>
    </w:p>
    <w:p>
      <w:pPr>
        <w:spacing w:after="0" w:line="200" w:lineRule="exact"/>
        <w:rPr>
          <w:sz w:val="20"/>
          <w:szCs w:val="20"/>
          <w:color w:val="auto"/>
        </w:rPr>
      </w:pPr>
    </w:p>
    <w:p>
      <w:pPr>
        <w:spacing w:after="0" w:line="345" w:lineRule="exact"/>
        <w:rPr>
          <w:sz w:val="20"/>
          <w:szCs w:val="20"/>
          <w:color w:val="auto"/>
        </w:rPr>
      </w:pPr>
    </w:p>
    <w:p>
      <w:pPr>
        <w:jc w:val="center"/>
        <w:ind w:right="1580"/>
        <w:spacing w:after="0"/>
        <w:rPr>
          <w:sz w:val="20"/>
          <w:szCs w:val="20"/>
          <w:color w:val="auto"/>
        </w:rPr>
      </w:pPr>
      <w:r>
        <w:rPr>
          <w:rFonts w:ascii="Arial" w:cs="Arial" w:eastAsia="Arial" w:hAnsi="Arial"/>
          <w:sz w:val="16"/>
          <w:szCs w:val="16"/>
          <w:color w:val="auto"/>
        </w:rPr>
        <w:t>12/26/2019</w:t>
      </w:r>
    </w:p>
    <w:p>
      <w:pPr>
        <w:spacing w:after="0" w:line="200" w:lineRule="exact"/>
        <w:rPr>
          <w:sz w:val="20"/>
          <w:szCs w:val="20"/>
          <w:color w:val="auto"/>
        </w:rPr>
      </w:pPr>
    </w:p>
    <w:p>
      <w:pPr>
        <w:spacing w:after="0" w:line="345" w:lineRule="exact"/>
        <w:rPr>
          <w:sz w:val="20"/>
          <w:szCs w:val="20"/>
          <w:color w:val="auto"/>
        </w:rPr>
      </w:pPr>
    </w:p>
    <w:p>
      <w:pPr>
        <w:jc w:val="center"/>
        <w:ind w:right="1580"/>
        <w:spacing w:after="0"/>
        <w:rPr>
          <w:sz w:val="20"/>
          <w:szCs w:val="20"/>
          <w:color w:val="auto"/>
        </w:rPr>
      </w:pPr>
      <w:r>
        <w:rPr>
          <w:rFonts w:ascii="Arial" w:cs="Arial" w:eastAsia="Arial" w:hAnsi="Arial"/>
          <w:sz w:val="16"/>
          <w:szCs w:val="16"/>
          <w:color w:val="auto"/>
        </w:rPr>
        <w:t>12/26/2019</w:t>
      </w:r>
    </w:p>
    <w:p>
      <w:pPr>
        <w:spacing w:after="0" w:line="200" w:lineRule="exact"/>
        <w:rPr>
          <w:sz w:val="20"/>
          <w:szCs w:val="20"/>
          <w:color w:val="auto"/>
        </w:rPr>
      </w:pPr>
    </w:p>
    <w:p>
      <w:pPr>
        <w:spacing w:after="0" w:line="345" w:lineRule="exact"/>
        <w:rPr>
          <w:sz w:val="20"/>
          <w:szCs w:val="20"/>
          <w:color w:val="auto"/>
        </w:rPr>
      </w:pPr>
    </w:p>
    <w:p>
      <w:pPr>
        <w:jc w:val="center"/>
        <w:ind w:right="1580"/>
        <w:spacing w:after="0"/>
        <w:rPr>
          <w:sz w:val="20"/>
          <w:szCs w:val="20"/>
          <w:color w:val="auto"/>
        </w:rPr>
      </w:pPr>
      <w:r>
        <w:rPr>
          <w:rFonts w:ascii="Arial" w:cs="Arial" w:eastAsia="Arial" w:hAnsi="Arial"/>
          <w:sz w:val="16"/>
          <w:szCs w:val="16"/>
          <w:color w:val="auto"/>
        </w:rPr>
        <w:t>12/26/2019</w:t>
      </w:r>
    </w:p>
    <w:p>
      <w:pPr>
        <w:spacing w:after="0" w:line="200" w:lineRule="exact"/>
        <w:rPr>
          <w:sz w:val="20"/>
          <w:szCs w:val="20"/>
          <w:color w:val="auto"/>
        </w:rPr>
      </w:pPr>
    </w:p>
    <w:p>
      <w:pPr>
        <w:spacing w:after="0" w:line="345" w:lineRule="exact"/>
        <w:rPr>
          <w:sz w:val="20"/>
          <w:szCs w:val="20"/>
          <w:color w:val="auto"/>
        </w:rPr>
      </w:pPr>
    </w:p>
    <w:p>
      <w:pPr>
        <w:jc w:val="center"/>
        <w:ind w:right="1580"/>
        <w:spacing w:after="0"/>
        <w:rPr>
          <w:sz w:val="20"/>
          <w:szCs w:val="20"/>
          <w:color w:val="auto"/>
        </w:rPr>
      </w:pPr>
      <w:r>
        <w:rPr>
          <w:rFonts w:ascii="Arial" w:cs="Arial" w:eastAsia="Arial" w:hAnsi="Arial"/>
          <w:sz w:val="16"/>
          <w:szCs w:val="16"/>
          <w:color w:val="auto"/>
        </w:rPr>
        <w:t>12/26/2019</w:t>
      </w:r>
    </w:p>
    <w:p>
      <w:pPr>
        <w:spacing w:after="0" w:line="200" w:lineRule="exact"/>
        <w:rPr>
          <w:sz w:val="20"/>
          <w:szCs w:val="20"/>
          <w:color w:val="auto"/>
        </w:rPr>
      </w:pPr>
    </w:p>
    <w:p>
      <w:pPr>
        <w:spacing w:after="0" w:line="386" w:lineRule="exact"/>
        <w:rPr>
          <w:sz w:val="20"/>
          <w:szCs w:val="20"/>
          <w:color w:val="auto"/>
        </w:rPr>
      </w:pPr>
    </w:p>
    <w:p>
      <w:pPr>
        <w:jc w:val="center"/>
        <w:ind w:right="1580"/>
        <w:spacing w:after="0"/>
        <w:rPr>
          <w:sz w:val="20"/>
          <w:szCs w:val="20"/>
          <w:color w:val="auto"/>
        </w:rPr>
      </w:pPr>
      <w:r>
        <w:rPr>
          <w:rFonts w:ascii="Arial" w:cs="Arial" w:eastAsia="Arial" w:hAnsi="Arial"/>
          <w:sz w:val="16"/>
          <w:szCs w:val="16"/>
          <w:color w:val="auto"/>
        </w:rPr>
        <w:t>12/26/2019</w:t>
      </w:r>
    </w:p>
    <w:p>
      <w:pPr>
        <w:spacing w:after="0" w:line="200" w:lineRule="exact"/>
        <w:rPr>
          <w:sz w:val="20"/>
          <w:szCs w:val="20"/>
          <w:color w:val="auto"/>
        </w:rPr>
      </w:pPr>
    </w:p>
    <w:p>
      <w:pPr>
        <w:spacing w:after="0" w:line="345" w:lineRule="exact"/>
        <w:rPr>
          <w:sz w:val="20"/>
          <w:szCs w:val="20"/>
          <w:color w:val="auto"/>
        </w:rPr>
      </w:pPr>
    </w:p>
    <w:p>
      <w:pPr>
        <w:jc w:val="center"/>
        <w:ind w:right="1580"/>
        <w:spacing w:after="0"/>
        <w:rPr>
          <w:sz w:val="20"/>
          <w:szCs w:val="20"/>
          <w:color w:val="auto"/>
        </w:rPr>
      </w:pPr>
      <w:r>
        <w:rPr>
          <w:rFonts w:ascii="Arial" w:cs="Arial" w:eastAsia="Arial" w:hAnsi="Arial"/>
          <w:sz w:val="16"/>
          <w:szCs w:val="16"/>
          <w:color w:val="auto"/>
        </w:rPr>
        <w:t>12/26/2019</w:t>
      </w:r>
    </w:p>
    <w:p>
      <w:pPr>
        <w:spacing w:after="0" w:line="200" w:lineRule="exact"/>
        <w:rPr>
          <w:sz w:val="20"/>
          <w:szCs w:val="20"/>
          <w:color w:val="auto"/>
        </w:rPr>
      </w:pPr>
    </w:p>
    <w:p>
      <w:pPr>
        <w:spacing w:after="0" w:line="345" w:lineRule="exact"/>
        <w:rPr>
          <w:sz w:val="20"/>
          <w:szCs w:val="20"/>
          <w:color w:val="auto"/>
        </w:rPr>
      </w:pPr>
    </w:p>
    <w:p>
      <w:pPr>
        <w:jc w:val="center"/>
        <w:ind w:right="1580"/>
        <w:spacing w:after="0"/>
        <w:rPr>
          <w:sz w:val="20"/>
          <w:szCs w:val="20"/>
          <w:color w:val="auto"/>
        </w:rPr>
      </w:pPr>
      <w:r>
        <w:rPr>
          <w:rFonts w:ascii="Arial" w:cs="Arial" w:eastAsia="Arial" w:hAnsi="Arial"/>
          <w:sz w:val="16"/>
          <w:szCs w:val="16"/>
          <w:color w:val="auto"/>
        </w:rPr>
        <w:t>12/26/2019</w:t>
      </w:r>
    </w:p>
    <w:p>
      <w:pPr>
        <w:spacing w:after="0" w:line="371" w:lineRule="exact"/>
        <w:rPr>
          <w:sz w:val="20"/>
          <w:szCs w:val="20"/>
          <w:color w:val="auto"/>
        </w:rPr>
      </w:pPr>
    </w:p>
    <w:p>
      <w:pPr>
        <w:sectPr>
          <w:pgSz w:w="11900" w:h="16838" w:orient="portrait"/>
          <w:cols w:equalWidth="0" w:num="3">
            <w:col w:w="2960" w:space="720"/>
            <w:col w:w="4620" w:space="720"/>
            <w:col w:w="2400"/>
          </w:cols>
          <w:pgMar w:left="240" w:top="756" w:right="239" w:bottom="1440" w:gutter="0" w:footer="0" w:header="0"/>
          <w:type w:val="continuous"/>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1420"/>
          </w:cols>
          <w:pgMar w:left="240" w:top="756" w:right="2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140460" cy="428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114046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Matthew B. Hemington</w:t>
      </w:r>
    </w:p>
    <w:p>
      <w:pPr>
        <w:spacing w:after="0" w:line="19" w:lineRule="exact"/>
        <w:rPr>
          <w:sz w:val="20"/>
          <w:szCs w:val="20"/>
          <w:color w:val="auto"/>
        </w:rPr>
      </w:pPr>
    </w:p>
    <w:p>
      <w:pPr>
        <w:ind w:right="9620" w:firstLine="8"/>
        <w:spacing w:after="0" w:line="328" w:lineRule="auto"/>
        <w:tabs>
          <w:tab w:leader="none" w:pos="177" w:val="left"/>
        </w:tabs>
        <w:numPr>
          <w:ilvl w:val="0"/>
          <w:numId w:val="37"/>
        </w:numPr>
        <w:rPr>
          <w:rFonts w:ascii="Arial" w:cs="Arial" w:eastAsia="Arial" w:hAnsi="Arial"/>
          <w:sz w:val="14"/>
          <w:szCs w:val="14"/>
          <w:color w:val="auto"/>
        </w:rPr>
      </w:pPr>
      <w:r>
        <w:rPr>
          <w:rFonts w:ascii="Arial" w:cs="Arial" w:eastAsia="Arial" w:hAnsi="Arial"/>
          <w:sz w:val="14"/>
          <w:szCs w:val="14"/>
          <w:color w:val="auto"/>
        </w:rPr>
        <w:t>+1 650 843 5062 hemingtonmb@cooley.com</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December 26,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471 El Camino Real, Suite 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have acted as counsel to SI-BONE,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of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by the Company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The Registration Statement includes a prospectus (the “</w:t>
      </w:r>
      <w:r>
        <w:rPr>
          <w:rFonts w:ascii="Arial" w:cs="Arial" w:eastAsia="Arial" w:hAnsi="Arial"/>
          <w:sz w:val="18"/>
          <w:szCs w:val="18"/>
          <w:b w:val="1"/>
          <w:bCs w:val="1"/>
          <w:i w:val="1"/>
          <w:iCs w:val="1"/>
          <w:color w:val="auto"/>
        </w:rPr>
        <w:t>Base Prospectus</w:t>
      </w:r>
      <w:r>
        <w:rPr>
          <w:rFonts w:ascii="Arial" w:cs="Arial" w:eastAsia="Arial" w:hAnsi="Arial"/>
          <w:sz w:val="18"/>
          <w:szCs w:val="18"/>
          <w:color w:val="auto"/>
        </w:rPr>
        <w:t>”) that provides it will be supplemented in the future by one or more prospectus supplements (each, a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Supplement</w:t>
      </w:r>
      <w:r>
        <w:rPr>
          <w:rFonts w:ascii="Arial" w:cs="Arial" w:eastAsia="Arial" w:hAnsi="Arial"/>
          <w:sz w:val="18"/>
          <w:szCs w:val="18"/>
          <w:color w:val="auto"/>
        </w:rPr>
        <w:t>”). The Registration Statement, including the Base Prospectus (as supplemented from time to time by one or more Prospectus Supplements),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for the registration by the Company of:</w:t>
      </w:r>
    </w:p>
    <w:p>
      <w:pPr>
        <w:spacing w:after="0" w:line="314" w:lineRule="exact"/>
        <w:rPr>
          <w:sz w:val="20"/>
          <w:szCs w:val="20"/>
          <w:color w:val="auto"/>
        </w:rPr>
      </w:pPr>
    </w:p>
    <w:p>
      <w:pPr>
        <w:ind w:left="300" w:hanging="29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of common stock, par value $0.0001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of preferred stock, par value $0.0001 per share, of the Company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300" w:hanging="292"/>
        <w:spacing w:after="0" w:line="259" w:lineRule="auto"/>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securities, in one or more series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 which may be issued pursuant to an indenture to be dated on or about the date of the first issuance of Debt Securities thereunder, by and between a trustee to be selected by the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and the Company, in the form filed as Exhibit 4.5 to the Registration Statement and one or more indentures supplemental thereto with respect to any particular series of Debt Securities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left="300" w:hanging="292"/>
        <w:spacing w:after="0" w:line="259" w:lineRule="auto"/>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which may be issued under one or more warrant agreements, to be dated on or about the date of the first issuance of the Warrants thereunder, by and between a warrant agent to be selected by the Company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and the Company, in the forms filed as Exhibits 4.6, 4.7 and 4.8 to the Registration Statement, respectively (each, a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w:t>
      </w:r>
    </w:p>
    <w:p>
      <w:pPr>
        <w:spacing w:after="0" w:line="78" w:lineRule="exact"/>
        <w:rPr>
          <w:rFonts w:ascii="Arial" w:cs="Arial" w:eastAsia="Arial" w:hAnsi="Arial"/>
          <w:sz w:val="18"/>
          <w:szCs w:val="18"/>
          <w:color w:val="auto"/>
        </w:rPr>
      </w:pPr>
    </w:p>
    <w:p>
      <w:pPr>
        <w:ind w:left="300" w:hanging="292"/>
        <w:spacing w:after="0" w:line="277" w:lineRule="auto"/>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resale of 2,000,000 currently outstanding shares of Common Stock held by certain selling stockholders identified in the Registration Statement (the “</w:t>
      </w:r>
      <w:r>
        <w:rPr>
          <w:rFonts w:ascii="Arial" w:cs="Arial" w:eastAsia="Arial" w:hAnsi="Arial"/>
          <w:sz w:val="18"/>
          <w:szCs w:val="18"/>
          <w:b w:val="1"/>
          <w:bCs w:val="1"/>
          <w:i w:val="1"/>
          <w:iCs w:val="1"/>
          <w:color w:val="auto"/>
        </w:rPr>
        <w:t>Selling Stockholder Shares</w:t>
      </w:r>
      <w:r>
        <w:rPr>
          <w:rFonts w:ascii="Arial" w:cs="Arial" w:eastAsia="Arial" w:hAnsi="Arial"/>
          <w:sz w:val="18"/>
          <w:szCs w:val="18"/>
          <w:color w:val="auto"/>
        </w:rPr>
        <w:t>”).</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Common Stock, the Preferred Stock, the Debt Securities and the Warrants, plus any additional Common Stock, Preferred Stock, Debt Securities and Warrants that may be registered pursuant to any registration statement that the Company may hereafter file with the Securities and Exchange Commission pursuant to Rule 462(b) under the Securities Act in connection with an offering by the Company pursuant to the Registration Statement, are collectively referred to herein as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The Securities and the Selling Stockholder Shares are being registered for offer and sale from time to time pursuant to Rule 415 under the Securities Act.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this opinion, we have examined and relied upon originals, or copies certified to our satisfaction, of such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w:t>
      </w:r>
    </w:p>
    <w:p>
      <w:pPr>
        <w:sectPr>
          <w:pgSz w:w="11900" w:h="16838" w:orient="portrait"/>
          <w:cols w:equalWidth="0" w:num="1">
            <w:col w:w="11420"/>
          </w:cols>
          <w:pgMar w:left="240" w:top="553" w:right="2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In rendering this opinion,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With respect to our opinion as to the Common Stock, we have assumed that, at the time of issuance and sale, a sufficient number of shares of Common Stock is authorized and available for issuance and that the consideration for the issuance and sale of the Common Stock (or Preferred Stock or Debt Securities convertible into, or Warrants exercisable for, Common Stock) is in an amount that is not less than the par value of the Common Stock. With respect to our opinion as to the Preferred Stock, we have assumed that, at the time of issuance and sale, a sufficient number of shares of Preferred Stock is authorized, designated and available for issuance and that the consideration for the issuance and sale of the Preferred Stock (or Debt Securities convertible into, or Warrants exercisable for, Preferred Stock) is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opinion herein is expressed solely with respect to the General Corporation Law of the State of Delaware and, as to the Debt Securities and the Warrants constituting valid and legally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in reliance thereon, and subject to the qualifications herein stated, we are of the opinion that:</w:t>
      </w:r>
    </w:p>
    <w:p>
      <w:pPr>
        <w:spacing w:after="0" w:line="225" w:lineRule="exact"/>
        <w:rPr>
          <w:sz w:val="20"/>
          <w:szCs w:val="20"/>
          <w:color w:val="auto"/>
        </w:rPr>
      </w:pPr>
    </w:p>
    <w:p>
      <w:pPr>
        <w:jc w:val="both"/>
        <w:ind w:firstLine="8"/>
        <w:spacing w:after="0" w:line="287" w:lineRule="auto"/>
        <w:tabs>
          <w:tab w:leader="none" w:pos="327"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With respect to the Common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issuance of the Common Stock has been duly authorized by all necessary corporate action on the part of the Company; (iii) the issuance and sale of the Common Stock do not violate any applicable law, are in conformity with the Company’s then operative certificate of incorporation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and bylaws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do not result in a default under or breach of any agreement or instrument binding upon the Company and comply with any applicable requirement or restriction imposed by any court or governmental body having jurisdiction over the Company; and (iv) the certificates, if any, for the Common Stock have been duly executed by the Company, countersigned by the transfer agent therefor and duly delivered to the purchasers thereof against payment therefor, then the Common Stock, when issued and sold as contemplated in the Registration Statement, the Base Prospectus and the related Prospectus Supplement(s) and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spacing w:after="0" w:line="172" w:lineRule="exact"/>
        <w:rPr>
          <w:rFonts w:ascii="Arial" w:cs="Arial" w:eastAsia="Arial" w:hAnsi="Arial"/>
          <w:sz w:val="16"/>
          <w:szCs w:val="16"/>
          <w:b w:val="1"/>
          <w:bCs w:val="1"/>
          <w:color w:val="auto"/>
        </w:rPr>
      </w:pPr>
    </w:p>
    <w:p>
      <w:pPr>
        <w:jc w:val="both"/>
        <w:ind w:firstLine="8"/>
        <w:spacing w:after="0" w:line="269" w:lineRule="auto"/>
        <w:tabs>
          <w:tab w:leader="none" w:pos="327"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With respect to the Preferred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terms and issuance of the Preferred Stock have been duly authorized by all necessary corporate action on the part of the Company; (iii) the terms of the shares of Preferred Stock and their issuance and sale do not violate any applicable law, are in conformity with the Certificate of Incorporation and Bylaws, do not result in a default under or breach of any agreement or instrument binding upon the Company and comply with any applicable requirement or restriction imposed by any court or governmental body having jurisdiction over the Company; and (iv) the certificates, if any, for the Preferred Stock have been duly executed by the Company, countersigned by the transfer agent therefor and duly delivered to the purchasers thereof against payment therefor, then the Preferred Stock, when issued and sold as contemplated in the Registration Statement, the Base Prospectus and the related Prospectus Supplement(s) and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sectPr>
          <w:pgSz w:w="11900" w:h="16838" w:orient="portrait"/>
          <w:cols w:equalWidth="0" w:num="1">
            <w:col w:w="11420"/>
          </w:cols>
          <w:pgMar w:left="240" w:top="557" w:right="239" w:bottom="1440" w:gutter="0" w:footer="0" w:header="0"/>
        </w:sectPr>
      </w:pPr>
    </w:p>
    <w:bookmarkStart w:id="43" w:name="page44"/>
    <w:bookmarkEnd w:id="43"/>
    <w:p>
      <w:pPr>
        <w:jc w:val="both"/>
        <w:ind w:firstLine="8"/>
        <w:spacing w:after="0" w:line="286" w:lineRule="auto"/>
        <w:tabs>
          <w:tab w:leader="none" w:pos="508"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With respect to any series of the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in substantially the form filed as an exhibit to the Registration Statement, has been duly executed and delivered by the Company and the Trustee and has been qualified under the Trust Indenture Act of 1939, as amended; (iv) the issuance and terms of the Debt Securities have been duly authorized by the Company by all necessary corporate action;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Bylaws,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valid and legally binding obligations of the Company, enforceable against the Company in accordance with their terms, except as enforcement thereof may be limited by bankruptcy, insolvency, reorganization, moratorium or other similar laws relating to or affecting creditors’ rights generally, and by general equitable principles (regardless of whether such enforceability is considered in a proceeding at law or in equity).</w:t>
      </w:r>
    </w:p>
    <w:p>
      <w:pPr>
        <w:spacing w:after="0" w:line="168" w:lineRule="exact"/>
        <w:rPr>
          <w:rFonts w:ascii="Arial" w:cs="Arial" w:eastAsia="Arial" w:hAnsi="Arial"/>
          <w:sz w:val="16"/>
          <w:szCs w:val="16"/>
          <w:b w:val="1"/>
          <w:bCs w:val="1"/>
          <w:color w:val="auto"/>
        </w:rPr>
      </w:pPr>
    </w:p>
    <w:p>
      <w:pPr>
        <w:jc w:val="both"/>
        <w:ind w:firstLine="8"/>
        <w:spacing w:after="0" w:line="285" w:lineRule="auto"/>
        <w:tabs>
          <w:tab w:leader="none" w:pos="456"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With respect to the Warrants issued under the Warrant Agreements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Warrant Agreement has been duly authorized by the Company and the Warrant Agent by all necessary corporate action; (iii) the Warrant Agreement has been duly executed and delivered by the Company and the Warrant Agent; (iv) the issuance and terms of the Warrants have been duly authorized by the Company by all necessary corporate action;</w:t>
      </w:r>
    </w:p>
    <w:p>
      <w:pPr>
        <w:spacing w:after="0" w:line="2" w:lineRule="exact"/>
        <w:rPr>
          <w:rFonts w:ascii="Arial" w:cs="Arial" w:eastAsia="Arial" w:hAnsi="Arial"/>
          <w:sz w:val="16"/>
          <w:szCs w:val="16"/>
          <w:b w:val="1"/>
          <w:bCs w:val="1"/>
          <w:color w:val="auto"/>
        </w:rPr>
      </w:pPr>
    </w:p>
    <w:p>
      <w:pPr>
        <w:jc w:val="both"/>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(v) the terms of the Warrants and of their issuance and sale have been duly established in conformity with the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Bylaws, and so as to comply with any requirement or restriction imposed by any court or governmental body having jurisdiction over the Company; and (vi) the Warrants have been duly executed and delivered by the Company and authenticated by the Warrant Agent pursuant to the Warrant Agreement and delivered against payment therefor, then the Warrants, when issued and sold as contemplated in the Registration Statement, the Base Prospectus and the Prospectus Supplement(s) and in accordance with the Warrant Agreement and a duly authorized, executed and delivered purchase, underwriting or similar agreement, will be valid and legally binding obligations of the Company, enforceable against the Company in accordance with their terms, except as enforcement thereof may be limited by bankruptcy, insolvency, reorganization, moratorium or other similar laws relating to or affecting creditors’ rights generally, and by general equitable principles (regardless of whether such enforceability is considered in a proceeding at law or in equity).</w:t>
      </w:r>
    </w:p>
    <w:p>
      <w:pPr>
        <w:spacing w:after="0" w:line="179" w:lineRule="exact"/>
        <w:rPr>
          <w:rFonts w:ascii="Arial" w:cs="Arial" w:eastAsia="Arial" w:hAnsi="Arial"/>
          <w:sz w:val="16"/>
          <w:szCs w:val="16"/>
          <w:b w:val="1"/>
          <w:bCs w:val="1"/>
          <w:color w:val="auto"/>
        </w:rPr>
      </w:pPr>
    </w:p>
    <w:p>
      <w:pPr>
        <w:ind w:left="320" w:hanging="312"/>
        <w:spacing w:after="0"/>
        <w:tabs>
          <w:tab w:leader="none" w:pos="32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The Selling Stockholder Shares are validly issued, fully paid and non-assessable.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caption “Legal Matters” in the Base Prospectus. We further consent to the incorporation by reference of this opinion into any registration statement filed pursuant to Rule 462(b) under the Securities Act with respect to additional Securities.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law that may hereafter occur.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/s/ Matthew B. Hemington</w:t>
            </w:r>
          </w:p>
        </w:tc>
      </w:tr>
      <w:tr>
        <w:trPr>
          <w:trHeight w:val="27"/>
        </w:trPr>
        <w:tc>
          <w:tcPr>
            <w:tcW w:w="62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Matthew B. Hemington</w:t>
            </w:r>
          </w:p>
        </w:tc>
      </w:tr>
    </w:tbl>
    <w:p>
      <w:pPr>
        <w:sectPr>
          <w:pgSz w:w="11900" w:h="16838" w:orient="portrait"/>
          <w:cols w:equalWidth="0" w:num="1">
            <w:col w:w="11420"/>
          </w:cols>
          <w:pgMar w:left="240" w:top="557"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S-3 of SI-BONE, Inc. of our report dated March 14, 2019, relating to the financial statements, which appears in SI-BONE, Inc.’s, Annual Report on Form 10-K for the year ended December 31, 2018. We also consent to the reference to us under the heading “Experts” in such Registration Statement.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26, 2019</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4"/>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35">
    <w:nsid w:val="5C482A97"/>
    <w:multiLevelType w:val="hybridMultilevel"/>
    <w:lvl w:ilvl="0">
      <w:lvlJc w:val="left"/>
      <w:lvlText w:val="(%1)"/>
      <w:numFmt w:val="decimal"/>
      <w:start w:val="5"/>
    </w:lvl>
    <w:lvl w:ilvl="1">
      <w:lvlJc w:val="left"/>
      <w:lvlText w:val="(%2)"/>
      <w:numFmt w:val="lowerRoman"/>
      <w:start w:val="1"/>
    </w:lvl>
  </w:abstractNum>
  <w:abstractNum w:abstractNumId="36">
    <w:nsid w:val="2463B9EA"/>
    <w:multiLevelType w:val="hybridMultilevel"/>
    <w:lvl w:ilvl="0">
      <w:lvlJc w:val="left"/>
      <w:lvlText w:val="%1:"/>
      <w:numFmt w:val="upperLetter"/>
      <w:start w:val="20"/>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jpeg"/><Relationship Id="rId25" Type="http://schemas.openxmlformats.org/officeDocument/2006/relationships/hyperlink" Target="http://www.sec.gov/Archives/edgar/data/1459839/000145983919000011/sibn1231201810-k.htm" TargetMode="External"/><Relationship Id="rId26" Type="http://schemas.openxmlformats.org/officeDocument/2006/relationships/hyperlink" Target="http://www.sec.gov/Archives/edgar/data/1459839/000145983919000026/sibn331201910-q.htm" TargetMode="External"/><Relationship Id="rId27" Type="http://schemas.openxmlformats.org/officeDocument/2006/relationships/hyperlink" Target="http://www.sec.gov/Archives/edgar/data/1459839/000145983919000035/sibn630201910-q.htm" TargetMode="External"/><Relationship Id="rId28" Type="http://schemas.openxmlformats.org/officeDocument/2006/relationships/hyperlink" Target="http://www.sec.gov/Archives/edgar/data/1459839/000145983919000044/sibn930201910-q.htm" TargetMode="External"/><Relationship Id="rId29" Type="http://schemas.openxmlformats.org/officeDocument/2006/relationships/hyperlink" Target="http://www.sec.gov/Archives/edgar/data/1459839/000145983919000004/sibn-8xkbonusplan.htm" TargetMode="External"/><Relationship Id="rId30" Type="http://schemas.openxmlformats.org/officeDocument/2006/relationships/hyperlink" Target="http://www.sec.gov/Archives/edgar/data/1459839/000145983919000017/sibn-8xkbodchange.htm" TargetMode="External"/><Relationship Id="rId31" Type="http://schemas.openxmlformats.org/officeDocument/2006/relationships/hyperlink" Target="http://www.sec.gov/Archives/edgar/data/1459839/000145983919000028/sibn8-k.htm" TargetMode="External"/><Relationship Id="rId32" Type="http://schemas.openxmlformats.org/officeDocument/2006/relationships/hyperlink" Target="http://www.sec.gov/Archives/edgar/data/1459839/000145983919000033/sibn630198-k.htm" TargetMode="External"/><Relationship Id="rId33" Type="http://schemas.openxmlformats.org/officeDocument/2006/relationships/hyperlink" Target="http://www.sec.gov/Archives/edgar/data/1459839/000145983919000037/sibn8-k8132019bodresignati.htm" TargetMode="External"/><Relationship Id="rId34" Type="http://schemas.openxmlformats.org/officeDocument/2006/relationships/hyperlink" Target="http://www.sec.gov/Archives/edgar/data/1459839/000145983919000053/sibn8-k12419bodadditionxhi.htm" TargetMode="External"/><Relationship Id="rId35" Type="http://schemas.openxmlformats.org/officeDocument/2006/relationships/hyperlink" Target="http://www.sec.gov/Archives/edgar/data/1459839/000119312518297571/d486750d8a12b.htm" TargetMode="External"/><Relationship Id="rId36" Type="http://schemas.openxmlformats.org/officeDocument/2006/relationships/hyperlink" Target="http://www.sec.gov/Archives/edgar/data/1459839/000119312518303020/d641574dex31.htm" TargetMode="External"/><Relationship Id="rId37" Type="http://schemas.openxmlformats.org/officeDocument/2006/relationships/hyperlink" Target="http://www.sec.gov/Archives/edgar/data/1459839/000119312518293978/d452987dex34.htm" TargetMode="External"/><Relationship Id="rId38" Type="http://schemas.openxmlformats.org/officeDocument/2006/relationships/hyperlink" Target="http://www.sec.gov/Archives/edgar/data/1459839/000119312518293978/d452987dex41.htm" TargetMode="External"/><Relationship Id="rId39" Type="http://schemas.openxmlformats.org/officeDocument/2006/relationships/hyperlink" Target="http://www.sec.gov/Archives/edgar/data/1459839/000145983919000048/exhibit44formofdebtindentu.htm" TargetMode="External"/><Relationship Id="rId40" Type="http://schemas.openxmlformats.org/officeDocument/2006/relationships/hyperlink" Target="http://www.sec.gov/Archives/edgar/data/1459839/000145983919000048/exhibit46formofcommonstock.htm" TargetMode="External"/><Relationship Id="rId41" Type="http://schemas.openxmlformats.org/officeDocument/2006/relationships/hyperlink" Target="http://www.sec.gov/Archives/edgar/data/1459839/000145983919000048/exhibit47formofpreferredst.htm" TargetMode="External"/><Relationship Id="rId42" Type="http://schemas.openxmlformats.org/officeDocument/2006/relationships/hyperlink" Target="http://www.sec.gov/Archives/edgar/data/1459839/000145983919000048/exhibit48formofdebtsecur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2019-12-27T05:11:22Z</dcterms:created>
  <dcterms:modified xsi:type="dcterms:W3CDTF">2019-12-27T05:11:22Z</dcterms:modified>
</cp:coreProperties>
</file>