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DUNN JEFFREY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Chairman, 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2"/>
                <w:szCs w:val="22"/>
                <w:color w:val="auto"/>
              </w:rPr>
            </w:pP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06/03/2020</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ind w:left="160"/>
              <w:spacing w:after="0"/>
              <w:rPr>
                <w:sz w:val="20"/>
                <w:szCs w:val="20"/>
                <w:color w:val="auto"/>
              </w:rPr>
            </w:pPr>
            <w:r>
              <w:rPr>
                <w:rFonts w:ascii="Arial" w:cs="Arial" w:eastAsia="Arial" w:hAnsi="Arial"/>
                <w:sz w:val="17"/>
                <w:szCs w:val="17"/>
                <w:color w:val="0000FF"/>
              </w:rPr>
              <w:t>30,000</w:t>
            </w:r>
          </w:p>
        </w:tc>
        <w:tc>
          <w:tcPr>
            <w:tcW w:w="50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18.2489</w:t>
            </w:r>
            <w:r>
              <w:rPr>
                <w:rFonts w:ascii="Arial" w:cs="Arial" w:eastAsia="Arial" w:hAnsi="Arial"/>
                <w:sz w:val="22"/>
                <w:szCs w:val="22"/>
                <w:color w:val="008000"/>
                <w:w w:val="94"/>
                <w:vertAlign w:val="superscript"/>
              </w:rPr>
              <w:t>(2)</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355,940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ind w:right="180"/>
              <w:spacing w:after="0"/>
              <w:rPr>
                <w:sz w:val="20"/>
                <w:szCs w:val="20"/>
                <w:color w:val="auto"/>
              </w:rPr>
            </w:pPr>
            <w:r>
              <w:rPr>
                <w:rFonts w:ascii="Arial" w:cs="Arial" w:eastAsia="Arial" w:hAnsi="Arial"/>
                <w:sz w:val="17"/>
                <w:szCs w:val="17"/>
                <w:color w:val="0000FF"/>
              </w:rPr>
              <w:t>235,631</w:t>
            </w:r>
            <w:r>
              <w:rPr>
                <w:rFonts w:ascii="Arial" w:cs="Arial" w:eastAsia="Arial" w:hAnsi="Arial"/>
                <w:sz w:val="22"/>
                <w:szCs w:val="22"/>
                <w:color w:val="008000"/>
                <w:vertAlign w:val="superscript"/>
              </w:rPr>
              <w:t>(4)</w:t>
            </w:r>
          </w:p>
        </w:tc>
        <w:tc>
          <w:tcPr>
            <w:tcW w:w="920" w:type="dxa"/>
            <w:vAlign w:val="bottom"/>
            <w:tcBorders>
              <w:top w:val="single" w:sz="8" w:color="2C2C2C"/>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-3228975</wp:posOffset>
            </wp:positionV>
            <wp:extent cx="7031355" cy="327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2746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ranging from $17.88 to $18.65,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50"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199,210 shares issuable on the settlement of restricted stock units granted to the Reporting Person. Each restricted stock unit represents a contingent right to receive on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06/05/2020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2020-06-05T15:49:19Z</dcterms:created>
  <dcterms:modified xsi:type="dcterms:W3CDTF">2020-06-05T15:49:19Z</dcterms:modified>
</cp:coreProperties>
</file>