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7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757"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7"/>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6"/>
            <w:vMerge w:val="continue"/>
          </w:tcPr>
          <w:p>
            <w:pPr>
              <w:spacing w:after="0" w:line="20" w:lineRule="exact"/>
              <w:rPr>
                <w:sz w:val="1"/>
                <w:szCs w:val="1"/>
                <w:color w:val="auto"/>
              </w:rPr>
            </w:pPr>
          </w:p>
        </w:tc>
        <w:tc>
          <w:tcPr>
            <w:tcW w:w="366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6"/>
            <w:vMerge w:val="continue"/>
          </w:tcPr>
          <w:p>
            <w:pPr>
              <w:spacing w:after="0"/>
              <w:rPr>
                <w:sz w:val="12"/>
                <w:szCs w:val="12"/>
                <w:color w:val="auto"/>
              </w:rPr>
            </w:pPr>
          </w:p>
        </w:tc>
        <w:tc>
          <w:tcPr>
            <w:tcW w:w="3660" w:type="dxa"/>
            <w:vAlign w:val="bottom"/>
            <w:gridSpan w:val="7"/>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7"/>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0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tcPr>
          <w:p>
            <w:pPr>
              <w:ind w:left="8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01/05/2021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9"/>
              <w:spacing w:after="0"/>
              <w:rPr>
                <w:sz w:val="20"/>
                <w:szCs w:val="20"/>
                <w:color w:val="auto"/>
              </w:rPr>
            </w:pPr>
            <w:r>
              <w:rPr>
                <w:rFonts w:ascii="Arial" w:cs="Arial" w:eastAsia="Arial" w:hAnsi="Arial"/>
                <w:sz w:val="13"/>
                <w:szCs w:val="13"/>
                <w:color w:val="0000FF"/>
              </w:rPr>
              <w:t>A</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126,000</w:t>
            </w:r>
            <w:r>
              <w:rPr>
                <w:rFonts w:ascii="Arial" w:cs="Arial" w:eastAsia="Arial" w:hAnsi="Arial"/>
                <w:sz w:val="22"/>
                <w:szCs w:val="22"/>
                <w:color w:val="008000"/>
                <w:w w:val="88"/>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center"/>
              <w:ind w:left="9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343,878</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7"/>
                <w:szCs w:val="17"/>
                <w:color w:val="0000FF"/>
              </w:rPr>
              <w:t>01/05/2021</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gridSpan w:val="2"/>
            <w:vMerge w:val="restart"/>
          </w:tcPr>
          <w:p>
            <w:pPr>
              <w:jc w:val="center"/>
              <w:ind w:right="279"/>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(3)</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8"/>
              </w:rPr>
              <w:t>24,745</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28.6047</w:t>
            </w:r>
            <w:r>
              <w:rPr>
                <w:rFonts w:ascii="Arial" w:cs="Arial" w:eastAsia="Arial" w:hAnsi="Arial"/>
                <w:sz w:val="22"/>
                <w:szCs w:val="22"/>
                <w:color w:val="008000"/>
                <w:w w:val="87"/>
                <w:vertAlign w:val="superscript"/>
              </w:rPr>
              <w:t>(4)</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131,195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7"/>
                <w:szCs w:val="17"/>
                <w:color w:val="0000FF"/>
              </w:rPr>
              <w:t>01/05/2021</w:t>
            </w: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gridSpan w:val="2"/>
            <w:vMerge w:val="restart"/>
          </w:tcPr>
          <w:p>
            <w:pPr>
              <w:jc w:val="center"/>
              <w:ind w:right="279"/>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(3)</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w w:val="88"/>
              </w:rPr>
              <w:t>15,255</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29.2332</w:t>
            </w:r>
            <w:r>
              <w:rPr>
                <w:rFonts w:ascii="Arial" w:cs="Arial" w:eastAsia="Arial" w:hAnsi="Arial"/>
                <w:sz w:val="22"/>
                <w:szCs w:val="22"/>
                <w:color w:val="008000"/>
                <w:w w:val="87"/>
                <w:vertAlign w:val="superscript"/>
              </w:rPr>
              <w:t>(6)</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115,940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-3669030</wp:posOffset>
            </wp:positionV>
            <wp:extent cx="7031355" cy="3714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7147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2021 and will be released in quarterly installments commencing on May 15, 2021,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281,931 shares issuable on the settlement of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$28.03 to $29.02,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$29.03 to $29.64,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7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2021-01-07T17:31:56Z</dcterms:created>
  <dcterms:modified xsi:type="dcterms:W3CDTF">2021-01-07T17:31:56Z</dcterms:modified>
</cp:coreProperties>
</file>