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18"/>
        </w:rPr>
        <w:t>Date of report (Date of earliest event reported): May 1, 2023</w:t>
      </w:r>
      <w:r>
        <w:rPr>
          <w:color w:val="000000"/>
        </w:rPr>
        <w:t xml:space="preserve">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CellMar>
          <w:top w:w="28" w:type="dxa"/>
          <w:left w:w="28" w:type="dxa"/>
          <w:bottom w:w="28" w:type="dxa"/>
          <w:right w:w="28" w:type="dxa"/>
        </w:tblCellMar>
      </w:tblPr>
      <w:tblGrid>
        <w:gridCol w:w="124"/>
        <w:gridCol w:w="109"/>
        <w:gridCol w:w="109"/>
        <w:gridCol w:w="1904"/>
        <w:gridCol w:w="1904"/>
        <w:gridCol w:w="2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CellMar>
          <w:top w:w="28" w:type="dxa"/>
          <w:left w:w="28" w:type="dxa"/>
          <w:bottom w:w="28" w:type="dxa"/>
          <w:right w:w="28" w:type="dxa"/>
        </w:tblCellMar>
      </w:tblPr>
      <w:tblGrid>
        <w:gridCol w:w="124"/>
        <w:gridCol w:w="109"/>
        <w:gridCol w:w="109"/>
        <w:gridCol w:w="1904"/>
        <w:gridCol w:w="1904"/>
        <w:gridCol w:w="27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CellMar>
          <w:top w:w="28" w:type="dxa"/>
          <w:left w:w="28" w:type="dxa"/>
          <w:bottom w:w="28" w:type="dxa"/>
          <w:right w:w="28" w:type="dxa"/>
        </w:tblCellMar>
      </w:tblPr>
      <w:tblGrid>
        <w:gridCol w:w="124"/>
        <w:gridCol w:w="109"/>
        <w:gridCol w:w="109"/>
        <w:gridCol w:w="2368"/>
        <w:gridCol w:w="2368"/>
        <w:gridCol w:w="33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CellMar>
          <w:top w:w="28" w:type="dxa"/>
          <w:left w:w="28" w:type="dxa"/>
          <w:bottom w:w="28" w:type="dxa"/>
          <w:right w:w="28" w:type="dxa"/>
        </w:tblCellMar>
      </w:tblPr>
      <w:tblGrid>
        <w:gridCol w:w="124"/>
        <w:gridCol w:w="109"/>
        <w:gridCol w:w="109"/>
        <w:gridCol w:w="2350"/>
        <w:gridCol w:w="2350"/>
        <w:gridCol w:w="33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2023, SI-BONE, Inc. (the "Company") issued a press release (the “Press Release”) announcing results for the quarter ended March 31, 2023. A copy of the Press Release is attached as Exhibit 99.1 to this current report on Form 8-K and is incorporated by reference herein.</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07" w:type="dxa"/>
        <w:jc w:val="left"/>
        <w:tblInd w:w="0" w:type="dxa"/>
        <w:tblCellMar>
          <w:top w:w="28" w:type="dxa"/>
          <w:left w:w="28" w:type="dxa"/>
          <w:bottom w:w="28" w:type="dxa"/>
          <w:right w:w="28" w:type="dxa"/>
        </w:tblCellMar>
      </w:tblPr>
      <w:tblGrid>
        <w:gridCol w:w="391"/>
        <w:gridCol w:w="344"/>
        <w:gridCol w:w="346"/>
        <w:gridCol w:w="109"/>
        <w:gridCol w:w="109"/>
        <w:gridCol w:w="109"/>
        <w:gridCol w:w="1927"/>
        <w:gridCol w:w="1927"/>
        <w:gridCol w:w="2745"/>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_sibn3312023earn.htm">
              <w:r>
                <w:rPr>
                  <w:rStyle w:val="InternetLink"/>
                  <w:rFonts w:ascii="Times New Roman;sans-serif" w:hAnsi="Times New Roman;sans-serif"/>
                  <w:b w:val="false"/>
                  <w:color w:val="0000FF"/>
                  <w:sz w:val="20"/>
                  <w:u w:val="single"/>
                </w:rPr>
                <w:t>Press release dated May 1, 2023</w:t>
              </w:r>
            </w:hyperlink>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25" w:type="dxa"/>
        <w:jc w:val="left"/>
        <w:tblInd w:w="0" w:type="dxa"/>
        <w:tblCellMar>
          <w:top w:w="28" w:type="dxa"/>
          <w:left w:w="28" w:type="dxa"/>
          <w:bottom w:w="28" w:type="dxa"/>
          <w:right w:w="28" w:type="dxa"/>
        </w:tblCellMar>
      </w:tblPr>
      <w:tblGrid>
        <w:gridCol w:w="200"/>
        <w:gridCol w:w="177"/>
        <w:gridCol w:w="178"/>
        <w:gridCol w:w="379"/>
        <w:gridCol w:w="379"/>
        <w:gridCol w:w="381"/>
        <w:gridCol w:w="222"/>
        <w:gridCol w:w="222"/>
        <w:gridCol w:w="222"/>
        <w:gridCol w:w="1098"/>
        <w:gridCol w:w="1098"/>
        <w:gridCol w:w="15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r>
      <w:tr>
        <w:trPr/>
        <w:tc>
          <w:tcPr>
            <w:tcW w:w="612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0" w:after="0"/>
        <w:jc w:val="center"/>
        <w:rPr/>
      </w:pPr>
      <w:r>
        <w:rPr/>
        <w:drawing>
          <wp:inline distT="0" distB="6350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SI-BONE, Inc. Reports Financial Results for the First Quarter 2023 and Increases Annual Guidance</w:t>
      </w:r>
    </w:p>
    <w:p>
      <w:pPr>
        <w:pStyle w:val="TextBody"/>
        <w:spacing w:lineRule="auto" w:line="276"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Annual guidance increased to $128 million - $131 million, implying annual growth of 20%-23%</w:t>
      </w:r>
    </w:p>
    <w:p>
      <w:pPr>
        <w:pStyle w:val="TextBody"/>
        <w:spacing w:before="0" w:after="0"/>
        <w:jc w:val="center"/>
        <w:rPr/>
      </w:pPr>
      <w:r>
        <w:rPr/>
      </w:r>
    </w:p>
    <w:p>
      <w:pPr>
        <w:pStyle w:val="TextBody"/>
        <w:spacing w:lineRule="auto" w:line="345" w:before="0" w:after="0"/>
        <w:jc w:val="both"/>
        <w:rPr/>
      </w:pPr>
      <w:r>
        <w:rPr>
          <w:rFonts w:ascii="Times New Roman;sans-serif" w:hAnsi="Times New Roman;sans-serif"/>
          <w:b/>
          <w:color w:val="000000"/>
          <w:sz w:val="22"/>
        </w:rPr>
        <w:t xml:space="preserve">SANTA CLARA, Calif. </w:t>
      </w:r>
      <w:r>
        <w:rPr>
          <w:rFonts w:ascii="Times New Roman;sans-serif" w:hAnsi="Times New Roman;sans-serif"/>
          <w:b w:val="false"/>
          <w:color w:val="000000"/>
          <w:sz w:val="22"/>
        </w:rPr>
        <w:t>May 1, 2023 - SI-BONE, Inc. (Nasdaq:SIBN), a medical device company dedicated to solving musculoskeletal disorders of the sacropelvic anatomy, today reported financial results for the quarter ended March 31, 2023.</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Recent Highlights </w:t>
      </w:r>
    </w:p>
    <w:p>
      <w:pPr>
        <w:pStyle w:val="TextBody"/>
        <w:spacing w:lineRule="auto" w:line="345" w:before="0" w:after="0"/>
        <w:ind w:left="0" w:right="0" w:hanging="450"/>
        <w:jc w:val="both"/>
        <w:rPr/>
      </w:pPr>
      <w:r>
        <w:rPr>
          <w:color w:val="000000"/>
        </w:rPr>
        <w:t>•</w:t>
      </w:r>
      <w:r>
        <w:rPr>
          <w:rFonts w:ascii="Times New Roman;sans-serif" w:hAnsi="Times New Roman;sans-serif"/>
          <w:b w:val="false"/>
          <w:color w:val="000000"/>
          <w:sz w:val="22"/>
        </w:rPr>
        <w:t>Record world</w:t>
      </w:r>
      <w:r>
        <w:rPr>
          <w:rFonts w:ascii="Times New Roman;sans-serif" w:hAnsi="Times New Roman;sans-serif"/>
          <w:b w:val="false"/>
          <w:color w:val="000000"/>
          <w:sz w:val="22"/>
          <w:highlight w:val="white"/>
        </w:rPr>
        <w:t>wide revenue of $32.7 million for the first quarter 2023, representing approximately 46% increase over the corresponding period in 2022</w:t>
      </w:r>
    </w:p>
    <w:p>
      <w:pPr>
        <w:pStyle w:val="TextBody"/>
        <w:spacing w:lineRule="auto" w:line="345" w:before="0" w:after="0"/>
        <w:ind w:left="0" w:right="0" w:hanging="450"/>
        <w:jc w:val="both"/>
        <w:rPr/>
      </w:pPr>
      <w:r>
        <w:rPr>
          <w:color w:val="000000"/>
          <w:highlight w:val="white"/>
        </w:rPr>
        <w:t>•</w:t>
      </w:r>
      <w:r>
        <w:rPr>
          <w:rFonts w:ascii="Times New Roman;sans-serif" w:hAnsi="Times New Roman;sans-serif"/>
          <w:b w:val="false"/>
          <w:color w:val="000000"/>
          <w:sz w:val="22"/>
          <w:highlight w:val="white"/>
        </w:rPr>
        <w:t xml:space="preserve">Record U.S. revenue of $30.5 million for the first quarter 2023, representing approximately 50% increase over the corresponding period in 2022 </w:t>
      </w:r>
    </w:p>
    <w:p>
      <w:pPr>
        <w:pStyle w:val="TextBody"/>
        <w:spacing w:lineRule="auto" w:line="345" w:before="0" w:after="0"/>
        <w:ind w:left="0" w:right="0" w:hanging="450"/>
        <w:jc w:val="both"/>
        <w:rPr/>
      </w:pPr>
      <w:r>
        <w:rPr>
          <w:color w:val="000000"/>
          <w:highlight w:val="white"/>
        </w:rPr>
        <w:t>•</w:t>
      </w:r>
      <w:r>
        <w:rPr>
          <w:rFonts w:ascii="Times New Roman;sans-serif" w:hAnsi="Times New Roman;sans-serif"/>
          <w:b w:val="false"/>
          <w:color w:val="000000"/>
          <w:sz w:val="22"/>
          <w:highlight w:val="white"/>
        </w:rPr>
        <w:t>Gross margin of 82% for the first quarter 2023</w:t>
      </w:r>
    </w:p>
    <w:p>
      <w:pPr>
        <w:pStyle w:val="TextBody"/>
        <w:spacing w:lineRule="auto" w:line="345" w:before="0" w:after="0"/>
        <w:ind w:left="0" w:right="0" w:hanging="450"/>
        <w:jc w:val="both"/>
        <w:rPr/>
      </w:pPr>
      <w:r>
        <w:rPr>
          <w:color w:val="000000"/>
          <w:highlight w:val="white"/>
        </w:rPr>
        <w:t>•</w:t>
      </w:r>
      <w:r>
        <w:rPr>
          <w:rFonts w:ascii="Times New Roman;sans-serif" w:hAnsi="Times New Roman;sans-serif"/>
          <w:b w:val="false"/>
          <w:color w:val="000000"/>
          <w:sz w:val="22"/>
          <w:highlight w:val="white"/>
        </w:rPr>
        <w:t xml:space="preserve">Over </w:t>
      </w:r>
      <w:r>
        <w:rPr>
          <w:rFonts w:ascii="Times New Roman;sans-serif" w:hAnsi="Times New Roman;sans-serif"/>
          <w:b w:val="false"/>
          <w:color w:val="000000"/>
          <w:sz w:val="22"/>
        </w:rPr>
        <w:t>950</w:t>
      </w:r>
      <w:r>
        <w:rPr>
          <w:color w:val="000000"/>
          <w:highlight w:val="white"/>
        </w:rPr>
        <w:t xml:space="preserve"> </w:t>
      </w:r>
      <w:r>
        <w:rPr>
          <w:rFonts w:ascii="Times New Roman;sans-serif" w:hAnsi="Times New Roman;sans-serif"/>
          <w:b w:val="false"/>
          <w:color w:val="000000"/>
          <w:sz w:val="22"/>
          <w:highlight w:val="white"/>
        </w:rPr>
        <w:t xml:space="preserve">U.S. active surgeons in the first quarter 2023, representing approximately </w:t>
      </w:r>
      <w:r>
        <w:rPr>
          <w:rFonts w:ascii="Times New Roman;sans-serif" w:hAnsi="Times New Roman;sans-serif"/>
          <w:b w:val="false"/>
          <w:color w:val="000000"/>
          <w:sz w:val="22"/>
        </w:rPr>
        <w:t>40%</w:t>
      </w:r>
      <w:r>
        <w:rPr>
          <w:color w:val="000000"/>
          <w:highlight w:val="white"/>
        </w:rPr>
        <w:t xml:space="preserve"> </w:t>
      </w:r>
      <w:r>
        <w:rPr>
          <w:rFonts w:ascii="Times New Roman;sans-serif" w:hAnsi="Times New Roman;sans-serif"/>
          <w:b w:val="false"/>
          <w:color w:val="000000"/>
          <w:sz w:val="22"/>
          <w:highlight w:val="white"/>
        </w:rPr>
        <w:t>growth over the corresponding period in 2022</w:t>
      </w:r>
    </w:p>
    <w:p>
      <w:pPr>
        <w:pStyle w:val="TextBody"/>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Extended first-generation iFuse patent protection to December 2025, with iFuse-3D patent coverage to September 2035 </w:t>
      </w:r>
    </w:p>
    <w:p>
      <w:pPr>
        <w:pStyle w:val="TextBody"/>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Celebrating our 15-year commitment to pioneering solutions for sacropelvic conditions through the industry's most innovative portfolio, with over 80,000 procedures completed by over 3,000 surgeons worldwide </w:t>
      </w:r>
    </w:p>
    <w:p>
      <w:pPr>
        <w:pStyle w:val="TextBody"/>
        <w:spacing w:lineRule="auto" w:line="345" w:before="0" w:after="0"/>
        <w:jc w:val="both"/>
        <w:rPr>
          <w:color w:val="000000"/>
        </w:rPr>
      </w:pPr>
      <w:r>
        <w:rPr>
          <w:color w:val="000000"/>
        </w:rPr>
        <w:t>“</w:t>
      </w:r>
      <w:r>
        <w:rPr>
          <w:rFonts w:ascii="Times New Roman;sans-serif" w:hAnsi="Times New Roman;sans-serif"/>
          <w:b w:val="false"/>
          <w:color w:val="000000"/>
          <w:sz w:val="22"/>
        </w:rPr>
        <w:t xml:space="preserve">I am thrilled with our stellar start to 2023, as record procedure demand in the quarter allowed us to deliver approximately 50% U.S. revenue growth and achieve significant operating leverage,” said Laura Francis, Chief Executive Officer of SI-BONE. “The continued trend of accelerating revenue growth over the last several quarters is a testament to the perseverance and grit of our dedicated team members and the strong reception for our expanded portfolio of solutions. With yet another quarter of record increase in our active surgeon base combined with the favorable reimbursement framework, we are at an inflection in the business. These trends solidify my conviction in our ability to deliver strong and sustainable growth and drive operating leverage as we progress through the year." </w:t>
      </w:r>
    </w:p>
    <w:p>
      <w:pPr>
        <w:pStyle w:val="TextBody"/>
        <w:spacing w:before="0" w:after="0"/>
        <w:jc w:val="both"/>
        <w:rPr/>
      </w:pPr>
      <w:r>
        <w:rPr/>
      </w:r>
    </w:p>
    <w:p>
      <w:pPr>
        <w:pStyle w:val="TextBody"/>
        <w:spacing w:lineRule="auto" w:line="312" w:before="0" w:after="0"/>
        <w:jc w:val="both"/>
        <w:rPr>
          <w:rFonts w:ascii="Times New Roman;sans-serif" w:hAnsi="Times New Roman;sans-serif"/>
          <w:b/>
          <w:color w:val="000000"/>
          <w:sz w:val="22"/>
        </w:rPr>
      </w:pPr>
      <w:r>
        <w:rPr>
          <w:rFonts w:ascii="Times New Roman;sans-serif" w:hAnsi="Times New Roman;sans-serif"/>
          <w:b/>
          <w:color w:val="000000"/>
          <w:sz w:val="22"/>
        </w:rPr>
        <w:t>First Quarter 2023 Financial Results</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Worldwide revenue was $32.7 million in the first quarter 2023, a 46% increase from $22.4 million in the corresponding period in 2022. U.S. revenue for the first quarter 2023 was $30.5 million, a 50% increase from $20.4 million in the corresponding period in 2022. International revenue for the first quarter 2023 was $2.3 million, a 9% increase from $2.1 million in the corresponding period in 2022.</w:t>
      </w:r>
    </w:p>
    <w:p>
      <w:pPr>
        <w:pStyle w:val="TextBody"/>
        <w:spacing w:before="0" w:after="0"/>
        <w:jc w:val="both"/>
        <w:rPr/>
      </w:pPr>
      <w:r>
        <w:rPr/>
      </w:r>
    </w:p>
    <w:p>
      <w:pPr>
        <w:pStyle w:val="TextBody"/>
        <w:spacing w:lineRule="auto" w:line="345"/>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Gross margin was 82% for the first quarter 2023, as compared to 87% in the corresponding period in 2022. Gross margin in the first quarter 2023 was impacted by procedure and product mix given the higher total costs of the newly launched implants. Gross margin also includes the impact of higher depreciation from instrument trays to support the growth of the business, depreciation associated with our second facility in Santa Clara, and higher freight costs.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expenses increased 5% to $38.1 million in the first quarter 2023, as compared to $36.3 million in the corresponding period in 2022. The increase was primarily driven by increase in sales commission and stock-based compensation from higher headcount, and increase in travel costs. </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improved by 33% to $11.3 million in the first quarter 2023, as compared to an operating loss of $16.9 million in the corresponding period in 2022.</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loss was $11.1 million, or $0.32 per diluted share for the first quarter 2023, as compared to a net loss of $17.4 million, or $0.52 per diluted share in the corresponding period in 2022. </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loss was negative $3.9 million, in the first quarter 2023, as compared to an adjusted EBITDA loss of negative $10.7 million, in the corresponding period in 2022. </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and marketable securities were $86.0 million and borrowings were $35.9 million as of March 31, 2023.</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2023 Updated Financial Guidance</w:t>
      </w:r>
    </w:p>
    <w:p>
      <w:pPr>
        <w:pStyle w:val="TextBody"/>
        <w:spacing w:before="0" w:after="0"/>
        <w:rPr/>
      </w:pPr>
      <w:r>
        <w:rPr/>
      </w:r>
    </w:p>
    <w:p>
      <w:pPr>
        <w:pStyle w:val="TextBody"/>
        <w:spacing w:lineRule="auto" w:line="36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on the first quarter of 2023 results, SI-BONE is updating its 2023 worldwide revenue guidance to be in the range of $128 million to $131 million, implying growth of approximately 20% to 23%. SI-BONE is maintaining its guidance for fiscal year 2023 gross margin of approximately 80% and improving adjusted EBITDA loss.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Webcast Information</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will host a conference call to discuss the first quarter 2023 financial results after market close on Monday, May 1, 2023 at 4:30 P.M. Eastern Time. The conference call can be accessed live over webcast at https://edge.media-server.com/mmc/p/ev5vig6x. Live audio of the webcast will be available on the “Investors” section of the company’s website at: www.si-bone.com. The webcast will be archived and available for replay for at least 90 days after the event.</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About SI-BONE, Inc.</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(NASDAQ: SIBN) is a global leader in technology for surgical treatment of musculoskeletal disorders of the sacropelvic anatomy. Since pioneering minimally invasive SI joint surgery in 2009, SI-BONE has supported over 3,000 surgeons in performing a total of over 80,000 sacropelvic procedures. A unique body of clinical evidence supports the use of SI-BONE’s technologies, including two randomized controlled trials and over 120 peer reviewed publications. SI-BONE has leveraged its leadership in minimally invasive SI joint fusion to commercialize novel solutions for adjacent markets, including adult deformity, spinopelvic fixation and pelvic trauma.</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additional information on the company or the products including risks and benefits, please visit www.si-bone.com.</w:t>
      </w:r>
    </w:p>
    <w:p>
      <w:pPr>
        <w:pStyle w:val="TextBody"/>
        <w:spacing w:before="0" w:after="0"/>
        <w:jc w:val="both"/>
        <w:rPr/>
      </w:pPr>
      <w:r>
        <w:rPr/>
      </w:r>
    </w:p>
    <w:p>
      <w:pPr>
        <w:pStyle w:val="TextBody"/>
        <w:spacing w:lineRule="auto" w:line="345"/>
        <w:jc w:val="both"/>
        <w:rPr>
          <w:rFonts w:ascii="Times New Roman;sans-serif" w:hAnsi="Times New Roman;sans-serif"/>
          <w:b w:val="false"/>
          <w:color w:val="000000"/>
          <w:sz w:val="22"/>
        </w:rPr>
      </w:pPr>
      <w:r>
        <w:rPr>
          <w:rFonts w:ascii="Times New Roman;sans-serif" w:hAnsi="Times New Roman;sans-serif"/>
          <w:b w:val="false"/>
          <w:color w:val="000000"/>
          <w:sz w:val="22"/>
        </w:rPr>
        <w:t>SI-BONE is a registered trademark of SI-BONE, Inc. ©2023 SI-BONE, Inc. All Rights Reserved.</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Use of Non-GAAP Financial Measures</w:t>
      </w:r>
    </w:p>
    <w:p>
      <w:pPr>
        <w:pStyle w:val="TextBody"/>
        <w:spacing w:before="0" w:after="0"/>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Investor Contact</w:t>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Saqib Iqbal</w:t>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Sr. Director, FP&amp;A and Investor Relations</w:t>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investors@SI-BONE.com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462"/>
        <w:gridCol w:w="2069"/>
        <w:gridCol w:w="2049"/>
        <w:gridCol w:w="240"/>
        <w:gridCol w:w="841"/>
        <w:gridCol w:w="109"/>
        <w:gridCol w:w="109"/>
        <w:gridCol w:w="109"/>
        <w:gridCol w:w="109"/>
        <w:gridCol w:w="240"/>
        <w:gridCol w:w="841"/>
        <w:gridCol w:w="109"/>
        <w:gridCol w:w="109"/>
        <w:gridCol w:w="109"/>
        <w:gridCol w:w="109"/>
        <w:gridCol w:w="109"/>
        <w:gridCol w:w="109"/>
        <w:gridCol w:w="109"/>
        <w:gridCol w:w="109"/>
        <w:gridCol w:w="155"/>
      </w:tblGrid>
      <w:tr>
        <w:trPr/>
        <w:tc>
          <w:tcPr>
            <w:tcW w:w="2462"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gridSpan w:val="4"/>
            <w:tcBorders/>
            <w:shd w:fill="auto" w:val="clear"/>
          </w:tcPr>
          <w:p>
            <w:pPr>
              <w:pStyle w:val="TableContents"/>
              <w:spacing w:before="0" w:after="283"/>
              <w:rPr>
                <w:sz w:val="4"/>
                <w:szCs w:val="4"/>
              </w:rPr>
            </w:pPr>
            <w:r>
              <w:rPr>
                <w:sz w:val="4"/>
                <w:szCs w:val="4"/>
              </w:rPr>
            </w:r>
          </w:p>
        </w:tc>
      </w:tr>
      <w:tr>
        <w:trPr/>
        <w:tc>
          <w:tcPr>
            <w:tcW w:w="6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34,916,106 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33,792,326 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914" w:type="dxa"/>
        <w:jc w:val="center"/>
        <w:tblInd w:w="0" w:type="dxa"/>
        <w:tblCellMar>
          <w:top w:w="28" w:type="dxa"/>
          <w:left w:w="28" w:type="dxa"/>
          <w:bottom w:w="28" w:type="dxa"/>
          <w:right w:w="28" w:type="dxa"/>
        </w:tblCellMar>
      </w:tblPr>
      <w:tblGrid>
        <w:gridCol w:w="1707"/>
        <w:gridCol w:w="1497"/>
        <w:gridCol w:w="1505"/>
        <w:gridCol w:w="237"/>
        <w:gridCol w:w="930"/>
        <w:gridCol w:w="122"/>
        <w:gridCol w:w="109"/>
        <w:gridCol w:w="109"/>
        <w:gridCol w:w="109"/>
        <w:gridCol w:w="281"/>
        <w:gridCol w:w="1103"/>
        <w:gridCol w:w="205"/>
      </w:tblGrid>
      <w:tr>
        <w:trPr/>
        <w:tc>
          <w:tcPr>
            <w:tcW w:w="1707"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20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(368,230)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RECONCILIATION OF NET LOSS TO NON-GAAP ADJUSTED EBITDA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5975" w:type="dxa"/>
        <w:jc w:val="center"/>
        <w:tblInd w:w="0" w:type="dxa"/>
        <w:tblCellMar>
          <w:top w:w="28" w:type="dxa"/>
          <w:left w:w="28" w:type="dxa"/>
          <w:bottom w:w="28" w:type="dxa"/>
          <w:right w:w="28" w:type="dxa"/>
        </w:tblCellMar>
      </w:tblPr>
      <w:tblGrid>
        <w:gridCol w:w="941"/>
        <w:gridCol w:w="821"/>
        <w:gridCol w:w="832"/>
        <w:gridCol w:w="109"/>
        <w:gridCol w:w="109"/>
        <w:gridCol w:w="109"/>
        <w:gridCol w:w="212"/>
        <w:gridCol w:w="802"/>
        <w:gridCol w:w="109"/>
        <w:gridCol w:w="109"/>
        <w:gridCol w:w="109"/>
        <w:gridCol w:w="109"/>
        <w:gridCol w:w="212"/>
        <w:gridCol w:w="802"/>
        <w:gridCol w:w="109"/>
        <w:gridCol w:w="109"/>
        <w:gridCol w:w="109"/>
        <w:gridCol w:w="109"/>
        <w:gridCol w:w="154"/>
      </w:tblGrid>
      <w:tr>
        <w:trPr/>
        <w:tc>
          <w:tcPr>
            <w:tcW w:w="94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2164</Words>
  <CharactersWithSpaces>14708</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