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01/06/2023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57,478</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146,965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01/06/2023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19,159</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166,124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January 1, 2023, and will be released in quarterly installments, subject to the Reporting Person's continued service through each relevant vesting date.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if at all, over three years based on the Issuer's total shareholder return (TSR) as measured against the TSR of the company at the median of the range TSRs of a set of peer companies established by the Issuer as set forth in the grant.</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148,435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01/09/2023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53089"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2023-01-09T17:49:47Z</dcterms:created>
  <dcterms:modified xsi:type="dcterms:W3CDTF">2023-01-09T17:49:47Z</dcterms:modified>
</cp:coreProperties>
</file>