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5"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June 9, 2023</w:t>
      </w:r>
    </w:p>
    <w:p>
      <w:pPr>
        <w:spacing w:after="0" w:line="26"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SI-BONE, INC.</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Arial" w:cs="Arial" w:eastAsia="Arial" w:hAnsi="Arial"/>
          <w:sz w:val="14"/>
          <w:szCs w:val="14"/>
          <w:color w:val="auto"/>
        </w:rPr>
        <w:t>____________________________________________________________________________</w:t>
      </w:r>
    </w:p>
    <w:p>
      <w:pPr>
        <w:spacing w:after="0" w:line="61" w:lineRule="exact"/>
        <w:rPr>
          <w:sz w:val="24"/>
          <w:szCs w:val="24"/>
          <w:color w:val="auto"/>
        </w:rPr>
      </w:pPr>
    </w:p>
    <w:tbl>
      <w:tblPr>
        <w:tblLayout w:type="fixed"/>
        <w:tblInd w:w="720" w:type="dxa"/>
        <w:tblCellMar>
          <w:top w:w="0" w:type="dxa"/>
          <w:left w:w="0" w:type="dxa"/>
          <w:bottom w:w="0" w:type="dxa"/>
          <w:right w:w="0" w:type="dxa"/>
        </w:tblCellMar>
      </w:tblPr>
      <w:tr>
        <w:trPr>
          <w:trHeight w:val="210"/>
        </w:trPr>
        <w:tc>
          <w:tcPr>
            <w:tcW w:w="2340" w:type="dxa"/>
            <w:vAlign w:val="bottom"/>
          </w:tcPr>
          <w:p>
            <w:pPr>
              <w:jc w:val="center"/>
              <w:ind w:right="299"/>
              <w:spacing w:after="0"/>
              <w:rPr>
                <w:sz w:val="20"/>
                <w:szCs w:val="20"/>
                <w:color w:val="auto"/>
              </w:rPr>
            </w:pPr>
            <w:r>
              <w:rPr>
                <w:rFonts w:ascii="Arial" w:cs="Arial" w:eastAsia="Arial" w:hAnsi="Arial"/>
                <w:sz w:val="16"/>
                <w:szCs w:val="16"/>
                <w:b w:val="1"/>
                <w:bCs w:val="1"/>
                <w:color w:val="auto"/>
                <w:w w:val="91"/>
              </w:rPr>
              <w:t>Delaware</w:t>
            </w:r>
          </w:p>
        </w:tc>
        <w:tc>
          <w:tcPr>
            <w:tcW w:w="51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001-38701</w:t>
            </w:r>
          </w:p>
        </w:tc>
        <w:tc>
          <w:tcPr>
            <w:tcW w:w="1720" w:type="dxa"/>
            <w:vAlign w:val="bottom"/>
          </w:tcPr>
          <w:p>
            <w:pPr>
              <w:jc w:val="center"/>
              <w:ind w:left="439"/>
              <w:spacing w:after="0"/>
              <w:rPr>
                <w:sz w:val="20"/>
                <w:szCs w:val="20"/>
                <w:color w:val="auto"/>
              </w:rPr>
            </w:pPr>
            <w:r>
              <w:rPr>
                <w:rFonts w:ascii="Arial" w:cs="Arial" w:eastAsia="Arial" w:hAnsi="Arial"/>
                <w:sz w:val="16"/>
                <w:szCs w:val="16"/>
                <w:b w:val="1"/>
                <w:bCs w:val="1"/>
                <w:color w:val="auto"/>
                <w:w w:val="93"/>
              </w:rPr>
              <w:t>26-2216351</w:t>
            </w:r>
          </w:p>
        </w:tc>
      </w:tr>
      <w:tr>
        <w:trPr>
          <w:trHeight w:val="172"/>
        </w:trPr>
        <w:tc>
          <w:tcPr>
            <w:tcW w:w="2340" w:type="dxa"/>
            <w:vAlign w:val="bottom"/>
          </w:tcPr>
          <w:p>
            <w:pPr>
              <w:jc w:val="center"/>
              <w:ind w:right="299"/>
              <w:spacing w:after="0" w:line="171" w:lineRule="exact"/>
              <w:rPr>
                <w:sz w:val="20"/>
                <w:szCs w:val="20"/>
                <w:color w:val="auto"/>
              </w:rPr>
            </w:pPr>
            <w:r>
              <w:rPr>
                <w:rFonts w:ascii="Arial" w:cs="Arial" w:eastAsia="Arial" w:hAnsi="Arial"/>
                <w:sz w:val="16"/>
                <w:szCs w:val="16"/>
                <w:color w:val="auto"/>
                <w:w w:val="93"/>
              </w:rPr>
              <w:t>(State or other jurisdiction of</w:t>
            </w:r>
          </w:p>
        </w:tc>
        <w:tc>
          <w:tcPr>
            <w:tcW w:w="5180" w:type="dxa"/>
            <w:vAlign w:val="bottom"/>
          </w:tcPr>
          <w:p>
            <w:pPr>
              <w:jc w:val="center"/>
              <w:ind w:right="79"/>
              <w:spacing w:after="0" w:line="171" w:lineRule="exact"/>
              <w:rPr>
                <w:sz w:val="20"/>
                <w:szCs w:val="20"/>
                <w:color w:val="auto"/>
              </w:rPr>
            </w:pPr>
            <w:r>
              <w:rPr>
                <w:rFonts w:ascii="Arial" w:cs="Arial" w:eastAsia="Arial" w:hAnsi="Arial"/>
                <w:sz w:val="16"/>
                <w:szCs w:val="16"/>
                <w:color w:val="auto"/>
                <w:w w:val="92"/>
              </w:rPr>
              <w:t>(Commission</w:t>
            </w:r>
          </w:p>
        </w:tc>
        <w:tc>
          <w:tcPr>
            <w:tcW w:w="1720" w:type="dxa"/>
            <w:vAlign w:val="bottom"/>
          </w:tcPr>
          <w:p>
            <w:pPr>
              <w:jc w:val="center"/>
              <w:ind w:left="439"/>
              <w:spacing w:after="0" w:line="171" w:lineRule="exact"/>
              <w:rPr>
                <w:sz w:val="20"/>
                <w:szCs w:val="20"/>
                <w:color w:val="auto"/>
              </w:rPr>
            </w:pPr>
            <w:r>
              <w:rPr>
                <w:rFonts w:ascii="Arial" w:cs="Arial" w:eastAsia="Arial" w:hAnsi="Arial"/>
                <w:sz w:val="16"/>
                <w:szCs w:val="16"/>
                <w:color w:val="auto"/>
                <w:w w:val="95"/>
              </w:rPr>
              <w:t>(I.R.S. Employer</w:t>
            </w:r>
          </w:p>
        </w:tc>
      </w:tr>
      <w:tr>
        <w:trPr>
          <w:trHeight w:val="206"/>
        </w:trPr>
        <w:tc>
          <w:tcPr>
            <w:tcW w:w="2340" w:type="dxa"/>
            <w:vAlign w:val="bottom"/>
          </w:tcPr>
          <w:p>
            <w:pPr>
              <w:jc w:val="center"/>
              <w:ind w:right="299"/>
              <w:spacing w:after="0"/>
              <w:rPr>
                <w:sz w:val="20"/>
                <w:szCs w:val="20"/>
                <w:color w:val="auto"/>
              </w:rPr>
            </w:pPr>
            <w:r>
              <w:rPr>
                <w:rFonts w:ascii="Arial" w:cs="Arial" w:eastAsia="Arial" w:hAnsi="Arial"/>
                <w:sz w:val="16"/>
                <w:szCs w:val="16"/>
                <w:color w:val="auto"/>
                <w:w w:val="94"/>
              </w:rPr>
              <w:t>incorporation or organization)</w:t>
            </w:r>
          </w:p>
        </w:tc>
        <w:tc>
          <w:tcPr>
            <w:tcW w:w="5180" w:type="dxa"/>
            <w:vAlign w:val="bottom"/>
          </w:tcPr>
          <w:p>
            <w:pPr>
              <w:jc w:val="center"/>
              <w:ind w:right="99"/>
              <w:spacing w:after="0"/>
              <w:rPr>
                <w:sz w:val="20"/>
                <w:szCs w:val="20"/>
                <w:color w:val="auto"/>
              </w:rPr>
            </w:pPr>
            <w:r>
              <w:rPr>
                <w:rFonts w:ascii="Arial" w:cs="Arial" w:eastAsia="Arial" w:hAnsi="Arial"/>
                <w:sz w:val="16"/>
                <w:szCs w:val="16"/>
                <w:color w:val="auto"/>
                <w:w w:val="95"/>
              </w:rPr>
              <w:t>File Number)</w:t>
            </w:r>
          </w:p>
        </w:tc>
        <w:tc>
          <w:tcPr>
            <w:tcW w:w="1720" w:type="dxa"/>
            <w:vAlign w:val="bottom"/>
          </w:tcPr>
          <w:p>
            <w:pPr>
              <w:jc w:val="center"/>
              <w:ind w:left="439"/>
              <w:spacing w:after="0"/>
              <w:rPr>
                <w:sz w:val="20"/>
                <w:szCs w:val="20"/>
                <w:color w:val="auto"/>
              </w:rPr>
            </w:pPr>
            <w:r>
              <w:rPr>
                <w:rFonts w:ascii="Arial" w:cs="Arial" w:eastAsia="Arial" w:hAnsi="Arial"/>
                <w:sz w:val="16"/>
                <w:szCs w:val="16"/>
                <w:color w:val="auto"/>
                <w:w w:val="96"/>
              </w:rPr>
              <w:t>Identification No.)</w:t>
            </w:r>
          </w:p>
        </w:tc>
      </w:tr>
      <w:tr>
        <w:trPr>
          <w:trHeight w:val="519"/>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471 El Camino Real</w:t>
            </w:r>
          </w:p>
        </w:tc>
        <w:tc>
          <w:tcPr>
            <w:tcW w:w="1720" w:type="dxa"/>
            <w:vAlign w:val="bottom"/>
          </w:tcPr>
          <w:p>
            <w:pPr>
              <w:spacing w:after="0"/>
              <w:rPr>
                <w:sz w:val="24"/>
                <w:szCs w:val="24"/>
                <w:color w:val="auto"/>
              </w:rPr>
            </w:pPr>
          </w:p>
        </w:tc>
      </w:tr>
      <w:tr>
        <w:trPr>
          <w:trHeight w:val="203"/>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Suite 101</w:t>
            </w:r>
          </w:p>
        </w:tc>
        <w:tc>
          <w:tcPr>
            <w:tcW w:w="1720" w:type="dxa"/>
            <w:vAlign w:val="bottom"/>
          </w:tcPr>
          <w:p>
            <w:pPr>
              <w:spacing w:after="0"/>
              <w:rPr>
                <w:sz w:val="17"/>
                <w:szCs w:val="17"/>
                <w:color w:val="auto"/>
              </w:rPr>
            </w:pPr>
          </w:p>
        </w:tc>
      </w:tr>
      <w:tr>
        <w:trPr>
          <w:trHeight w:val="193"/>
        </w:trPr>
        <w:tc>
          <w:tcPr>
            <w:tcW w:w="2340" w:type="dxa"/>
            <w:vAlign w:val="bottom"/>
          </w:tcPr>
          <w:p>
            <w:pPr>
              <w:spacing w:after="0"/>
              <w:rPr>
                <w:sz w:val="16"/>
                <w:szCs w:val="16"/>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Santa Clara, CA 95050</w:t>
            </w:r>
          </w:p>
        </w:tc>
        <w:tc>
          <w:tcPr>
            <w:tcW w:w="1720" w:type="dxa"/>
            <w:vAlign w:val="bottom"/>
          </w:tcPr>
          <w:p>
            <w:pPr>
              <w:spacing w:after="0"/>
              <w:rPr>
                <w:sz w:val="16"/>
                <w:szCs w:val="16"/>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color w:val="auto"/>
                <w:w w:val="93"/>
              </w:rPr>
              <w:t>(Address of principal executive offices) (Zip Code)</w:t>
            </w:r>
          </w:p>
        </w:tc>
        <w:tc>
          <w:tcPr>
            <w:tcW w:w="1720" w:type="dxa"/>
            <w:vAlign w:val="bottom"/>
          </w:tcPr>
          <w:p>
            <w:pPr>
              <w:spacing w:after="0"/>
              <w:rPr>
                <w:sz w:val="17"/>
                <w:szCs w:val="17"/>
                <w:color w:val="auto"/>
              </w:rPr>
            </w:pPr>
          </w:p>
        </w:tc>
      </w:tr>
      <w:tr>
        <w:trPr>
          <w:trHeight w:val="428"/>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(408) 207-0700</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0"/>
              </w:rPr>
              <w:t>(Registrant’s telephone number, include area code)</w:t>
            </w:r>
          </w:p>
        </w:tc>
        <w:tc>
          <w:tcPr>
            <w:tcW w:w="1720" w:type="dxa"/>
            <w:vAlign w:val="bottom"/>
          </w:tcPr>
          <w:p>
            <w:pPr>
              <w:spacing w:after="0"/>
              <w:rPr>
                <w:sz w:val="17"/>
                <w:szCs w:val="17"/>
                <w:color w:val="auto"/>
              </w:rPr>
            </w:pPr>
          </w:p>
        </w:tc>
      </w:tr>
      <w:tr>
        <w:trPr>
          <w:trHeight w:val="428"/>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Arial" w:cs="Arial" w:eastAsia="Arial" w:hAnsi="Arial"/>
                <w:sz w:val="16"/>
                <w:szCs w:val="16"/>
                <w:b w:val="1"/>
                <w:bCs w:val="1"/>
                <w:color w:val="auto"/>
              </w:rPr>
              <w:t>N/A</w:t>
            </w:r>
          </w:p>
        </w:tc>
        <w:tc>
          <w:tcPr>
            <w:tcW w:w="1720" w:type="dxa"/>
            <w:vAlign w:val="bottom"/>
          </w:tcPr>
          <w:p>
            <w:pPr>
              <w:spacing w:after="0"/>
              <w:rPr>
                <w:sz w:val="24"/>
                <w:szCs w:val="24"/>
                <w:color w:val="auto"/>
              </w:rPr>
            </w:pPr>
          </w:p>
        </w:tc>
      </w:tr>
      <w:tr>
        <w:trPr>
          <w:trHeight w:val="206"/>
        </w:trPr>
        <w:tc>
          <w:tcPr>
            <w:tcW w:w="2340" w:type="dxa"/>
            <w:vAlign w:val="bottom"/>
          </w:tcPr>
          <w:p>
            <w:pPr>
              <w:spacing w:after="0"/>
              <w:rPr>
                <w:sz w:val="17"/>
                <w:szCs w:val="17"/>
                <w:color w:val="auto"/>
              </w:rPr>
            </w:pPr>
          </w:p>
        </w:tc>
        <w:tc>
          <w:tcPr>
            <w:tcW w:w="5180" w:type="dxa"/>
            <w:vAlign w:val="bottom"/>
          </w:tcPr>
          <w:p>
            <w:pPr>
              <w:jc w:val="center"/>
              <w:ind w:right="39"/>
              <w:spacing w:after="0"/>
              <w:rPr>
                <w:sz w:val="20"/>
                <w:szCs w:val="20"/>
                <w:color w:val="auto"/>
              </w:rPr>
            </w:pPr>
            <w:r>
              <w:rPr>
                <w:rFonts w:ascii="Arial" w:cs="Arial" w:eastAsia="Arial" w:hAnsi="Arial"/>
                <w:sz w:val="16"/>
                <w:szCs w:val="16"/>
                <w:color w:val="auto"/>
                <w:w w:val="91"/>
              </w:rPr>
              <w:t>(Former Name or Former Address, if Changed Since Last Report)</w:t>
            </w:r>
          </w:p>
        </w:tc>
        <w:tc>
          <w:tcPr>
            <w:tcW w:w="1720" w:type="dxa"/>
            <w:vAlign w:val="bottom"/>
          </w:tcPr>
          <w:p>
            <w:pPr>
              <w:spacing w:after="0"/>
              <w:rPr>
                <w:sz w:val="17"/>
                <w:szCs w:val="17"/>
                <w:color w:val="auto"/>
              </w:rPr>
            </w:pPr>
          </w:p>
        </w:tc>
      </w:tr>
    </w:tbl>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57" w:lineRule="exact"/>
        <w:rPr>
          <w:sz w:val="24"/>
          <w:szCs w:val="24"/>
          <w:color w:val="auto"/>
        </w:rPr>
      </w:pPr>
    </w:p>
    <w:p>
      <w:pPr>
        <w:ind w:left="1580" w:hanging="595"/>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80" w:hanging="595"/>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53" w:lineRule="exact"/>
        <w:rPr>
          <w:rFonts w:ascii="MS PGothic" w:cs="MS PGothic" w:eastAsia="MS PGothic" w:hAnsi="MS PGothic"/>
          <w:sz w:val="16"/>
          <w:szCs w:val="16"/>
          <w:color w:val="auto"/>
        </w:rPr>
      </w:pPr>
    </w:p>
    <w:p>
      <w:pPr>
        <w:ind w:left="1580" w:hanging="595"/>
        <w:spacing w:after="0"/>
        <w:tabs>
          <w:tab w:leader="none" w:pos="15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40" w:lineRule="exact"/>
        <w:rPr>
          <w:rFonts w:ascii="MS PGothic" w:cs="MS PGothic" w:eastAsia="MS PGothic" w:hAnsi="MS PGothic"/>
          <w:sz w:val="16"/>
          <w:szCs w:val="16"/>
          <w:color w:val="auto"/>
        </w:rPr>
      </w:pPr>
    </w:p>
    <w:p>
      <w:pPr>
        <w:ind w:left="1600" w:hanging="591"/>
        <w:spacing w:after="0"/>
        <w:tabs>
          <w:tab w:leader="none" w:pos="1600" w:val="left"/>
        </w:tabs>
        <w:numPr>
          <w:ilvl w:val="1"/>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3"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2580" w:type="dxa"/>
            <w:vAlign w:val="bottom"/>
            <w:gridSpan w:val="2"/>
          </w:tcPr>
          <w:p>
            <w:pPr>
              <w:jc w:val="center"/>
              <w:ind w:right="1360"/>
              <w:spacing w:after="0"/>
              <w:rPr>
                <w:sz w:val="20"/>
                <w:szCs w:val="20"/>
                <w:color w:val="auto"/>
              </w:rPr>
            </w:pPr>
            <w:r>
              <w:rPr>
                <w:rFonts w:ascii="Arial" w:cs="Arial" w:eastAsia="Arial" w:hAnsi="Arial"/>
                <w:sz w:val="16"/>
                <w:szCs w:val="16"/>
                <w:b w:val="1"/>
                <w:bCs w:val="1"/>
                <w:color w:val="auto"/>
                <w:w w:val="88"/>
              </w:rPr>
              <w:t>Title of each class</w:t>
            </w:r>
          </w:p>
        </w:tc>
        <w:tc>
          <w:tcPr>
            <w:tcW w:w="182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w w:val="91"/>
              </w:rPr>
              <w:t>Trading Symbol(s)</w:t>
            </w:r>
          </w:p>
        </w:tc>
        <w:tc>
          <w:tcPr>
            <w:tcW w:w="104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400" w:type="dxa"/>
            <w:vAlign w:val="bottom"/>
            <w:gridSpan w:val="3"/>
          </w:tcPr>
          <w:p>
            <w:pPr>
              <w:jc w:val="center"/>
              <w:ind w:right="520"/>
              <w:spacing w:after="0"/>
              <w:rPr>
                <w:sz w:val="20"/>
                <w:szCs w:val="20"/>
                <w:color w:val="auto"/>
              </w:rPr>
            </w:pPr>
            <w:r>
              <w:rPr>
                <w:rFonts w:ascii="Arial" w:cs="Arial" w:eastAsia="Arial" w:hAnsi="Arial"/>
                <w:sz w:val="16"/>
                <w:szCs w:val="16"/>
                <w:color w:val="auto"/>
                <w:w w:val="90"/>
              </w:rPr>
              <w:t>Common Stock, par value $0.0001 per share</w:t>
            </w:r>
          </w:p>
        </w:tc>
        <w:tc>
          <w:tcPr>
            <w:tcW w:w="54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6"/>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Arial" w:cs="Arial" w:eastAsia="Arial" w:hAnsi="Arial"/>
                <w:sz w:val="16"/>
                <w:szCs w:val="16"/>
                <w:color w:val="auto"/>
                <w:w w:val="92"/>
              </w:rPr>
              <w:t>The Nasdaq Global Market</w:t>
            </w:r>
          </w:p>
        </w:tc>
      </w:tr>
    </w:tbl>
    <w:p>
      <w:pPr>
        <w:spacing w:after="0" w:line="334" w:lineRule="exact"/>
        <w:rPr>
          <w:sz w:val="24"/>
          <w:szCs w:val="24"/>
          <w:color w:val="auto"/>
        </w:rPr>
      </w:pPr>
    </w:p>
    <w:p>
      <w:pPr>
        <w:jc w:val="cente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3" w:lineRule="exact"/>
        <w:rPr>
          <w:sz w:val="24"/>
          <w:szCs w:val="24"/>
          <w:color w:val="auto"/>
        </w:rPr>
      </w:pPr>
    </w:p>
    <w:p>
      <w:pPr>
        <w:jc w:val="center"/>
        <w:spacing w:after="0" w:line="184" w:lineRule="exact"/>
        <w:tabs>
          <w:tab w:leader="none" w:pos="18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88" w:lineRule="exact"/>
        <w:rPr>
          <w:sz w:val="24"/>
          <w:szCs w:val="24"/>
          <w:color w:val="auto"/>
        </w:rPr>
      </w:pPr>
    </w:p>
    <w:p>
      <w:pPr>
        <w:jc w:val="cente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1295400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94"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43"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On June 9, 2023, SI-BONE,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held its 2023 Annual Meeting of Stockholders (the “</w:t>
      </w:r>
      <w:r>
        <w:rPr>
          <w:rFonts w:ascii="Arial" w:cs="Arial" w:eastAsia="Arial" w:hAnsi="Arial"/>
          <w:sz w:val="16"/>
          <w:szCs w:val="16"/>
          <w:b w:val="1"/>
          <w:bCs w:val="1"/>
          <w:i w:val="1"/>
          <w:iCs w:val="1"/>
          <w:color w:val="auto"/>
        </w:rPr>
        <w:t>Annual Meeting</w:t>
      </w:r>
      <w:r>
        <w:rPr>
          <w:rFonts w:ascii="Arial" w:cs="Arial" w:eastAsia="Arial" w:hAnsi="Arial"/>
          <w:sz w:val="16"/>
          <w:szCs w:val="16"/>
          <w:color w:val="auto"/>
        </w:rPr>
        <w:t>”). A total of 30,375,261 shares of the Company’s common stock were present or represented by proxy at the Annual Meeting, which represented approximately 86% of the Company’s 35,138,820 shares of common stock that were outstanding and entitled to vote at the meeting as of the record date of April 14, 2023.</w:t>
      </w:r>
    </w:p>
    <w:p>
      <w:pPr>
        <w:spacing w:after="0" w:line="174"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 xml:space="preserve">The following is a brief description of each matter voted upon at the Annual Meeting, as well as the final tally of the number of votes cast: (a) for or withheld with respect to the election of directors; (b) for or against, as well as abstentions, for the ratification of the appointment of PricewaterhouseCoopers LLP as the Company’s independent registered public accounting firm for the fiscal year ending December 31, 2023; and (c) for or against, as well as abstentions, for the advisory vote to approve executive compensation. Broker non-votes are also reported. A more complete description of each matter is set forth in the Company’s definitive proxy statement filed with the Securities and Exchange Commission on April 21, 2023 (the </w:t>
      </w:r>
      <w:r>
        <w:rPr>
          <w:rFonts w:ascii="Arial" w:cs="Arial" w:eastAsia="Arial" w:hAnsi="Arial"/>
          <w:sz w:val="18"/>
          <w:szCs w:val="18"/>
          <w:b w:val="1"/>
          <w:bCs w:val="1"/>
          <w:i w:val="1"/>
          <w:iCs w:val="1"/>
          <w:color w:val="auto"/>
        </w:rPr>
        <w:t>"Proxy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Statement</w:t>
      </w:r>
      <w:r>
        <w:rPr>
          <w:rFonts w:ascii="Arial" w:cs="Arial" w:eastAsia="Arial" w:hAnsi="Arial"/>
          <w:sz w:val="18"/>
          <w:szCs w:val="18"/>
          <w:color w:val="auto"/>
        </w:rPr>
        <w:t>").</w:t>
      </w:r>
    </w:p>
    <w:p>
      <w:pPr>
        <w:spacing w:after="0" w:line="232" w:lineRule="exact"/>
        <w:rPr>
          <w:sz w:val="20"/>
          <w:szCs w:val="20"/>
          <w:color w:val="auto"/>
        </w:rPr>
      </w:pPr>
    </w:p>
    <w:p>
      <w:pPr>
        <w:jc w:val="both"/>
        <w:ind w:left="1060" w:hanging="1052"/>
        <w:spacing w:after="0" w:line="256" w:lineRule="auto"/>
        <w:tabs>
          <w:tab w:leader="none" w:pos="1040" w:val="left"/>
        </w:tabs>
        <w:rPr>
          <w:sz w:val="20"/>
          <w:szCs w:val="20"/>
          <w:color w:val="auto"/>
        </w:rPr>
      </w:pPr>
      <w:r>
        <w:rPr>
          <w:rFonts w:ascii="Arial" w:cs="Arial" w:eastAsia="Arial" w:hAnsi="Arial"/>
          <w:sz w:val="18"/>
          <w:szCs w:val="18"/>
          <w:i w:val="1"/>
          <w:iCs w:val="1"/>
          <w:color w:val="auto"/>
        </w:rPr>
        <w:t>Proposal 1:</w:t>
      </w:r>
      <w:r>
        <w:rPr>
          <w:sz w:val="20"/>
          <w:szCs w:val="20"/>
          <w:color w:val="auto"/>
        </w:rPr>
        <w:tab/>
      </w:r>
      <w:r>
        <w:rPr>
          <w:rFonts w:ascii="Arial" w:cs="Arial" w:eastAsia="Arial" w:hAnsi="Arial"/>
          <w:sz w:val="18"/>
          <w:szCs w:val="18"/>
          <w:color w:val="auto"/>
        </w:rPr>
        <w:t>Each of the three directors proposed by the Company for election was elected by the following votes to serve until SI-BONE’s 2026 Annual Meeting of Stockholders, or until his respective successor has been elected and qualified. The tabulation of votes on this matter was as follows:</w:t>
      </w:r>
    </w:p>
    <w:p>
      <w:pPr>
        <w:spacing w:after="0" w:line="221" w:lineRule="exact"/>
        <w:rPr>
          <w:sz w:val="20"/>
          <w:szCs w:val="20"/>
          <w:color w:val="auto"/>
        </w:rPr>
      </w:pPr>
    </w:p>
    <w:tbl>
      <w:tblPr>
        <w:tblLayout w:type="fixed"/>
        <w:tblInd w:w="192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14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Withheld</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6"/>
              </w:rPr>
              <w:t>Broker Non-</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Votes</w:t>
            </w:r>
          </w:p>
        </w:tc>
        <w:tc>
          <w:tcPr>
            <w:tcW w:w="0" w:type="dxa"/>
            <w:vAlign w:val="bottom"/>
          </w:tcPr>
          <w:p>
            <w:pPr>
              <w:spacing w:after="0"/>
              <w:rPr>
                <w:sz w:val="1"/>
                <w:szCs w:val="1"/>
                <w:color w:val="auto"/>
              </w:rPr>
            </w:pPr>
          </w:p>
        </w:tc>
      </w:tr>
      <w:tr>
        <w:trPr>
          <w:trHeight w:val="26"/>
        </w:trPr>
        <w:tc>
          <w:tcPr>
            <w:tcW w:w="2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23,169,519</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6,012,516</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1,193,226</w:t>
            </w:r>
          </w:p>
        </w:tc>
        <w:tc>
          <w:tcPr>
            <w:tcW w:w="0" w:type="dxa"/>
            <w:vAlign w:val="bottom"/>
          </w:tcPr>
          <w:p>
            <w:pPr>
              <w:spacing w:after="0"/>
              <w:rPr>
                <w:sz w:val="1"/>
                <w:szCs w:val="1"/>
                <w:color w:val="auto"/>
              </w:rPr>
            </w:pPr>
          </w:p>
        </w:tc>
      </w:tr>
      <w:tr>
        <w:trPr>
          <w:trHeight w:val="229"/>
        </w:trPr>
        <w:tc>
          <w:tcPr>
            <w:tcW w:w="2980" w:type="dxa"/>
            <w:vAlign w:val="bottom"/>
          </w:tcPr>
          <w:p>
            <w:pPr>
              <w:spacing w:after="0"/>
              <w:rPr>
                <w:sz w:val="20"/>
                <w:szCs w:val="20"/>
                <w:color w:val="auto"/>
              </w:rPr>
            </w:pPr>
            <w:r>
              <w:rPr>
                <w:rFonts w:ascii="Arial" w:cs="Arial" w:eastAsia="Arial" w:hAnsi="Arial"/>
                <w:sz w:val="18"/>
                <w:szCs w:val="18"/>
                <w:color w:val="auto"/>
              </w:rPr>
              <w:t>John G. Freund</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23,377,779</w:t>
            </w:r>
          </w:p>
        </w:tc>
        <w:tc>
          <w:tcPr>
            <w:tcW w:w="1180" w:type="dxa"/>
            <w:vAlign w:val="bottom"/>
            <w:gridSpan w:val="2"/>
          </w:tcPr>
          <w:p>
            <w:pPr>
              <w:jc w:val="center"/>
              <w:ind w:left="50"/>
              <w:spacing w:after="0"/>
              <w:rPr>
                <w:sz w:val="20"/>
                <w:szCs w:val="20"/>
                <w:color w:val="auto"/>
              </w:rPr>
            </w:pPr>
            <w:r>
              <w:rPr>
                <w:rFonts w:ascii="Arial" w:cs="Arial" w:eastAsia="Arial" w:hAnsi="Arial"/>
                <w:sz w:val="18"/>
                <w:szCs w:val="18"/>
                <w:color w:val="auto"/>
                <w:w w:val="89"/>
              </w:rPr>
              <w:t>5,804,256</w:t>
            </w:r>
          </w:p>
        </w:tc>
        <w:tc>
          <w:tcPr>
            <w:tcW w:w="1200" w:type="dxa"/>
            <w:vAlign w:val="bottom"/>
            <w:gridSpan w:val="2"/>
          </w:tcPr>
          <w:p>
            <w:pPr>
              <w:jc w:val="center"/>
              <w:ind w:left="70"/>
              <w:spacing w:after="0"/>
              <w:rPr>
                <w:sz w:val="20"/>
                <w:szCs w:val="20"/>
                <w:color w:val="auto"/>
              </w:rPr>
            </w:pPr>
            <w:r>
              <w:rPr>
                <w:rFonts w:ascii="Arial" w:cs="Arial" w:eastAsia="Arial" w:hAnsi="Arial"/>
                <w:sz w:val="18"/>
                <w:szCs w:val="18"/>
                <w:color w:val="auto"/>
                <w:w w:val="89"/>
              </w:rPr>
              <w:t>1,193,226</w:t>
            </w:r>
          </w:p>
        </w:tc>
        <w:tc>
          <w:tcPr>
            <w:tcW w:w="0" w:type="dxa"/>
            <w:vAlign w:val="bottom"/>
          </w:tcPr>
          <w:p>
            <w:pPr>
              <w:spacing w:after="0"/>
              <w:rPr>
                <w:sz w:val="1"/>
                <w:szCs w:val="1"/>
                <w:color w:val="auto"/>
              </w:rPr>
            </w:pPr>
          </w:p>
        </w:tc>
      </w:tr>
      <w:tr>
        <w:trPr>
          <w:trHeight w:val="243"/>
        </w:trPr>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Gregory K. Hinckley</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23,684,472</w:t>
            </w:r>
          </w:p>
        </w:tc>
        <w:tc>
          <w:tcPr>
            <w:tcW w:w="11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9"/>
              </w:rPr>
              <w:t>5,497,563</w:t>
            </w:r>
          </w:p>
        </w:tc>
        <w:tc>
          <w:tcPr>
            <w:tcW w:w="1200" w:type="dxa"/>
            <w:vAlign w:val="bottom"/>
            <w:gridSpan w:val="2"/>
            <w:shd w:val="clear" w:color="auto" w:fill="CCEEFF"/>
          </w:tcPr>
          <w:p>
            <w:pPr>
              <w:jc w:val="center"/>
              <w:ind w:left="70"/>
              <w:spacing w:after="0"/>
              <w:rPr>
                <w:sz w:val="20"/>
                <w:szCs w:val="20"/>
                <w:color w:val="auto"/>
              </w:rPr>
            </w:pPr>
            <w:r>
              <w:rPr>
                <w:rFonts w:ascii="Arial" w:cs="Arial" w:eastAsia="Arial" w:hAnsi="Arial"/>
                <w:sz w:val="18"/>
                <w:szCs w:val="18"/>
                <w:color w:val="auto"/>
                <w:w w:val="89"/>
              </w:rPr>
              <w:t>1,193,226</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i w:val="1"/>
          <w:iCs w:val="1"/>
          <w:color w:val="auto"/>
        </w:rPr>
        <w:t>Proposal 2:</w:t>
      </w:r>
      <w:r>
        <w:rPr>
          <w:sz w:val="20"/>
          <w:szCs w:val="20"/>
          <w:color w:val="auto"/>
        </w:rPr>
        <w:tab/>
      </w:r>
      <w:r>
        <w:rPr>
          <w:rFonts w:ascii="Arial" w:cs="Arial" w:eastAsia="Arial" w:hAnsi="Arial"/>
          <w:sz w:val="16"/>
          <w:szCs w:val="16"/>
          <w:color w:val="auto"/>
        </w:rPr>
        <w:t>The appointment of PricewaterhouseCoopers LLP as the Company’s independent registered public accounting firm for the fiscal year ending</w:t>
      </w:r>
    </w:p>
    <w:p>
      <w:pPr>
        <w:spacing w:after="0" w:line="12"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December 31, 2023, was ratified. The tabulation of votes on this matter was as follows:</w:t>
      </w:r>
    </w:p>
    <w:p>
      <w:pPr>
        <w:spacing w:after="0" w:line="282" w:lineRule="exact"/>
        <w:rPr>
          <w:sz w:val="20"/>
          <w:szCs w:val="20"/>
          <w:color w:val="auto"/>
        </w:rPr>
      </w:pPr>
    </w:p>
    <w:tbl>
      <w:tblPr>
        <w:tblLayout w:type="fixed"/>
        <w:tblInd w:w="116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7"/>
              </w:rPr>
              <w:t>Broker</w:t>
            </w:r>
          </w:p>
        </w:tc>
      </w:tr>
      <w:tr>
        <w:trPr>
          <w:trHeight w:val="186"/>
        </w:trPr>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80" w:type="dxa"/>
            <w:vAlign w:val="bottom"/>
          </w:tcPr>
          <w:p>
            <w:pPr>
              <w:spacing w:after="0"/>
              <w:rPr>
                <w:sz w:val="16"/>
                <w:szCs w:val="16"/>
                <w:color w:val="auto"/>
              </w:rPr>
            </w:pPr>
          </w:p>
        </w:tc>
        <w:tc>
          <w:tcPr>
            <w:tcW w:w="1980" w:type="dxa"/>
            <w:vAlign w:val="bottom"/>
          </w:tcPr>
          <w:p>
            <w:pPr>
              <w:ind w:left="600"/>
              <w:spacing w:after="0"/>
              <w:rPr>
                <w:sz w:val="20"/>
                <w:szCs w:val="20"/>
                <w:color w:val="auto"/>
              </w:rPr>
            </w:pPr>
            <w:r>
              <w:rPr>
                <w:rFonts w:ascii="Arial" w:cs="Arial" w:eastAsia="Arial" w:hAnsi="Arial"/>
                <w:sz w:val="14"/>
                <w:szCs w:val="14"/>
                <w:b w:val="1"/>
                <w:bCs w:val="1"/>
                <w:color w:val="auto"/>
              </w:rPr>
              <w:t>Abstain</w:t>
            </w:r>
          </w:p>
        </w:tc>
        <w:tc>
          <w:tcPr>
            <w:tcW w:w="260" w:type="dxa"/>
            <w:vAlign w:val="bottom"/>
          </w:tcPr>
          <w:p>
            <w:pPr>
              <w:spacing w:after="0"/>
              <w:rPr>
                <w:sz w:val="16"/>
                <w:szCs w:val="16"/>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88"/>
              </w:rPr>
              <w:t>Non-Votes</w:t>
            </w:r>
          </w:p>
        </w:tc>
      </w:tr>
      <w:tr>
        <w:trPr>
          <w:trHeight w:val="25"/>
        </w:trPr>
        <w:tc>
          <w:tcPr>
            <w:tcW w:w="17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17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30,212,416</w:t>
            </w:r>
          </w:p>
        </w:tc>
        <w:tc>
          <w:tcPr>
            <w:tcW w:w="19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113,968</w:t>
            </w:r>
          </w:p>
        </w:tc>
        <w:tc>
          <w:tcPr>
            <w:tcW w:w="2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48,877</w:t>
            </w:r>
          </w:p>
        </w:tc>
        <w:tc>
          <w:tcPr>
            <w:tcW w:w="192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0</w:t>
            </w:r>
          </w:p>
        </w:tc>
      </w:tr>
      <w:tr>
        <w:trPr>
          <w:trHeight w:val="27"/>
        </w:trPr>
        <w:tc>
          <w:tcPr>
            <w:tcW w:w="17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1060" w:hanging="1052"/>
        <w:spacing w:after="0" w:line="277" w:lineRule="auto"/>
        <w:tabs>
          <w:tab w:leader="none" w:pos="1040" w:val="left"/>
        </w:tabs>
        <w:rPr>
          <w:sz w:val="20"/>
          <w:szCs w:val="20"/>
          <w:color w:val="auto"/>
        </w:rPr>
      </w:pPr>
      <w:r>
        <w:rPr>
          <w:rFonts w:ascii="Arial" w:cs="Arial" w:eastAsia="Arial" w:hAnsi="Arial"/>
          <w:sz w:val="18"/>
          <w:szCs w:val="18"/>
          <w:i w:val="1"/>
          <w:iCs w:val="1"/>
          <w:color w:val="auto"/>
        </w:rPr>
        <w:t>Proposal 3:</w:t>
      </w:r>
      <w:r>
        <w:rPr>
          <w:sz w:val="20"/>
          <w:szCs w:val="20"/>
          <w:color w:val="auto"/>
        </w:rPr>
        <w:tab/>
      </w:r>
      <w:r>
        <w:rPr>
          <w:rFonts w:ascii="Arial" w:cs="Arial" w:eastAsia="Arial" w:hAnsi="Arial"/>
          <w:sz w:val="18"/>
          <w:szCs w:val="18"/>
          <w:color w:val="auto"/>
        </w:rPr>
        <w:t>The compensation of the Company’s named executive officers as disclosed in the Proxy Statement was approved on an advisory basis. The tabulation of votes on this matter was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8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92"/>
              </w:rPr>
              <w:t>Broker</w:t>
            </w:r>
          </w:p>
        </w:tc>
      </w:tr>
      <w:tr>
        <w:trPr>
          <w:trHeight w:val="186"/>
        </w:trPr>
        <w:tc>
          <w:tcPr>
            <w:tcW w:w="116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2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280" w:type="dxa"/>
            <w:vAlign w:val="bottom"/>
          </w:tcPr>
          <w:p>
            <w:pPr>
              <w:spacing w:after="0"/>
              <w:rPr>
                <w:sz w:val="16"/>
                <w:szCs w:val="16"/>
                <w:color w:val="auto"/>
              </w:rPr>
            </w:pPr>
          </w:p>
        </w:tc>
        <w:tc>
          <w:tcPr>
            <w:tcW w:w="1980" w:type="dxa"/>
            <w:vAlign w:val="bottom"/>
          </w:tcPr>
          <w:p>
            <w:pPr>
              <w:ind w:left="580"/>
              <w:spacing w:after="0"/>
              <w:rPr>
                <w:sz w:val="20"/>
                <w:szCs w:val="20"/>
                <w:color w:val="auto"/>
              </w:rPr>
            </w:pPr>
            <w:r>
              <w:rPr>
                <w:rFonts w:ascii="Arial" w:cs="Arial" w:eastAsia="Arial" w:hAnsi="Arial"/>
                <w:sz w:val="14"/>
                <w:szCs w:val="14"/>
                <w:b w:val="1"/>
                <w:bCs w:val="1"/>
                <w:color w:val="auto"/>
              </w:rPr>
              <w:t>Abstain</w:t>
            </w:r>
          </w:p>
        </w:tc>
        <w:tc>
          <w:tcPr>
            <w:tcW w:w="260" w:type="dxa"/>
            <w:vAlign w:val="bottom"/>
          </w:tcPr>
          <w:p>
            <w:pPr>
              <w:spacing w:after="0"/>
              <w:rPr>
                <w:sz w:val="16"/>
                <w:szCs w:val="16"/>
                <w:color w:val="auto"/>
              </w:rPr>
            </w:pPr>
          </w:p>
        </w:tc>
        <w:tc>
          <w:tcPr>
            <w:tcW w:w="3880" w:type="dxa"/>
            <w:vAlign w:val="bottom"/>
            <w:gridSpan w:val="2"/>
          </w:tcPr>
          <w:p>
            <w:pPr>
              <w:jc w:val="center"/>
              <w:ind w:right="2220"/>
              <w:spacing w:after="0"/>
              <w:rPr>
                <w:sz w:val="20"/>
                <w:szCs w:val="20"/>
                <w:color w:val="auto"/>
              </w:rPr>
            </w:pPr>
            <w:r>
              <w:rPr>
                <w:rFonts w:ascii="Arial" w:cs="Arial" w:eastAsia="Arial" w:hAnsi="Arial"/>
                <w:sz w:val="14"/>
                <w:szCs w:val="14"/>
                <w:b w:val="1"/>
                <w:bCs w:val="1"/>
                <w:color w:val="auto"/>
                <w:w w:val="88"/>
              </w:rPr>
              <w:t>Non-Votes</w:t>
            </w:r>
          </w:p>
        </w:tc>
      </w:tr>
      <w:tr>
        <w:trPr>
          <w:trHeight w:val="39"/>
        </w:trPr>
        <w:tc>
          <w:tcPr>
            <w:tcW w:w="1160" w:type="dxa"/>
            <w:vAlign w:val="bottom"/>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980" w:type="dxa"/>
            <w:vAlign w:val="bottom"/>
            <w:tcBorders>
              <w:bottom w:val="single" w:sz="8" w:color="auto"/>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220" w:type="dxa"/>
            <w:vAlign w:val="bottom"/>
          </w:tcPr>
          <w:p>
            <w:pPr>
              <w:spacing w:after="0"/>
              <w:rPr>
                <w:sz w:val="3"/>
                <w:szCs w:val="3"/>
                <w:color w:val="auto"/>
              </w:rPr>
            </w:pPr>
          </w:p>
        </w:tc>
      </w:tr>
      <w:tr>
        <w:trPr>
          <w:trHeight w:val="250"/>
        </w:trPr>
        <w:tc>
          <w:tcPr>
            <w:tcW w:w="1160" w:type="dxa"/>
            <w:vAlign w:val="bottom"/>
          </w:tcPr>
          <w:p>
            <w:pPr>
              <w:spacing w:after="0"/>
              <w:rPr>
                <w:sz w:val="21"/>
                <w:szCs w:val="21"/>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26,917,863</w:t>
            </w:r>
          </w:p>
        </w:tc>
        <w:tc>
          <w:tcPr>
            <w:tcW w:w="196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2,195,689</w:t>
            </w:r>
          </w:p>
        </w:tc>
        <w:tc>
          <w:tcPr>
            <w:tcW w:w="2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68,483</w:t>
            </w:r>
          </w:p>
        </w:tc>
        <w:tc>
          <w:tcPr>
            <w:tcW w:w="192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89"/>
              </w:rPr>
              <w:t>1,193,226</w:t>
            </w:r>
          </w:p>
        </w:tc>
        <w:tc>
          <w:tcPr>
            <w:tcW w:w="2220" w:type="dxa"/>
            <w:vAlign w:val="bottom"/>
          </w:tcPr>
          <w:p>
            <w:pPr>
              <w:spacing w:after="0"/>
              <w:rPr>
                <w:sz w:val="21"/>
                <w:szCs w:val="21"/>
                <w:color w:val="auto"/>
              </w:rPr>
            </w:pPr>
          </w:p>
        </w:tc>
      </w:tr>
      <w:tr>
        <w:trPr>
          <w:trHeight w:val="1465"/>
        </w:trPr>
        <w:tc>
          <w:tcPr>
            <w:tcW w:w="11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500" w:firstLine="44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7940" w:type="dxa"/>
            <w:vAlign w:val="bottom"/>
            <w:gridSpan w:val="2"/>
          </w:tcPr>
          <w:p>
            <w:pPr>
              <w:ind w:left="1420"/>
              <w:spacing w:after="0"/>
              <w:rPr>
                <w:sz w:val="20"/>
                <w:szCs w:val="20"/>
                <w:color w:val="auto"/>
              </w:rPr>
            </w:pPr>
            <w:r>
              <w:rPr>
                <w:rFonts w:ascii="Arial" w:cs="Arial" w:eastAsia="Arial" w:hAnsi="Arial"/>
                <w:sz w:val="18"/>
                <w:szCs w:val="18"/>
                <w:b w:val="1"/>
                <w:bCs w:val="1"/>
                <w:color w:val="auto"/>
              </w:rPr>
              <w:t>SI-BONE, INC.</w:t>
            </w:r>
          </w:p>
        </w:tc>
      </w:tr>
      <w:tr>
        <w:trPr>
          <w:trHeight w:val="473"/>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2640" w:type="dxa"/>
            <w:vAlign w:val="bottom"/>
          </w:tcPr>
          <w:p>
            <w:pPr>
              <w:ind w:left="200"/>
              <w:spacing w:after="0"/>
              <w:rPr>
                <w:sz w:val="20"/>
                <w:szCs w:val="20"/>
                <w:color w:val="auto"/>
              </w:rPr>
            </w:pPr>
            <w:r>
              <w:rPr>
                <w:rFonts w:ascii="Arial" w:cs="Arial" w:eastAsia="Arial" w:hAnsi="Arial"/>
                <w:sz w:val="18"/>
                <w:szCs w:val="18"/>
                <w:color w:val="auto"/>
              </w:rPr>
              <w:t>June 12, 2023</w:t>
            </w:r>
          </w:p>
        </w:tc>
        <w:tc>
          <w:tcPr>
            <w:tcW w:w="2140" w:type="dxa"/>
            <w:vAlign w:val="bottom"/>
          </w:tcPr>
          <w:p>
            <w:pPr>
              <w:ind w:left="1420"/>
              <w:spacing w:after="0"/>
              <w:rPr>
                <w:sz w:val="20"/>
                <w:szCs w:val="20"/>
                <w:color w:val="auto"/>
              </w:rPr>
            </w:pPr>
            <w:r>
              <w:rPr>
                <w:rFonts w:ascii="Arial" w:cs="Arial" w:eastAsia="Arial" w:hAnsi="Arial"/>
                <w:sz w:val="18"/>
                <w:szCs w:val="18"/>
                <w:color w:val="auto"/>
              </w:rPr>
              <w:t>By:</w:t>
            </w:r>
          </w:p>
        </w:tc>
        <w:tc>
          <w:tcPr>
            <w:tcW w:w="5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Anshul Maheshwari</w:t>
            </w:r>
          </w:p>
        </w:tc>
      </w:tr>
      <w:tr>
        <w:trPr>
          <w:trHeight w:val="222"/>
        </w:trPr>
        <w:tc>
          <w:tcPr>
            <w:tcW w:w="6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Anshul Maheshwari</w:t>
            </w:r>
          </w:p>
        </w:tc>
      </w:tr>
      <w:tr>
        <w:trPr>
          <w:trHeight w:val="230"/>
        </w:trPr>
        <w:tc>
          <w:tcPr>
            <w:tcW w:w="6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43"/>
        </w:trPr>
        <w:tc>
          <w:tcPr>
            <w:tcW w:w="6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58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2023-06-12T15:13:46Z</dcterms:created>
  <dcterms:modified xsi:type="dcterms:W3CDTF">2023-06-12T15:13:46Z</dcterms:modified>
</cp:coreProperties>
</file>