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11/11/2025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80" w:type="dxa"/>
            <w:vAlign w:val="bottom"/>
            <w:gridSpan w:val="7"/>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80" w:type="dxa"/>
            <w:vAlign w:val="bottom"/>
            <w:gridSpan w:val="7"/>
            <w:vMerge w:val="continue"/>
          </w:tcPr>
          <w:p>
            <w:pPr>
              <w:spacing w:after="0"/>
              <w:rPr>
                <w:sz w:val="9"/>
                <w:szCs w:val="9"/>
                <w:color w:val="auto"/>
              </w:rPr>
            </w:pPr>
          </w:p>
        </w:tc>
        <w:tc>
          <w:tcPr>
            <w:tcW w:w="378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6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20" w:type="dxa"/>
            <w:vAlign w:val="bottom"/>
            <w:gridSpan w:val="6"/>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6"/>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400" w:type="dxa"/>
            <w:vAlign w:val="bottom"/>
            <w:gridSpan w:val="3"/>
          </w:tcPr>
          <w:p>
            <w:pPr>
              <w:ind w:left="140"/>
              <w:spacing w:after="0"/>
              <w:rPr>
                <w:sz w:val="20"/>
                <w:szCs w:val="20"/>
                <w:color w:val="auto"/>
              </w:rPr>
            </w:pPr>
            <w:r>
              <w:rPr>
                <w:rFonts w:ascii="Arial" w:cs="Arial" w:eastAsia="Arial" w:hAnsi="Arial"/>
                <w:sz w:val="13"/>
                <w:szCs w:val="13"/>
                <w:color w:val="auto"/>
              </w:rPr>
              <w:t>(Zip)</w:t>
            </w: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0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8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5"/>
                <w:szCs w:val="15"/>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0" w:type="dxa"/>
            <w:vAlign w:val="bottom"/>
            <w:gridSpan w:val="3"/>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4"/>
          </w:tcPr>
          <w:p>
            <w:pPr>
              <w:ind w:left="5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4"/>
          </w:tcPr>
          <w:p>
            <w:pPr>
              <w:ind w:left="680"/>
              <w:spacing w:after="0"/>
              <w:rPr>
                <w:sz w:val="20"/>
                <w:szCs w:val="20"/>
                <w:color w:val="auto"/>
              </w:rPr>
            </w:pPr>
            <w:r>
              <w:rPr>
                <w:rFonts w:ascii="Times New Roman" w:cs="Times New Roman" w:eastAsia="Times New Roman" w:hAnsi="Times New Roman"/>
                <w:sz w:val="17"/>
                <w:szCs w:val="17"/>
                <w:color w:val="0000FF"/>
              </w:rPr>
              <w:t>11/11/2025</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2,601</w:t>
            </w:r>
          </w:p>
        </w:tc>
        <w:tc>
          <w:tcPr>
            <w:tcW w:w="5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18.3333</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208,533</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50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4"/>
                <w:szCs w:val="14"/>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50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was effected pursuant to a 10b5-1 trading plan dated December 13th, 2024.</w:t>
      </w:r>
    </w:p>
    <w:p>
      <w:pPr>
        <w:spacing w:after="0" w:line="5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weighted-average price. The shares were sold in multiple transactions ranging from $17.00 to $19.00, inclusive. The Reporting Person undertakes to provide the Issuer, any securityholder of the Issuer, or the Staff of the Securities and Exchange Commission, upon request, full information regarding the number of shares sold at each separate price within the range set forth in these footnotes.</w:t>
      </w:r>
    </w:p>
    <w:p>
      <w:pPr>
        <w:spacing w:after="0" w:line="20"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150,203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11/13/2025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2025-11-13T15:39:43Z</dcterms:created>
  <dcterms:modified xsi:type="dcterms:W3CDTF">2025-11-13T15:39:43Z</dcterms:modified>
</cp:coreProperties>
</file>