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7877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7877810"/>
                    </a:xfrm>
                    <a:prstGeom prst="rect">
                      <a:avLst/>
                    </a:prstGeom>
                    <a:noFill/>
                  </pic:spPr>
                </pic:pic>
              </a:graphicData>
            </a:graphic>
          </wp:anchor>
        </w:drawing>
      </w:r>
    </w:p>
    <w:p>
      <w:pPr>
        <w:spacing w:after="0" w:line="38" w:lineRule="exact"/>
        <w:rPr>
          <w:sz w:val="24"/>
          <w:szCs w:val="24"/>
          <w:color w:val="auto"/>
        </w:rPr>
      </w:pPr>
    </w:p>
    <w:p>
      <w:pPr>
        <w:sectPr>
          <w:pgSz w:w="11900" w:h="16899" w:orient="portrait"/>
          <w:cols w:equalWidth="0" w:num="2">
            <w:col w:w="2200" w:space="260"/>
            <w:col w:w="8540"/>
          </w:cols>
          <w:pgMar w:left="460" w:top="225"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Freund John Gordon</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gridSpan w:val="3"/>
            <w:vMerge w:val="continue"/>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87"/>
              </w:rPr>
              <w:t>X</w:t>
            </w: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2"/>
                <w:szCs w:val="2"/>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4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14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Arial" w:cs="Arial" w:eastAsia="Arial" w:hAnsi="Arial"/>
                <w:sz w:val="17"/>
                <w:szCs w:val="17"/>
                <w:color w:val="0000FF"/>
                <w:w w:val="99"/>
              </w:rPr>
              <w:t>C/O SKYLINE VENTURES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0000FF"/>
              </w:rPr>
              <w:t>05/24/2021</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7"/>
                <w:szCs w:val="17"/>
                <w:color w:val="0000FF"/>
              </w:rPr>
              <w:t>525 UNIVERSITY AVENUE, SUITE 1350</w:t>
            </w: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6"/>
            <w:vMerge w:val="continue"/>
          </w:tcPr>
          <w:p>
            <w:pPr>
              <w:spacing w:after="0"/>
              <w:rPr>
                <w:sz w:val="8"/>
                <w:szCs w:val="8"/>
                <w:color w:val="auto"/>
              </w:rPr>
            </w:pPr>
          </w:p>
        </w:tc>
        <w:tc>
          <w:tcPr>
            <w:tcW w:w="33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5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PALO ALTO</w:t>
            </w:r>
          </w:p>
        </w:tc>
        <w:tc>
          <w:tcPr>
            <w:tcW w:w="920" w:type="dxa"/>
            <w:vAlign w:val="bottom"/>
            <w:gridSpan w:val="2"/>
          </w:tcPr>
          <w:p>
            <w:pPr>
              <w:ind w:left="80"/>
              <w:spacing w:after="0"/>
              <w:rPr>
                <w:sz w:val="20"/>
                <w:szCs w:val="20"/>
                <w:color w:val="auto"/>
              </w:rPr>
            </w:pPr>
            <w:r>
              <w:rPr>
                <w:rFonts w:ascii="Arial" w:cs="Arial" w:eastAsia="Arial" w:hAnsi="Arial"/>
                <w:sz w:val="17"/>
                <w:szCs w:val="17"/>
                <w:color w:val="0000FF"/>
              </w:rPr>
              <w:t>CA</w:t>
            </w:r>
          </w:p>
        </w:tc>
        <w:tc>
          <w:tcPr>
            <w:tcW w:w="1580" w:type="dxa"/>
            <w:vAlign w:val="bottom"/>
          </w:tcPr>
          <w:p>
            <w:pPr>
              <w:ind w:left="380"/>
              <w:spacing w:after="0"/>
              <w:rPr>
                <w:sz w:val="20"/>
                <w:szCs w:val="20"/>
                <w:color w:val="auto"/>
              </w:rPr>
            </w:pPr>
            <w:r>
              <w:rPr>
                <w:rFonts w:ascii="Arial" w:cs="Arial" w:eastAsia="Arial" w:hAnsi="Arial"/>
                <w:sz w:val="17"/>
                <w:szCs w:val="17"/>
                <w:color w:val="0000FF"/>
              </w:rPr>
              <w:t>94301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ind w:left="200"/>
              <w:spacing w:after="0" w:line="134" w:lineRule="exact"/>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2820" w:type="dxa"/>
            <w:vAlign w:val="bottom"/>
            <w:tcBorders>
              <w:bottom w:val="single" w:sz="8" w:color="2C2C2C"/>
            </w:tcBorders>
            <w:gridSpan w:val="5"/>
          </w:tcPr>
          <w:p>
            <w:pPr>
              <w:spacing w:after="0"/>
              <w:rPr>
                <w:sz w:val="11"/>
                <w:szCs w:val="11"/>
                <w:color w:val="auto"/>
              </w:rPr>
            </w:pPr>
          </w:p>
        </w:tc>
        <w:tc>
          <w:tcPr>
            <w:tcW w:w="110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9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gridSpan w:val="2"/>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jc w:val="center"/>
              <w:ind w:right="2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gridSpan w:val="2"/>
          </w:tcPr>
          <w:p>
            <w:pPr>
              <w:jc w:val="center"/>
              <w:ind w:left="60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4"/>
                <w:szCs w:val="14"/>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line="12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vMerge w:val="restart"/>
          </w:tcPr>
          <w:p>
            <w:pPr>
              <w:jc w:val="center"/>
              <w:ind w:left="684"/>
              <w:spacing w:after="0"/>
              <w:rPr>
                <w:sz w:val="20"/>
                <w:szCs w:val="20"/>
                <w:color w:val="auto"/>
              </w:rPr>
            </w:pPr>
            <w:r>
              <w:rPr>
                <w:rFonts w:ascii="Arial" w:cs="Arial" w:eastAsia="Arial" w:hAnsi="Arial"/>
                <w:sz w:val="17"/>
                <w:szCs w:val="17"/>
                <w:color w:val="0000FF"/>
                <w:w w:val="91"/>
              </w:rPr>
              <w:t>05/24/2021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center"/>
              <w:ind w:right="5"/>
              <w:spacing w:after="0"/>
              <w:rPr>
                <w:sz w:val="20"/>
                <w:szCs w:val="20"/>
                <w:color w:val="auto"/>
              </w:rPr>
            </w:pPr>
            <w:r>
              <w:rPr>
                <w:rFonts w:ascii="Arial" w:cs="Arial" w:eastAsia="Arial" w:hAnsi="Arial"/>
                <w:sz w:val="17"/>
                <w:szCs w:val="17"/>
                <w:color w:val="0000FF"/>
                <w:w w:val="92"/>
              </w:rPr>
              <w:t>50,827</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32.5409</w:t>
            </w:r>
            <w:r>
              <w:rPr>
                <w:rFonts w:ascii="Arial" w:cs="Arial" w:eastAsia="Arial" w:hAnsi="Arial"/>
                <w:sz w:val="22"/>
                <w:szCs w:val="22"/>
                <w:color w:val="008000"/>
                <w:w w:val="87"/>
                <w:vertAlign w:val="superscript"/>
              </w:rPr>
              <w:t>(1)</w:t>
            </w:r>
          </w:p>
        </w:tc>
        <w:tc>
          <w:tcPr>
            <w:tcW w:w="60" w:type="dxa"/>
            <w:vAlign w:val="bottom"/>
          </w:tcPr>
          <w:p>
            <w:pPr>
              <w:spacing w:after="0"/>
              <w:rPr>
                <w:sz w:val="18"/>
                <w:szCs w:val="18"/>
                <w:color w:val="auto"/>
              </w:rPr>
            </w:pP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474,079</w:t>
            </w:r>
          </w:p>
        </w:tc>
        <w:tc>
          <w:tcPr>
            <w:tcW w:w="70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vMerge w:val="restart"/>
          </w:tcPr>
          <w:p>
            <w:pPr>
              <w:jc w:val="center"/>
              <w:ind w:left="684"/>
              <w:spacing w:after="0"/>
              <w:rPr>
                <w:sz w:val="20"/>
                <w:szCs w:val="20"/>
                <w:color w:val="auto"/>
              </w:rPr>
            </w:pPr>
            <w:r>
              <w:rPr>
                <w:rFonts w:ascii="Arial" w:cs="Arial" w:eastAsia="Arial" w:hAnsi="Arial"/>
                <w:sz w:val="17"/>
                <w:szCs w:val="17"/>
                <w:color w:val="0000FF"/>
                <w:w w:val="91"/>
              </w:rPr>
              <w:t>05/24/2021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center"/>
              <w:ind w:right="25"/>
              <w:spacing w:after="0"/>
              <w:rPr>
                <w:sz w:val="20"/>
                <w:szCs w:val="20"/>
                <w:color w:val="auto"/>
              </w:rPr>
            </w:pPr>
            <w:r>
              <w:rPr>
                <w:rFonts w:ascii="Arial" w:cs="Arial" w:eastAsia="Arial" w:hAnsi="Arial"/>
                <w:sz w:val="17"/>
                <w:szCs w:val="17"/>
                <w:color w:val="0000FF"/>
                <w:w w:val="91"/>
              </w:rPr>
              <w:t>200</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32.76</w:t>
            </w:r>
            <w:r>
              <w:rPr>
                <w:rFonts w:ascii="Arial" w:cs="Arial" w:eastAsia="Arial" w:hAnsi="Arial"/>
                <w:sz w:val="22"/>
                <w:szCs w:val="22"/>
                <w:color w:val="008000"/>
                <w:w w:val="88"/>
                <w:vertAlign w:val="superscript"/>
              </w:rPr>
              <w:t>(3)</w:t>
            </w:r>
          </w:p>
        </w:tc>
        <w:tc>
          <w:tcPr>
            <w:tcW w:w="60" w:type="dxa"/>
            <w:vAlign w:val="bottom"/>
          </w:tcPr>
          <w:p>
            <w:pPr>
              <w:spacing w:after="0"/>
              <w:rPr>
                <w:sz w:val="18"/>
                <w:szCs w:val="18"/>
                <w:color w:val="auto"/>
              </w:rPr>
            </w:pP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473,879</w:t>
            </w:r>
          </w:p>
        </w:tc>
        <w:tc>
          <w:tcPr>
            <w:tcW w:w="70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vMerge w:val="restart"/>
          </w:tcPr>
          <w:p>
            <w:pPr>
              <w:jc w:val="center"/>
              <w:ind w:left="684"/>
              <w:spacing w:after="0"/>
              <w:rPr>
                <w:sz w:val="20"/>
                <w:szCs w:val="20"/>
                <w:color w:val="auto"/>
              </w:rPr>
            </w:pPr>
            <w:r>
              <w:rPr>
                <w:rFonts w:ascii="Arial" w:cs="Arial" w:eastAsia="Arial" w:hAnsi="Arial"/>
                <w:sz w:val="17"/>
                <w:szCs w:val="17"/>
                <w:color w:val="0000FF"/>
                <w:w w:val="91"/>
              </w:rPr>
              <w:t>05/25/2021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center"/>
              <w:ind w:right="5"/>
              <w:spacing w:after="0"/>
              <w:rPr>
                <w:sz w:val="20"/>
                <w:szCs w:val="20"/>
                <w:color w:val="auto"/>
              </w:rPr>
            </w:pPr>
            <w:r>
              <w:rPr>
                <w:rFonts w:ascii="Arial" w:cs="Arial" w:eastAsia="Arial" w:hAnsi="Arial"/>
                <w:sz w:val="17"/>
                <w:szCs w:val="17"/>
                <w:color w:val="0000FF"/>
                <w:w w:val="93"/>
              </w:rPr>
              <w:t>1,696</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32.5452</w:t>
            </w:r>
            <w:r>
              <w:rPr>
                <w:rFonts w:ascii="Arial" w:cs="Arial" w:eastAsia="Arial" w:hAnsi="Arial"/>
                <w:sz w:val="22"/>
                <w:szCs w:val="22"/>
                <w:color w:val="008000"/>
                <w:w w:val="87"/>
                <w:vertAlign w:val="superscript"/>
              </w:rPr>
              <w:t>(4)</w:t>
            </w:r>
          </w:p>
        </w:tc>
        <w:tc>
          <w:tcPr>
            <w:tcW w:w="60" w:type="dxa"/>
            <w:vAlign w:val="bottom"/>
          </w:tcPr>
          <w:p>
            <w:pPr>
              <w:spacing w:after="0"/>
              <w:rPr>
                <w:sz w:val="18"/>
                <w:szCs w:val="18"/>
                <w:color w:val="auto"/>
              </w:rPr>
            </w:pP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472,183</w:t>
            </w:r>
          </w:p>
        </w:tc>
        <w:tc>
          <w:tcPr>
            <w:tcW w:w="70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vMerge w:val="restart"/>
          </w:tcPr>
          <w:p>
            <w:pPr>
              <w:jc w:val="center"/>
              <w:ind w:left="684"/>
              <w:spacing w:after="0"/>
              <w:rPr>
                <w:sz w:val="20"/>
                <w:szCs w:val="20"/>
                <w:color w:val="auto"/>
              </w:rPr>
            </w:pPr>
            <w:r>
              <w:rPr>
                <w:rFonts w:ascii="Arial" w:cs="Arial" w:eastAsia="Arial" w:hAnsi="Arial"/>
                <w:sz w:val="17"/>
                <w:szCs w:val="17"/>
                <w:color w:val="0000FF"/>
                <w:w w:val="91"/>
              </w:rPr>
              <w:t>05/26/2021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center"/>
              <w:ind w:right="5"/>
              <w:spacing w:after="0"/>
              <w:rPr>
                <w:sz w:val="20"/>
                <w:szCs w:val="20"/>
                <w:color w:val="auto"/>
              </w:rPr>
            </w:pPr>
            <w:r>
              <w:rPr>
                <w:rFonts w:ascii="Arial" w:cs="Arial" w:eastAsia="Arial" w:hAnsi="Arial"/>
                <w:sz w:val="17"/>
                <w:szCs w:val="17"/>
                <w:color w:val="0000FF"/>
                <w:w w:val="92"/>
              </w:rPr>
              <w:t>17,138</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31.8493</w:t>
            </w:r>
            <w:r>
              <w:rPr>
                <w:rFonts w:ascii="Arial" w:cs="Arial" w:eastAsia="Arial" w:hAnsi="Arial"/>
                <w:sz w:val="22"/>
                <w:szCs w:val="22"/>
                <w:color w:val="008000"/>
                <w:w w:val="87"/>
                <w:vertAlign w:val="superscript"/>
              </w:rPr>
              <w:t>(5)</w:t>
            </w:r>
          </w:p>
        </w:tc>
        <w:tc>
          <w:tcPr>
            <w:tcW w:w="60" w:type="dxa"/>
            <w:vAlign w:val="bottom"/>
          </w:tcPr>
          <w:p>
            <w:pPr>
              <w:spacing w:after="0"/>
              <w:rPr>
                <w:sz w:val="18"/>
                <w:szCs w:val="18"/>
                <w:color w:val="auto"/>
              </w:rPr>
            </w:pP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455,045</w:t>
            </w:r>
          </w:p>
        </w:tc>
        <w:tc>
          <w:tcPr>
            <w:tcW w:w="70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Freund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7"/>
                <w:szCs w:val="17"/>
                <w:color w:val="0000FF"/>
              </w:rPr>
              <w:t>100,570</w:t>
            </w:r>
          </w:p>
        </w:tc>
        <w:tc>
          <w:tcPr>
            <w:tcW w:w="700" w:type="dxa"/>
            <w:vAlign w:val="bottom"/>
          </w:tcPr>
          <w:p>
            <w:pPr>
              <w:ind w:left="4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w w:val="98"/>
              </w:rPr>
              <w:t>Partnership</w:t>
            </w:r>
          </w:p>
        </w:tc>
        <w:tc>
          <w:tcPr>
            <w:tcW w:w="0" w:type="dxa"/>
            <w:vAlign w:val="bottom"/>
          </w:tcPr>
          <w:p>
            <w:pPr>
              <w:spacing w:after="0"/>
              <w:rPr>
                <w:sz w:val="1"/>
                <w:szCs w:val="1"/>
                <w:color w:val="auto"/>
              </w:rPr>
            </w:pPr>
          </w:p>
        </w:tc>
      </w:tr>
      <w:tr>
        <w:trPr>
          <w:trHeight w:val="28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IV, 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$32.50 to $32.65,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SVP V. Skyline Venture Management V, LLC ("LLC") is the general partner of SVP V and as such may be deemed to have voting and investment power with respect to the securities of SVP V. Reporting Person, a member of Issuer's board of directors, is a managing director of LLC and may be deemed to have voting and investment power with respect to the securities held by SVP V. Reporting Person disclaims beneficial ownership of such securities, except to the extent of his pecuniary interest therein.</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$32.75 to $32.77,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$32.50 to $32.70,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weighted-average price. The shares were sold in multiple transactions ranging from $31.55 to $32.00, inclusive. The Reporting Person undertakes to provide the</w:t>
      </w:r>
    </w:p>
    <w:p>
      <w:pPr>
        <w:sectPr>
          <w:pgSz w:w="11900" w:h="16899" w:orient="portrait"/>
          <w:cols w:equalWidth="0" w:num="1">
            <w:col w:w="11000"/>
          </w:cols>
          <w:pgMar w:left="460" w:top="225" w:right="439" w:bottom="0" w:gutter="0" w:footer="0" w:header="0"/>
          <w:type w:val="continuous"/>
        </w:sectPr>
      </w:pPr>
    </w:p>
    <w:bookmarkStart w:id="1" w:name="page2"/>
    <w:bookmarkEnd w:id="1"/>
    <w:p>
      <w:pPr>
        <w:spacing w:after="0" w:line="266" w:lineRule="auto"/>
        <w:rPr>
          <w:sz w:val="20"/>
          <w:szCs w:val="20"/>
          <w:color w:val="auto"/>
        </w:rPr>
      </w:pPr>
      <w:r>
        <w:rPr>
          <w:rFonts w:ascii="Arial" w:cs="Arial" w:eastAsia="Arial" w:hAnsi="Arial"/>
          <w:sz w:val="13"/>
          <w:szCs w:val="13"/>
          <w:color w:val="008000"/>
        </w:rPr>
        <w:t>Issuer, any securityholder of the Issuer, or the Staff of the Securities and Exchange Commission, upon request, full information regarding the number of shares sold at each separate price within the range set forth in these footnotes.</w:t>
      </w:r>
    </w:p>
    <w:p>
      <w:pPr>
        <w:spacing w:after="0" w:line="15" w:lineRule="exact"/>
        <w:rPr>
          <w:sz w:val="20"/>
          <w:szCs w:val="20"/>
          <w:color w:val="auto"/>
        </w:rPr>
      </w:pPr>
    </w:p>
    <w:p>
      <w:pPr>
        <w:ind w:right="40" w:firstLine="7"/>
        <w:spacing w:after="0" w:line="292"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Attorney-in-Fact for John G.</w:t>
      </w:r>
      <w:r>
        <w:rPr>
          <w:sz w:val="20"/>
          <w:szCs w:val="20"/>
          <w:color w:val="auto"/>
        </w:rPr>
        <w:tab/>
      </w:r>
      <w:r>
        <w:rPr>
          <w:rFonts w:ascii="Arial" w:cs="Arial" w:eastAsia="Arial" w:hAnsi="Arial"/>
          <w:sz w:val="15"/>
          <w:szCs w:val="15"/>
          <w:color w:val="0000FF"/>
        </w:rPr>
        <w:t>05/26/2021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3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677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2021-05-26T18:51:26Z</dcterms:created>
  <dcterms:modified xsi:type="dcterms:W3CDTF">2021-05-26T18:51:26Z</dcterms:modified>
</cp:coreProperties>
</file>