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July 16,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320" w:type="dxa"/>
            <w:vAlign w:val="bottom"/>
          </w:tcPr>
          <w:p>
            <w:pPr>
              <w:jc w:val="center"/>
              <w:ind w:right="299"/>
              <w:spacing w:after="0"/>
              <w:rPr>
                <w:sz w:val="20"/>
                <w:szCs w:val="20"/>
                <w:color w:val="auto"/>
              </w:rPr>
            </w:pPr>
            <w:r>
              <w:rPr>
                <w:rFonts w:ascii="Arial" w:cs="Arial" w:eastAsia="Arial" w:hAnsi="Arial"/>
                <w:sz w:val="16"/>
                <w:szCs w:val="16"/>
                <w:b w:val="1"/>
                <w:bCs w:val="1"/>
                <w:color w:val="auto"/>
                <w:w w:val="93"/>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0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320" w:type="dxa"/>
            <w:vAlign w:val="bottom"/>
          </w:tcPr>
          <w:p>
            <w:pPr>
              <w:jc w:val="center"/>
              <w:ind w:right="299"/>
              <w:spacing w:after="0"/>
              <w:rPr>
                <w:sz w:val="20"/>
                <w:szCs w:val="20"/>
                <w:color w:val="auto"/>
              </w:rPr>
            </w:pPr>
            <w:r>
              <w:rPr>
                <w:rFonts w:ascii="Arial" w:cs="Arial" w:eastAsia="Arial" w:hAnsi="Arial"/>
                <w:sz w:val="16"/>
                <w:szCs w:val="16"/>
                <w:color w:val="auto"/>
                <w:w w:val="94"/>
              </w:rPr>
              <w:t>(State or other jurisdiction of</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4"/>
              </w:rPr>
              <w:t>(Commission</w:t>
            </w:r>
          </w:p>
        </w:tc>
        <w:tc>
          <w:tcPr>
            <w:tcW w:w="1700" w:type="dxa"/>
            <w:vAlign w:val="bottom"/>
          </w:tcPr>
          <w:p>
            <w:pPr>
              <w:jc w:val="center"/>
              <w:ind w:left="439"/>
              <w:spacing w:after="0"/>
              <w:rPr>
                <w:sz w:val="20"/>
                <w:szCs w:val="20"/>
                <w:color w:val="auto"/>
              </w:rPr>
            </w:pPr>
            <w:r>
              <w:rPr>
                <w:rFonts w:ascii="Arial" w:cs="Arial" w:eastAsia="Arial" w:hAnsi="Arial"/>
                <w:sz w:val="16"/>
                <w:szCs w:val="16"/>
                <w:color w:val="auto"/>
                <w:w w:val="93"/>
              </w:rPr>
              <w:t>(I.R.S. Employer</w:t>
            </w:r>
          </w:p>
        </w:tc>
      </w:tr>
      <w:tr>
        <w:trPr>
          <w:trHeight w:val="206"/>
        </w:trPr>
        <w:tc>
          <w:tcPr>
            <w:tcW w:w="2320" w:type="dxa"/>
            <w:vAlign w:val="bottom"/>
          </w:tcPr>
          <w:p>
            <w:pPr>
              <w:jc w:val="center"/>
              <w:ind w:right="299"/>
              <w:spacing w:after="0"/>
              <w:rPr>
                <w:sz w:val="20"/>
                <w:szCs w:val="20"/>
                <w:color w:val="auto"/>
              </w:rPr>
            </w:pPr>
            <w:r>
              <w:rPr>
                <w:rFonts w:ascii="Arial" w:cs="Arial" w:eastAsia="Arial" w:hAnsi="Arial"/>
                <w:sz w:val="16"/>
                <w:szCs w:val="16"/>
                <w:color w:val="auto"/>
                <w:w w:val="93"/>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00" w:type="dxa"/>
            <w:vAlign w:val="bottom"/>
          </w:tcPr>
          <w:p>
            <w:pPr>
              <w:jc w:val="center"/>
              <w:ind w:left="419"/>
              <w:spacing w:after="0"/>
              <w:rPr>
                <w:sz w:val="20"/>
                <w:szCs w:val="20"/>
                <w:color w:val="auto"/>
              </w:rPr>
            </w:pPr>
            <w:r>
              <w:rPr>
                <w:rFonts w:ascii="Arial" w:cs="Arial" w:eastAsia="Arial" w:hAnsi="Arial"/>
                <w:sz w:val="16"/>
                <w:szCs w:val="16"/>
                <w:color w:val="auto"/>
                <w:w w:val="96"/>
              </w:rPr>
              <w:t>Identification No.)</w:t>
            </w:r>
          </w:p>
        </w:tc>
      </w:tr>
      <w:tr>
        <w:trPr>
          <w:trHeight w:val="559"/>
        </w:trPr>
        <w:tc>
          <w:tcPr>
            <w:tcW w:w="232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00" w:type="dxa"/>
            <w:vAlign w:val="bottom"/>
          </w:tcPr>
          <w:p>
            <w:pPr>
              <w:spacing w:after="0"/>
              <w:rPr>
                <w:sz w:val="24"/>
                <w:szCs w:val="24"/>
                <w:color w:val="auto"/>
              </w:rPr>
            </w:pPr>
          </w:p>
        </w:tc>
      </w:tr>
      <w:tr>
        <w:trPr>
          <w:trHeight w:val="189"/>
        </w:trPr>
        <w:tc>
          <w:tcPr>
            <w:tcW w:w="232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00" w:type="dxa"/>
            <w:vAlign w:val="bottom"/>
          </w:tcPr>
          <w:p>
            <w:pPr>
              <w:spacing w:after="0"/>
              <w:rPr>
                <w:sz w:val="16"/>
                <w:szCs w:val="16"/>
                <w:color w:val="auto"/>
              </w:rPr>
            </w:pPr>
          </w:p>
        </w:tc>
      </w:tr>
      <w:tr>
        <w:trPr>
          <w:trHeight w:val="193"/>
        </w:trPr>
        <w:tc>
          <w:tcPr>
            <w:tcW w:w="232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00" w:type="dxa"/>
            <w:vAlign w:val="bottom"/>
          </w:tcPr>
          <w:p>
            <w:pPr>
              <w:spacing w:after="0"/>
              <w:rPr>
                <w:sz w:val="16"/>
                <w:szCs w:val="16"/>
                <w:color w:val="auto"/>
              </w:rPr>
            </w:pPr>
          </w:p>
        </w:tc>
      </w:tr>
      <w:tr>
        <w:trPr>
          <w:trHeight w:val="206"/>
        </w:trPr>
        <w:tc>
          <w:tcPr>
            <w:tcW w:w="232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00" w:type="dxa"/>
            <w:vAlign w:val="bottom"/>
          </w:tcPr>
          <w:p>
            <w:pPr>
              <w:spacing w:after="0"/>
              <w:rPr>
                <w:sz w:val="17"/>
                <w:szCs w:val="17"/>
                <w:color w:val="auto"/>
              </w:rPr>
            </w:pPr>
          </w:p>
        </w:tc>
      </w:tr>
      <w:tr>
        <w:trPr>
          <w:trHeight w:val="415"/>
        </w:trPr>
        <w:tc>
          <w:tcPr>
            <w:tcW w:w="232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00" w:type="dxa"/>
            <w:vAlign w:val="bottom"/>
          </w:tcPr>
          <w:p>
            <w:pPr>
              <w:spacing w:after="0"/>
              <w:rPr>
                <w:sz w:val="24"/>
                <w:szCs w:val="24"/>
                <w:color w:val="auto"/>
              </w:rPr>
            </w:pPr>
          </w:p>
        </w:tc>
      </w:tr>
      <w:tr>
        <w:trPr>
          <w:trHeight w:val="206"/>
        </w:trPr>
        <w:tc>
          <w:tcPr>
            <w:tcW w:w="232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00" w:type="dxa"/>
            <w:vAlign w:val="bottom"/>
          </w:tcPr>
          <w:p>
            <w:pPr>
              <w:spacing w:after="0"/>
              <w:rPr>
                <w:sz w:val="17"/>
                <w:szCs w:val="17"/>
                <w:color w:val="auto"/>
              </w:rPr>
            </w:pPr>
          </w:p>
        </w:tc>
      </w:tr>
      <w:tr>
        <w:trPr>
          <w:trHeight w:val="415"/>
        </w:trPr>
        <w:tc>
          <w:tcPr>
            <w:tcW w:w="232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00" w:type="dxa"/>
            <w:vAlign w:val="bottom"/>
          </w:tcPr>
          <w:p>
            <w:pPr>
              <w:spacing w:after="0"/>
              <w:rPr>
                <w:sz w:val="24"/>
                <w:szCs w:val="24"/>
                <w:color w:val="auto"/>
              </w:rPr>
            </w:pPr>
          </w:p>
        </w:tc>
      </w:tr>
      <w:tr>
        <w:trPr>
          <w:trHeight w:val="206"/>
        </w:trPr>
        <w:tc>
          <w:tcPr>
            <w:tcW w:w="232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0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1580" w:hanging="593"/>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80" w:hanging="593"/>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80" w:hanging="593"/>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80" w:hanging="593"/>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71"/>
        </w:trPr>
        <w:tc>
          <w:tcPr>
            <w:tcW w:w="3420" w:type="dxa"/>
            <w:vAlign w:val="bottom"/>
            <w:gridSpan w:val="3"/>
          </w:tcPr>
          <w:p>
            <w:pPr>
              <w:jc w:val="center"/>
              <w:ind w:right="540"/>
              <w:spacing w:after="0"/>
              <w:rPr>
                <w:sz w:val="20"/>
                <w:szCs w:val="20"/>
                <w:color w:val="auto"/>
              </w:rPr>
            </w:pPr>
            <w:r>
              <w:rPr>
                <w:rFonts w:ascii="Arial" w:cs="Arial" w:eastAsia="Arial" w:hAnsi="Arial"/>
                <w:sz w:val="16"/>
                <w:szCs w:val="16"/>
                <w:color w:val="auto"/>
                <w:w w:val="90"/>
              </w:rPr>
              <w:t>Common Stock, par value $0.0001 per share</w:t>
            </w:r>
          </w:p>
        </w:tc>
        <w:tc>
          <w:tcPr>
            <w:tcW w:w="520" w:type="dxa"/>
            <w:vAlign w:val="bottom"/>
          </w:tcPr>
          <w:p>
            <w:pPr>
              <w:spacing w:after="0"/>
              <w:rPr>
                <w:sz w:val="23"/>
                <w:szCs w:val="23"/>
                <w:color w:val="auto"/>
              </w:rPr>
            </w:pPr>
          </w:p>
        </w:tc>
        <w:tc>
          <w:tcPr>
            <w:tcW w:w="2320" w:type="dxa"/>
            <w:vAlign w:val="bottom"/>
            <w:gridSpan w:val="2"/>
          </w:tcPr>
          <w:p>
            <w:pPr>
              <w:jc w:val="center"/>
              <w:ind w:right="102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37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695960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jc w:val="both"/>
        <w:ind w:right="2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July 16, 2020, the Compensation Committee of the Board of Directors of SI-BONE, Inc. adopted the SI-BONE, Inc. Severance Benefit Plan (the “Plan”), and form of Participation Agreement for use with the Plan, pursuant to which participants in the Plan will receive severance benefits if SI-BONE terminates the participant’s employment with SI-BONE without “cause” or the participant resigns his or her employment for “good reason” within three months prior to, or within 12 months following, a “change in control” of SI-BONE (as such terms are defined in the Plan). In addition, SI-BONE’s Chief Executive Officer, Jeffrey Dunn, will receive benefits under the Plan if the closing of a “change in control” occurs and he agrees to provide transition services to SI-BONE on a full-time basis for up to six months following the “change in control.” Participants in the Plan are those employees of SI-BONE that have been designated as participants by the Board of Directors or Compensation Committee as participants in the Plan and who have signed a Participation Agreement. All of SI-BONE’s executive officers have been designated as participants in the Plan.</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Severance payments to executive officers in connection with a change in control are as follows: (1) a lump sum cash payment equal to 12 months base salary (24 months in the case of Mr. Dunn), a lump sum cash payment of the then current annual target cash bonus (1.5 times annual target cash bonus in the case of Mr. Dunn), COBRA coverage for 12 months (24 months in the case of Mr. Dunn), full acceleration of vesting of all equity awards, and extension of the post-termination exercise period to two years (or the closing of the change in control if provided in the equity award or change in control agreement).</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in the event SI-BONE terminates the employment of an executive officer without cause other than within three months prior to or 12 months following a change in control, the executive officer will receive severance payments as follows: (1) a lump sum cash payment equal to 12 months base salary, and COBRA coverage for 12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obtain benefits under the Plan the participant must sign and deliver to SI-BONE a release of liability in favor of SI-BONE.</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description of the Plan and Participation Agreement set forth above is not complete and is qualified by reference to the Plan and form of Participation Agreement attached as Exhibit 10.1 her</w:t>
      </w:r>
      <w:r>
        <w:rPr>
          <w:rFonts w:ascii="Arial" w:cs="Arial" w:eastAsia="Arial" w:hAnsi="Arial"/>
          <w:sz w:val="21"/>
          <w:szCs w:val="21"/>
          <w:color w:val="auto"/>
        </w:rPr>
        <w:t>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10080" w:type="dxa"/>
            <w:vAlign w:val="bottom"/>
            <w:gridSpan w:val="2"/>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331"/>
        </w:trPr>
        <w:tc>
          <w:tcPr>
            <w:tcW w:w="90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0080" w:type="dxa"/>
            <w:vAlign w:val="bottom"/>
            <w:gridSpan w:val="2"/>
          </w:tcPr>
          <w:p>
            <w:pPr>
              <w:ind w:left="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SI-BONE, Inc. Severance Benefit Plan and Form of Participation Agreement</w:t>
              </w:r>
            </w:hyperlink>
          </w:p>
        </w:tc>
      </w:tr>
      <w:tr>
        <w:trPr>
          <w:trHeight w:val="270"/>
        </w:trPr>
        <w:tc>
          <w:tcPr>
            <w:tcW w:w="90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3"/>
                <w:szCs w:val="23"/>
                <w:color w:val="auto"/>
              </w:rPr>
            </w:pP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63"/>
        </w:trPr>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20"/>
        <w:spacing w:after="0"/>
        <w:tabs>
          <w:tab w:leader="none" w:pos="820" w:val="left"/>
          <w:tab w:leader="none" w:pos="4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320" w:top="891"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Benefit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INTRODUCTION.</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SI-BONE, Inc. Severance Benefit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 by the Compensation Committee of the Board of Directors of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July 16, 2020. The purpose of the Plan is to provide for the payment of severance benefits to eligible employees of the Company in the event that such employees become subject to involuntary or constructive employment terminations. This Plan document also is the Summary Plan Description for the Plan.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Plan, the following terms are defined as follows:</w:t>
      </w:r>
    </w:p>
    <w:p>
      <w:pPr>
        <w:spacing w:after="0" w:line="225" w:lineRule="exact"/>
        <w:rPr>
          <w:sz w:val="20"/>
          <w:szCs w:val="20"/>
          <w:color w:val="auto"/>
        </w:rPr>
      </w:pPr>
    </w:p>
    <w:p>
      <w:pPr>
        <w:jc w:val="both"/>
        <w:ind w:firstLine="1304"/>
        <w:spacing w:after="0" w:line="259" w:lineRule="auto"/>
        <w:tabs>
          <w:tab w:leader="none" w:pos="193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corporation, limited liability company or other business entity (other than the Company) in an “unbroken chain” beginning with the Company, if each of the business entities other than the last such business entity in the unbroken chain owns stock or other equity interests possessing 50% or more of the total combined voting power of all classes of stock or other equity interests in one of the other business entities in such chain.</w:t>
      </w:r>
    </w:p>
    <w:p>
      <w:pPr>
        <w:spacing w:after="0" w:line="186" w:lineRule="exact"/>
        <w:rPr>
          <w:rFonts w:ascii="Arial" w:cs="Arial" w:eastAsia="Arial" w:hAnsi="Arial"/>
          <w:sz w:val="18"/>
          <w:szCs w:val="18"/>
          <w:b w:val="1"/>
          <w:bCs w:val="1"/>
          <w:color w:val="auto"/>
        </w:rPr>
      </w:pPr>
    </w:p>
    <w:p>
      <w:pPr>
        <w:ind w:firstLine="1304"/>
        <w:spacing w:after="0" w:line="308" w:lineRule="auto"/>
        <w:tabs>
          <w:tab w:leader="none" w:pos="1934"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46" w:lineRule="exact"/>
        <w:rPr>
          <w:rFonts w:ascii="Arial" w:cs="Arial" w:eastAsia="Arial" w:hAnsi="Arial"/>
          <w:sz w:val="17"/>
          <w:szCs w:val="17"/>
          <w:b w:val="1"/>
          <w:bCs w:val="1"/>
          <w:color w:val="auto"/>
        </w:rPr>
      </w:pPr>
    </w:p>
    <w:p>
      <w:pPr>
        <w:jc w:val="both"/>
        <w:ind w:firstLine="1304"/>
        <w:spacing w:after="0" w:line="259" w:lineRule="auto"/>
        <w:tabs>
          <w:tab w:leader="none" w:pos="1941"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with respect to a particular employee, the meaning ascribed to such term in any written employment agreement, offer letter or similar agreement between such employee and the Company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186"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Equity Plan.</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941"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three months prior to the Closing of a Change in Control and ending 12 months following the Closing of a Change in Control.</w:t>
      </w:r>
    </w:p>
    <w:p>
      <w:pPr>
        <w:spacing w:after="0" w:line="170" w:lineRule="exact"/>
        <w:rPr>
          <w:rFonts w:ascii="Arial" w:cs="Arial" w:eastAsia="Arial" w:hAnsi="Arial"/>
          <w:sz w:val="18"/>
          <w:szCs w:val="18"/>
          <w:b w:val="1"/>
          <w:bCs w:val="1"/>
          <w:color w:val="auto"/>
        </w:rPr>
      </w:pPr>
    </w:p>
    <w:p>
      <w:pPr>
        <w:jc w:val="both"/>
        <w:ind w:firstLine="1304"/>
        <w:spacing w:after="0" w:line="263" w:lineRule="auto"/>
        <w:tabs>
          <w:tab w:leader="none" w:pos="19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183"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including any applicable regulations and guidance thereunder.</w:t>
      </w:r>
    </w:p>
    <w:p>
      <w:pPr>
        <w:spacing w:after="0" w:line="248" w:lineRule="exact"/>
        <w:rPr>
          <w:rFonts w:ascii="Arial" w:cs="Arial" w:eastAsia="Arial" w:hAnsi="Arial"/>
          <w:sz w:val="16"/>
          <w:szCs w:val="16"/>
          <w:b w:val="1"/>
          <w:bCs w:val="1"/>
          <w:color w:val="auto"/>
        </w:rPr>
      </w:pPr>
    </w:p>
    <w:p>
      <w:pPr>
        <w:ind w:left="1940" w:hanging="636"/>
        <w:spacing w:after="0"/>
        <w:tabs>
          <w:tab w:leader="none" w:pos="194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Board of Directors or the Compensation Committee of the Board of Directors of the Company.</w:t>
      </w:r>
    </w:p>
    <w:p>
      <w:pPr>
        <w:spacing w:after="0" w:line="236" w:lineRule="exact"/>
        <w:rPr>
          <w:rFonts w:ascii="Arial" w:cs="Arial" w:eastAsia="Arial" w:hAnsi="Arial"/>
          <w:sz w:val="17"/>
          <w:szCs w:val="17"/>
          <w:b w:val="1"/>
          <w:bCs w:val="1"/>
          <w:color w:val="auto"/>
        </w:rPr>
      </w:pPr>
    </w:p>
    <w:p>
      <w:pPr>
        <w:ind w:left="1940" w:hanging="636"/>
        <w:spacing w:after="0"/>
        <w:tabs>
          <w:tab w:leader="none" w:pos="1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SI-BONE, Inc. or, following a Change in Control, the surviving entity resulting from such event.</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9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Company’s standard form of Employee Proprietary Information and Inventions Agreement or any similar or successor document.</w:t>
      </w:r>
    </w:p>
    <w:p>
      <w:pPr>
        <w:spacing w:after="0" w:line="170" w:lineRule="exact"/>
        <w:rPr>
          <w:rFonts w:ascii="Arial" w:cs="Arial" w:eastAsia="Arial" w:hAnsi="Arial"/>
          <w:sz w:val="18"/>
          <w:szCs w:val="18"/>
          <w:b w:val="1"/>
          <w:bCs w:val="1"/>
          <w:color w:val="auto"/>
        </w:rPr>
      </w:pPr>
    </w:p>
    <w:p>
      <w:pPr>
        <w:jc w:val="both"/>
        <w:ind w:firstLine="1304"/>
        <w:spacing w:after="0" w:line="263" w:lineRule="auto"/>
        <w:tabs>
          <w:tab w:leader="none" w:pos="1934"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with respect to an employee, a termination of employment that is due to (1) a termination by the Company without Cause (and other than as a result of the employee’s death or Disability) or (2) the employee’s resignation for Good Reason, and in either case of (1) or (2), results in such employee’s Separation from Service.</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193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any physical or mental condition which renders an employee incapable of performing the work for which he or she was employed by the Company or similar work offered by the Company. The Disability of an employee shall be established if (i) the employee satisfies the requirements for benefits under the Company’s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long-term disability plan or (ii) in the absence of a Company-sponsored long-term disability plan, the employee satisfies the requirements for Social Security disability benefits.</w:t>
      </w:r>
    </w:p>
    <w:p>
      <w:pPr>
        <w:spacing w:after="0" w:line="170" w:lineRule="exact"/>
        <w:rPr>
          <w:sz w:val="20"/>
          <w:szCs w:val="20"/>
          <w:color w:val="auto"/>
        </w:rPr>
      </w:pPr>
    </w:p>
    <w:p>
      <w:pPr>
        <w:ind w:left="1960" w:hanging="656"/>
        <w:spacing w:after="0"/>
        <w:tabs>
          <w:tab w:leader="none" w:pos="19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of the Company that meets the requirements to be eligible to receive Plan benefits as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set forth in Section 2.</w:t>
      </w:r>
    </w:p>
    <w:p>
      <w:pPr>
        <w:spacing w:after="0" w:line="210" w:lineRule="exact"/>
        <w:rPr>
          <w:rFonts w:ascii="Arial" w:cs="Arial" w:eastAsia="Arial" w:hAnsi="Arial"/>
          <w:sz w:val="16"/>
          <w:szCs w:val="16"/>
          <w:b w:val="1"/>
          <w:bCs w:val="1"/>
          <w:color w:val="auto"/>
        </w:rPr>
      </w:pPr>
    </w:p>
    <w:p>
      <w:pPr>
        <w:ind w:left="1940" w:hanging="636"/>
        <w:spacing w:after="0"/>
        <w:tabs>
          <w:tab w:leader="none" w:pos="1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the SI-BONE, Inc. 2018 Equity Incentive Plan, as amended from time to time.</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93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for an employee’s resignation means the occurrence of any one or more of the following are undertaken by the Company (or successor to the Company, if applicable) without the employee’s express written consent:</w:t>
      </w:r>
    </w:p>
    <w:p>
      <w:pPr>
        <w:spacing w:after="0" w:line="170"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a material reduction in such employee’s annual base salary or total target cash compensation (i.e. the sum of such Covered Employee’s annual base salary and annual target bonus) representing, in either case, a reduction of an amount equal to more than ten percent (10%) of such employee’s then current base salary;</w:t>
      </w:r>
    </w:p>
    <w:p>
      <w:pPr>
        <w:spacing w:after="0" w:line="183" w:lineRule="exact"/>
        <w:rPr>
          <w:rFonts w:ascii="Arial" w:cs="Arial" w:eastAsia="Arial" w:hAnsi="Arial"/>
          <w:sz w:val="18"/>
          <w:szCs w:val="18"/>
          <w:b w:val="1"/>
          <w:bCs w:val="1"/>
          <w:color w:val="auto"/>
        </w:rPr>
      </w:pPr>
    </w:p>
    <w:p>
      <w:pPr>
        <w:jc w:val="both"/>
        <w:ind w:left="80" w:firstLine="1953"/>
        <w:spacing w:after="0" w:line="279" w:lineRule="auto"/>
        <w:tabs>
          <w:tab w:leader="none" w:pos="2585" w:val="left"/>
        </w:tabs>
        <w:numPr>
          <w:ilvl w:val="2"/>
          <w:numId w:val="3"/>
        </w:numPr>
        <w:rPr>
          <w:rFonts w:ascii="Arial" w:cs="Arial" w:eastAsia="Arial" w:hAnsi="Arial"/>
          <w:sz w:val="17"/>
          <w:szCs w:val="17"/>
          <w:b w:val="1"/>
          <w:bCs w:val="1"/>
          <w:color w:val="auto"/>
        </w:rPr>
      </w:pPr>
      <w:r>
        <w:rPr>
          <w:rFonts w:ascii="Arial" w:cs="Arial" w:eastAsia="Arial" w:hAnsi="Arial"/>
          <w:sz w:val="17"/>
          <w:szCs w:val="17"/>
          <w:color w:val="auto"/>
        </w:rPr>
        <w:t xml:space="preserve">a material reduction or material adverse change in such employee’s job duties, responsibilities or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reduction or change after a Change in Control (or similar corporate transaction that does not constitute a Change in Control)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constitute Good Reason by virtue of the fact that such employee is performing similar duties and responsibilities in a larger organization (e.g., the Chief Executive Officer continues to be the Chief Executive Officer of the successor or parent corporation);</w:t>
      </w:r>
    </w:p>
    <w:p>
      <w:pPr>
        <w:spacing w:after="0" w:line="171" w:lineRule="exact"/>
        <w:rPr>
          <w:rFonts w:ascii="Arial" w:cs="Arial" w:eastAsia="Arial" w:hAnsi="Arial"/>
          <w:sz w:val="17"/>
          <w:szCs w:val="17"/>
          <w:b w:val="1"/>
          <w:bCs w:val="1"/>
          <w:color w:val="auto"/>
        </w:rPr>
      </w:pPr>
    </w:p>
    <w:p>
      <w:pPr>
        <w:jc w:val="both"/>
        <w:ind w:left="80" w:firstLine="1953"/>
        <w:spacing w:after="0" w:line="263" w:lineRule="auto"/>
        <w:tabs>
          <w:tab w:leader="none" w:pos="2585"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a material diminution in the authority, duties or responsibility of the supervisor to whom such employee is required to report including a requirement that such employee report to a corporate officer or employee instead of reporting directly to the board of directors of the Company;</w:t>
      </w:r>
    </w:p>
    <w:p>
      <w:pPr>
        <w:spacing w:after="0" w:line="183" w:lineRule="exact"/>
        <w:rPr>
          <w:rFonts w:ascii="Arial" w:cs="Arial" w:eastAsia="Arial" w:hAnsi="Arial"/>
          <w:sz w:val="18"/>
          <w:szCs w:val="18"/>
          <w:b w:val="1"/>
          <w:bCs w:val="1"/>
          <w:color w:val="auto"/>
        </w:rPr>
      </w:pPr>
    </w:p>
    <w:p>
      <w:pPr>
        <w:jc w:val="both"/>
        <w:ind w:left="80" w:firstLine="1953"/>
        <w:spacing w:after="0" w:line="259" w:lineRule="auto"/>
        <w:tabs>
          <w:tab w:leader="none" w:pos="2585"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a relocation of such employee’s principal place of employment with the Company (or successor to the Company, if applicable) to a place by more than 30 miles as compared to such employee’s then-current principal place of employment immediately prior to such relocation, except for required travel by the employee on the Company’s business to an extent substantially consistent with employee’s business travel obligations prior to the effective date of the Change in Control (or similar transaction); or</w:t>
      </w:r>
    </w:p>
    <w:p>
      <w:pPr>
        <w:spacing w:after="0" w:line="186"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a material breach by the Company of any provision of this Plan or any other material agreement between such employee and the Company concerning the terms and conditions of such employee’s employment or service with the Company,</w:t>
      </w:r>
    </w:p>
    <w:p>
      <w:pPr>
        <w:spacing w:after="0" w:line="170" w:lineRule="exact"/>
        <w:rPr>
          <w:rFonts w:ascii="Arial" w:cs="Arial" w:eastAsia="Arial" w:hAnsi="Arial"/>
          <w:sz w:val="18"/>
          <w:szCs w:val="18"/>
          <w:b w:val="1"/>
          <w:bCs w:val="1"/>
          <w:color w:val="auto"/>
        </w:rPr>
      </w:pPr>
    </w:p>
    <w:p>
      <w:pPr>
        <w:jc w:val="both"/>
        <w:ind w:left="660" w:firstLine="968"/>
        <w:spacing w:after="0" w:line="293" w:lineRule="auto"/>
        <w:tabs>
          <w:tab w:leader="none" w:pos="195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in any case of (1), (2), (3) or (4) above, in order for the employee’s resignation to be deemed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for Good Reason, (i) the employee must first give the Company written notice of such employee’s intent to resign for Good Reason within 90 days after the date on which the Company gives written notice to such employee of the Company’s affirmative decision to take an action set forth in clause (1), (2), (3), or (4) above (or such action or condition otherwise occurs), which notice shall describe such condition(s) employee believes constitute Good Reason; (ii) the Company must fail to remedy such condition(s) within 30 days after receipt of such written notice (the “</w:t>
      </w:r>
      <w:r>
        <w:rPr>
          <w:rFonts w:ascii="Arial" w:cs="Arial" w:eastAsia="Arial" w:hAnsi="Arial"/>
          <w:sz w:val="16"/>
          <w:szCs w:val="16"/>
          <w:b w:val="1"/>
          <w:bCs w:val="1"/>
          <w:i w:val="1"/>
          <w:iCs w:val="1"/>
          <w:color w:val="auto"/>
        </w:rPr>
        <w:t>Cure Period</w:t>
      </w:r>
      <w:r>
        <w:rPr>
          <w:rFonts w:ascii="Arial" w:cs="Arial" w:eastAsia="Arial" w:hAnsi="Arial"/>
          <w:sz w:val="16"/>
          <w:szCs w:val="16"/>
          <w:color w:val="auto"/>
        </w:rPr>
        <w:t>”), and (iii) the employee must resign from employment effective not later than 90 days after the expiration of such Cure Period.</w:t>
      </w:r>
    </w:p>
    <w:p>
      <w:pPr>
        <w:spacing w:after="0" w:line="160" w:lineRule="exact"/>
        <w:rPr>
          <w:rFonts w:ascii="Arial" w:cs="Arial" w:eastAsia="Arial" w:hAnsi="Arial"/>
          <w:sz w:val="16"/>
          <w:szCs w:val="16"/>
          <w:color w:val="auto"/>
        </w:rPr>
      </w:pPr>
    </w:p>
    <w:p>
      <w:pPr>
        <w:ind w:firstLine="1304"/>
        <w:spacing w:after="0" w:line="347" w:lineRule="auto"/>
        <w:tabs>
          <w:tab w:leader="none" w:pos="1979"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Participation Agreement</w:t>
      </w:r>
      <w:r>
        <w:rPr>
          <w:rFonts w:ascii="Arial" w:cs="Arial" w:eastAsia="Arial" w:hAnsi="Arial"/>
          <w:sz w:val="16"/>
          <w:szCs w:val="16"/>
          <w:color w:val="auto"/>
        </w:rPr>
        <w:t xml:space="preserve">” means an agreement between an employee and the Company in substantially the form of </w:t>
      </w:r>
      <w:r>
        <w:rPr>
          <w:rFonts w:ascii="Arial" w:cs="Arial" w:eastAsia="Arial" w:hAnsi="Arial"/>
          <w:sz w:val="16"/>
          <w:szCs w:val="16"/>
          <w:b w:val="1"/>
          <w:bCs w:val="1"/>
          <w:color w:val="auto"/>
        </w:rPr>
        <w:t>Appendix</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 </w:t>
      </w:r>
      <w:r>
        <w:rPr>
          <w:rFonts w:ascii="Arial" w:cs="Arial" w:eastAsia="Arial" w:hAnsi="Arial"/>
          <w:sz w:val="16"/>
          <w:szCs w:val="16"/>
          <w:color w:val="auto"/>
        </w:rPr>
        <w:t>attached hereto, and which may include such other terms as the Committee deems necessary or advisable in the administration of the Plan.</w:t>
      </w:r>
    </w:p>
    <w:p>
      <w:pPr>
        <w:spacing w:after="0" w:line="119" w:lineRule="exact"/>
        <w:rPr>
          <w:rFonts w:ascii="Arial" w:cs="Arial" w:eastAsia="Arial" w:hAnsi="Arial"/>
          <w:sz w:val="16"/>
          <w:szCs w:val="16"/>
          <w:b w:val="1"/>
          <w:bCs w:val="1"/>
          <w:color w:val="auto"/>
        </w:rPr>
      </w:pPr>
    </w:p>
    <w:p>
      <w:pPr>
        <w:ind w:left="1940" w:hanging="636"/>
        <w:spacing w:after="0"/>
        <w:tabs>
          <w:tab w:leader="none" w:pos="19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Administrator</w:t>
      </w:r>
      <w:r>
        <w:rPr>
          <w:rFonts w:ascii="Arial" w:cs="Arial" w:eastAsia="Arial" w:hAnsi="Arial"/>
          <w:sz w:val="17"/>
          <w:szCs w:val="17"/>
          <w:color w:val="auto"/>
        </w:rPr>
        <w:t>” means the Committee prior to the Closing and the Representative upon and following the Closing, as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applicable.</w:t>
      </w:r>
    </w:p>
    <w:p>
      <w:pPr>
        <w:spacing w:after="0" w:line="210" w:lineRule="exact"/>
        <w:rPr>
          <w:rFonts w:ascii="Arial" w:cs="Arial" w:eastAsia="Arial" w:hAnsi="Arial"/>
          <w:sz w:val="17"/>
          <w:szCs w:val="17"/>
          <w:b w:val="1"/>
          <w:bCs w:val="1"/>
          <w:color w:val="auto"/>
        </w:rPr>
      </w:pPr>
    </w:p>
    <w:p>
      <w:pPr>
        <w:jc w:val="both"/>
        <w:ind w:firstLine="1304"/>
        <w:spacing w:after="0" w:line="263" w:lineRule="auto"/>
        <w:tabs>
          <w:tab w:leader="none" w:pos="1941"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8(a).</w:t>
      </w:r>
    </w:p>
    <w:p>
      <w:pPr>
        <w:spacing w:after="0" w:line="183" w:lineRule="exact"/>
        <w:rPr>
          <w:rFonts w:ascii="Arial" w:cs="Arial" w:eastAsia="Arial" w:hAnsi="Arial"/>
          <w:sz w:val="18"/>
          <w:szCs w:val="18"/>
          <w:b w:val="1"/>
          <w:bCs w:val="1"/>
          <w:color w:val="auto"/>
        </w:rPr>
      </w:pPr>
    </w:p>
    <w:p>
      <w:pPr>
        <w:ind w:left="1940" w:hanging="636"/>
        <w:spacing w:after="0"/>
        <w:tabs>
          <w:tab w:leader="none" w:pos="19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the treasury regulations and other guidance thereunder and any state law</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similar effect.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73" w:right="339" w:bottom="1440" w:gutter="0" w:footer="0" w:header="0"/>
        </w:sectPr>
      </w:pPr>
    </w:p>
    <w:bookmarkStart w:id="5" w:name="page6"/>
    <w:bookmarkEnd w:id="5"/>
    <w:p>
      <w:pPr>
        <w:ind w:firstLine="1304"/>
        <w:spacing w:after="0" w:line="277" w:lineRule="auto"/>
        <w:tabs>
          <w:tab w:leader="none" w:pos="193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“separation from service” within the meaning of Treasury Regulations Section 1.409A-1(h), without regard to any alternative definition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ELIGIBILITY FOR BENEFITS.</w:t>
      </w:r>
    </w:p>
    <w:p>
      <w:pPr>
        <w:spacing w:after="0" w:line="225" w:lineRule="exact"/>
        <w:rPr>
          <w:sz w:val="20"/>
          <w:szCs w:val="20"/>
          <w:color w:val="auto"/>
        </w:rPr>
      </w:pPr>
    </w:p>
    <w:p>
      <w:pPr>
        <w:jc w:val="both"/>
        <w:ind w:firstLine="1304"/>
        <w:spacing w:after="0" w:line="258" w:lineRule="auto"/>
        <w:tabs>
          <w:tab w:leader="none" w:pos="193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Employee</w:t>
      </w:r>
      <w:r>
        <w:rPr>
          <w:rFonts w:ascii="Arial" w:cs="Arial" w:eastAsia="Arial" w:hAnsi="Arial"/>
          <w:sz w:val="18"/>
          <w:szCs w:val="18"/>
          <w:color w:val="auto"/>
        </w:rPr>
        <w:t>. An employee of the Company is eligible to participate in the Plan if (i) the Plan Administrator has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such employee as eligible to participate in the Plan by providing such employee a Participation Agreement; (ii) such employee has signed and returned such Participation Agreement to the Company within the time period required therein; and (iii) such employee meets the other Plan eligibility requirements set forth in this Section 2. The determination of whether an employee is an Eligible Employee shall be made by the Plan Administrator, in its sole discretion, and such determination shall be binding and conclusive on all persons.</w:t>
      </w:r>
    </w:p>
    <w:p>
      <w:pPr>
        <w:spacing w:after="0" w:line="183" w:lineRule="exact"/>
        <w:rPr>
          <w:rFonts w:ascii="Arial" w:cs="Arial" w:eastAsia="Arial" w:hAnsi="Arial"/>
          <w:sz w:val="18"/>
          <w:szCs w:val="18"/>
          <w:b w:val="1"/>
          <w:bCs w:val="1"/>
          <w:color w:val="auto"/>
        </w:rPr>
      </w:pPr>
    </w:p>
    <w:p>
      <w:pPr>
        <w:jc w:val="both"/>
        <w:ind w:firstLine="1304"/>
        <w:spacing w:after="0" w:line="261" w:lineRule="auto"/>
        <w:tabs>
          <w:tab w:leader="none" w:pos="193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Requirement. </w:t>
      </w:r>
      <w:r>
        <w:rPr>
          <w:rFonts w:ascii="Arial" w:cs="Arial" w:eastAsia="Arial" w:hAnsi="Arial"/>
          <w:sz w:val="18"/>
          <w:szCs w:val="18"/>
          <w:color w:val="auto"/>
        </w:rPr>
        <w:t>Except as otherwise provided in an individual Participation Agreement, in order to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the Plan, the employee also must execute a general waiver and release, in such a form as provided by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179" w:lineRule="exact"/>
        <w:rPr>
          <w:rFonts w:ascii="Arial" w:cs="Arial" w:eastAsia="Arial" w:hAnsi="Arial"/>
          <w:sz w:val="18"/>
          <w:szCs w:val="18"/>
          <w:b w:val="1"/>
          <w:bCs w:val="1"/>
          <w:color w:val="auto"/>
        </w:rPr>
      </w:pPr>
    </w:p>
    <w:p>
      <w:pPr>
        <w:jc w:val="both"/>
        <w:ind w:firstLine="1304"/>
        <w:spacing w:after="0" w:line="255" w:lineRule="auto"/>
        <w:tabs>
          <w:tab w:leader="none" w:pos="194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Benefits Provided In Lieu of Any Previous Benefits. </w:t>
      </w:r>
      <w:r>
        <w:rPr>
          <w:rFonts w:ascii="Arial" w:cs="Arial" w:eastAsia="Arial" w:hAnsi="Arial"/>
          <w:sz w:val="18"/>
          <w:szCs w:val="18"/>
          <w:color w:val="auto"/>
        </w:rPr>
        <w:t>This Plan shall supersede any change in control or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 policy or practice previously maintained by the Company with respect to an Eligible Employee and any change in control or severance benefits in any individually negotiated employment contract, employment offer letter, or other agreement between the Company and an Eligible Employee. Notwithstanding the foregoing, the Eligible Employee’s outstanding equity awards shall remain subject to the terms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188" w:lineRule="exact"/>
        <w:rPr>
          <w:rFonts w:ascii="Arial" w:cs="Arial" w:eastAsia="Arial" w:hAnsi="Arial"/>
          <w:sz w:val="18"/>
          <w:szCs w:val="18"/>
          <w:b w:val="1"/>
          <w:bCs w:val="1"/>
          <w:color w:val="auto"/>
        </w:rPr>
      </w:pPr>
    </w:p>
    <w:p>
      <w:pPr>
        <w:ind w:right="20" w:firstLine="1304"/>
        <w:spacing w:after="0" w:line="282" w:lineRule="auto"/>
        <w:tabs>
          <w:tab w:leader="none" w:pos="193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Exceptions to Severance Benefit Entitlement. </w:t>
      </w:r>
      <w:r>
        <w:rPr>
          <w:rFonts w:ascii="Arial" w:cs="Arial" w:eastAsia="Arial" w:hAnsi="Arial"/>
          <w:sz w:val="18"/>
          <w:szCs w:val="18"/>
          <w:color w:val="auto"/>
        </w:rPr>
        <w:t>An employee who otherwise is an Eligible Employee will not receive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in the following circumstances, as determined by the Plan Administrator in its sole discretion:</w:t>
      </w:r>
    </w:p>
    <w:p>
      <w:pPr>
        <w:spacing w:after="0" w:line="165" w:lineRule="exact"/>
        <w:rPr>
          <w:rFonts w:ascii="Arial" w:cs="Arial" w:eastAsia="Arial" w:hAnsi="Arial"/>
          <w:sz w:val="18"/>
          <w:szCs w:val="18"/>
          <w:b w:val="1"/>
          <w:bCs w:val="1"/>
          <w:color w:val="auto"/>
        </w:rPr>
      </w:pPr>
    </w:p>
    <w:p>
      <w:pPr>
        <w:jc w:val="both"/>
        <w:ind w:left="80" w:firstLine="1953"/>
        <w:spacing w:after="0" w:line="259" w:lineRule="auto"/>
        <w:tabs>
          <w:tab w:leader="none" w:pos="2585"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employee’s employment is terminated by the Company for any reason (including due to the employee’s death or Disability) or the employee voluntarily terminates employment with the Company in any manner, and in either case, such termination is not a Covered Termination. Voluntary terminations include, but are not limited to, resignation, retirement or failure to return from a leave of absence on the scheduled date.</w:t>
      </w:r>
    </w:p>
    <w:p>
      <w:pPr>
        <w:spacing w:after="0" w:line="186"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employee voluntarily terminates employment with the Company in order to accept employment with another entity that is wholly or partly owned (directly or indirectly) by the Company or an Affiliate.</w:t>
      </w:r>
    </w:p>
    <w:p>
      <w:pPr>
        <w:spacing w:after="0" w:line="170" w:lineRule="exact"/>
        <w:rPr>
          <w:rFonts w:ascii="Arial" w:cs="Arial" w:eastAsia="Arial" w:hAnsi="Arial"/>
          <w:sz w:val="18"/>
          <w:szCs w:val="18"/>
          <w:b w:val="1"/>
          <w:bCs w:val="1"/>
          <w:color w:val="auto"/>
        </w:rPr>
      </w:pPr>
    </w:p>
    <w:p>
      <w:pPr>
        <w:jc w:val="both"/>
        <w:ind w:left="80" w:firstLine="1953"/>
        <w:spacing w:after="0" w:line="286" w:lineRule="auto"/>
        <w:tabs>
          <w:tab w:leader="none" w:pos="2585" w:val="left"/>
        </w:tabs>
        <w:numPr>
          <w:ilvl w:val="1"/>
          <w:numId w:val="5"/>
        </w:numPr>
        <w:rPr>
          <w:rFonts w:ascii="Arial" w:cs="Arial" w:eastAsia="Arial" w:hAnsi="Arial"/>
          <w:sz w:val="17"/>
          <w:szCs w:val="17"/>
          <w:b w:val="1"/>
          <w:bCs w:val="1"/>
          <w:color w:val="auto"/>
        </w:rPr>
      </w:pPr>
      <w:r>
        <w:rPr>
          <w:rFonts w:ascii="Arial" w:cs="Arial" w:eastAsia="Arial" w:hAnsi="Arial"/>
          <w:sz w:val="17"/>
          <w:szCs w:val="17"/>
          <w:color w:val="auto"/>
        </w:rPr>
        <w:t>The employee is offered an identical or substantially equivalent or comparable position with the Company or an Affiliate. For purposes of the foregoing, a “substantially equivalent or comparable position” is one that provides the employee substantially the same level of responsibility and compensation and would not give rise to the employee’s right to a resignation for Good Reason.</w:t>
      </w:r>
    </w:p>
    <w:p>
      <w:pPr>
        <w:spacing w:after="0" w:line="165" w:lineRule="exact"/>
        <w:rPr>
          <w:rFonts w:ascii="Arial" w:cs="Arial" w:eastAsia="Arial" w:hAnsi="Arial"/>
          <w:sz w:val="17"/>
          <w:szCs w:val="17"/>
          <w:b w:val="1"/>
          <w:bCs w:val="1"/>
          <w:color w:val="auto"/>
        </w:rPr>
      </w:pPr>
    </w:p>
    <w:p>
      <w:pPr>
        <w:jc w:val="both"/>
        <w:ind w:left="80" w:firstLine="1953"/>
        <w:spacing w:after="0" w:line="291" w:lineRule="auto"/>
        <w:tabs>
          <w:tab w:leader="none" w:pos="2585"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 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For the avoidance of doubt,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166" w:lineRule="exact"/>
        <w:rPr>
          <w:rFonts w:ascii="Arial" w:cs="Arial" w:eastAsia="Arial" w:hAnsi="Arial"/>
          <w:sz w:val="16"/>
          <w:szCs w:val="16"/>
          <w:b w:val="1"/>
          <w:bCs w:val="1"/>
          <w:color w:val="auto"/>
        </w:rPr>
      </w:pPr>
    </w:p>
    <w:p>
      <w:pPr>
        <w:ind w:left="80" w:firstLine="1953"/>
        <w:spacing w:after="0" w:line="277" w:lineRule="auto"/>
        <w:tabs>
          <w:tab w:leader="none" w:pos="2585"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employee is rehired by the Company or an Affiliate and recommences employment prior to the date severance benefits under the Plan are scheduled to commence.</w:t>
      </w:r>
    </w:p>
    <w:p>
      <w:pPr>
        <w:spacing w:after="0" w:line="166" w:lineRule="exact"/>
        <w:rPr>
          <w:rFonts w:ascii="Arial" w:cs="Arial" w:eastAsia="Arial" w:hAnsi="Arial"/>
          <w:sz w:val="18"/>
          <w:szCs w:val="18"/>
          <w:b w:val="1"/>
          <w:bCs w:val="1"/>
          <w:color w:val="auto"/>
        </w:rPr>
      </w:pPr>
    </w:p>
    <w:p>
      <w:pPr>
        <w:jc w:val="both"/>
        <w:ind w:firstLine="1304"/>
        <w:spacing w:after="0" w:line="266" w:lineRule="auto"/>
        <w:tabs>
          <w:tab w:leader="none" w:pos="194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Severance Benefits</w:t>
      </w:r>
      <w:r>
        <w:rPr>
          <w:rFonts w:ascii="Arial" w:cs="Arial" w:eastAsia="Arial" w:hAnsi="Arial"/>
          <w:sz w:val="18"/>
          <w:szCs w:val="18"/>
          <w:color w:val="auto"/>
        </w:rPr>
        <w:t>. An Eligible Employee’s right to receive severance benefits under this Plan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if, at any time prior to or during the period for which the Eligible Employee is receiving severance benefits under the Plan, the Eligible Employee: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73" w:right="339" w:bottom="1440" w:gutter="0" w:footer="0" w:header="0"/>
        </w:sectPr>
      </w:pPr>
    </w:p>
    <w:bookmarkStart w:id="6" w:name="page7"/>
    <w:bookmarkEnd w:id="6"/>
    <w:p>
      <w:pPr>
        <w:jc w:val="both"/>
        <w:ind w:left="80" w:firstLine="1953"/>
        <w:spacing w:after="0" w:line="259" w:lineRule="auto"/>
        <w:tabs>
          <w:tab w:leader="none" w:pos="258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willfully breaches any material statutory, common law, or contractual obligation to the Company or an Affiliate (including, without limitation, the contractual obligations set forth in the Confidentiality Agreement and any other confidentiality, non-disclosure and developments agreement, non-competition, non-solicitation, or similar type agreement between the Eligible Employee and the Company, as applicable); or</w:t>
      </w:r>
    </w:p>
    <w:p>
      <w:pPr>
        <w:spacing w:after="0" w:line="186" w:lineRule="exact"/>
        <w:rPr>
          <w:rFonts w:ascii="Arial" w:cs="Arial" w:eastAsia="Arial" w:hAnsi="Arial"/>
          <w:sz w:val="18"/>
          <w:szCs w:val="18"/>
          <w:b w:val="1"/>
          <w:bCs w:val="1"/>
          <w:color w:val="auto"/>
        </w:rPr>
      </w:pPr>
    </w:p>
    <w:p>
      <w:pPr>
        <w:ind w:left="2600" w:hanging="567"/>
        <w:spacing w:after="0"/>
        <w:tabs>
          <w:tab w:leader="none" w:pos="26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fails to enter into the terms of any Confidentiality Agreement reasonably requested by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3. AMOUNT OF BENEFITS.</w:t>
      </w:r>
    </w:p>
    <w:p>
      <w:pPr>
        <w:spacing w:after="0" w:line="225" w:lineRule="exact"/>
        <w:rPr>
          <w:sz w:val="20"/>
          <w:szCs w:val="20"/>
          <w:color w:val="auto"/>
        </w:rPr>
      </w:pPr>
    </w:p>
    <w:p>
      <w:pPr>
        <w:ind w:left="1940" w:hanging="636"/>
        <w:spacing w:after="0"/>
        <w:tabs>
          <w:tab w:leader="none" w:pos="19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Benefits in Participation Agreement. </w:t>
      </w:r>
      <w:r>
        <w:rPr>
          <w:rFonts w:ascii="Arial" w:cs="Arial" w:eastAsia="Arial" w:hAnsi="Arial"/>
          <w:sz w:val="17"/>
          <w:szCs w:val="17"/>
          <w:color w:val="auto"/>
        </w:rPr>
        <w:t>Benefits under the Plan shall be provided to an Eligible Employee as set forth in the</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Participation Agreement.</w:t>
      </w:r>
    </w:p>
    <w:p>
      <w:pPr>
        <w:spacing w:after="0" w:line="206" w:lineRule="exact"/>
        <w:rPr>
          <w:rFonts w:ascii="Arial" w:cs="Arial" w:eastAsia="Arial" w:hAnsi="Arial"/>
          <w:sz w:val="17"/>
          <w:szCs w:val="17"/>
          <w:b w:val="1"/>
          <w:bCs w:val="1"/>
          <w:color w:val="auto"/>
        </w:rPr>
      </w:pPr>
    </w:p>
    <w:p>
      <w:pPr>
        <w:jc w:val="both"/>
        <w:ind w:firstLine="1304"/>
        <w:spacing w:after="0" w:line="258" w:lineRule="auto"/>
        <w:tabs>
          <w:tab w:leader="none" w:pos="193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Benefits. </w:t>
      </w:r>
      <w:r>
        <w:rPr>
          <w:rFonts w:ascii="Arial" w:cs="Arial" w:eastAsia="Arial" w:hAnsi="Arial"/>
          <w:sz w:val="18"/>
          <w:szCs w:val="18"/>
          <w:color w:val="auto"/>
        </w:rPr>
        <w:t>Notwithstanding the foregoing, the Committee may, in its sole discretion, provide benefits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not Eligible Employees (“</w:t>
      </w:r>
      <w:r>
        <w:rPr>
          <w:rFonts w:ascii="Arial" w:cs="Arial" w:eastAsia="Arial" w:hAnsi="Arial"/>
          <w:sz w:val="18"/>
          <w:szCs w:val="18"/>
          <w:b w:val="1"/>
          <w:bCs w:val="1"/>
          <w:i w:val="1"/>
          <w:iCs w:val="1"/>
          <w:color w:val="auto"/>
        </w:rPr>
        <w:t>Non-Eligible Employees</w:t>
      </w:r>
      <w:r>
        <w:rPr>
          <w:rFonts w:ascii="Arial" w:cs="Arial" w:eastAsia="Arial" w:hAnsi="Arial"/>
          <w:sz w:val="18"/>
          <w:szCs w:val="18"/>
          <w:color w:val="auto"/>
        </w:rPr>
        <w:t>”) chosen by the Plan Administrator, in its sole discretion, and the provision of any such benefits to a Non-Eligible Employee shall in no way obligate the Company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183" w:lineRule="exact"/>
        <w:rPr>
          <w:rFonts w:ascii="Arial" w:cs="Arial" w:eastAsia="Arial" w:hAnsi="Arial"/>
          <w:sz w:val="18"/>
          <w:szCs w:val="18"/>
          <w:b w:val="1"/>
          <w:bCs w:val="1"/>
          <w:color w:val="auto"/>
        </w:rPr>
      </w:pPr>
    </w:p>
    <w:p>
      <w:pPr>
        <w:jc w:val="both"/>
        <w:ind w:firstLine="1304"/>
        <w:spacing w:after="0" w:line="287" w:lineRule="auto"/>
        <w:tabs>
          <w:tab w:leader="none" w:pos="194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Reductions. </w:t>
      </w:r>
      <w:r>
        <w:rPr>
          <w:rFonts w:ascii="Arial" w:cs="Arial" w:eastAsia="Arial" w:hAnsi="Arial"/>
          <w:sz w:val="16"/>
          <w:szCs w:val="16"/>
          <w:color w:val="auto"/>
        </w:rPr>
        <w:t>In addition to Section 2(e) above, the Company, in its sole discretion, shall have the authority to reduce an</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or an Affiliate that become payable in connection with the Eligible Employee’s termination of employment pursuant to (i) any applicable legal requirement, including, without limitation, the Worker Adjustment and Retraining Notification Act or any other similar state law or (ii) any Company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Arial" w:cs="Arial" w:eastAsia="Arial" w:hAnsi="Arial"/>
          <w:sz w:val="16"/>
          <w:szCs w:val="16"/>
          <w:i w:val="1"/>
          <w:iCs w:val="1"/>
          <w:color w:val="auto"/>
        </w:rPr>
        <w:t>i.e</w:t>
      </w:r>
      <w:r>
        <w:rPr>
          <w:rFonts w:ascii="Arial" w:cs="Arial" w:eastAsia="Arial" w:hAnsi="Arial"/>
          <w:sz w:val="16"/>
          <w:szCs w:val="16"/>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163" w:lineRule="exact"/>
        <w:rPr>
          <w:rFonts w:ascii="Arial" w:cs="Arial" w:eastAsia="Arial" w:hAnsi="Arial"/>
          <w:sz w:val="16"/>
          <w:szCs w:val="16"/>
          <w:b w:val="1"/>
          <w:bCs w:val="1"/>
          <w:color w:val="auto"/>
        </w:rPr>
      </w:pPr>
    </w:p>
    <w:p>
      <w:pPr>
        <w:jc w:val="both"/>
        <w:ind w:firstLine="1304"/>
        <w:spacing w:after="0" w:line="269" w:lineRule="auto"/>
        <w:tabs>
          <w:tab w:leader="none" w:pos="193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an Eligible Employee will or may receive from the Company or otherwise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any such Payment shall be equal to the Reduced Amount. The “</w:t>
      </w:r>
      <w:r>
        <w:rPr>
          <w:rFonts w:ascii="Arial" w:cs="Arial" w:eastAsia="Arial" w:hAnsi="Arial"/>
          <w:sz w:val="17"/>
          <w:szCs w:val="17"/>
          <w:b w:val="1"/>
          <w:bCs w:val="1"/>
          <w:i w:val="1"/>
          <w:iCs w:val="1"/>
          <w:color w:val="auto"/>
        </w:rPr>
        <w:t>Reduced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shall be either (x) the largest portion of the Payment that would result in no portion of the Payment (after reduction) being subject to the Excise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i w:val="1"/>
          <w:iCs w:val="1"/>
          <w:color w:val="auto"/>
        </w:rPr>
        <w:t>Reduction Method</w:t>
      </w:r>
      <w:r>
        <w:rPr>
          <w:rFonts w:ascii="Arial" w:cs="Arial" w:eastAsia="Arial" w:hAnsi="Arial"/>
          <w:sz w:val="17"/>
          <w:szCs w:val="17"/>
          <w:color w:val="auto"/>
        </w:rPr>
        <w:t>”) that results in the greatest economic benefit for the Eligible Employee. If more than one method of reduction will result in the same economic benefit, the items so reduced will be reduced pro rata (the “</w:t>
      </w:r>
      <w:r>
        <w:rPr>
          <w:rFonts w:ascii="Arial" w:cs="Arial" w:eastAsia="Arial" w:hAnsi="Arial"/>
          <w:sz w:val="17"/>
          <w:szCs w:val="17"/>
          <w:b w:val="1"/>
          <w:bCs w:val="1"/>
          <w:i w:val="1"/>
          <w:iCs w:val="1"/>
          <w:color w:val="auto"/>
        </w:rPr>
        <w:t>Pro Rata Reduction Method</w:t>
      </w:r>
      <w:r>
        <w:rPr>
          <w:rFonts w:ascii="Arial" w:cs="Arial" w:eastAsia="Arial" w:hAnsi="Arial"/>
          <w:sz w:val="17"/>
          <w:szCs w:val="17"/>
          <w:color w:val="auto"/>
        </w:rPr>
        <w:t>”).</w:t>
      </w:r>
    </w:p>
    <w:p>
      <w:pPr>
        <w:spacing w:after="0" w:line="18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73" w:right="339" w:bottom="1440" w:gutter="0" w:footer="0" w:header="0"/>
        </w:sectPr>
      </w:pPr>
    </w:p>
    <w:bookmarkStart w:id="7" w:name="page8"/>
    <w:bookmarkEnd w:id="7"/>
    <w:p>
      <w:pPr>
        <w:jc w:val="both"/>
        <w:ind w:firstLine="1296"/>
        <w:spacing w:after="0" w:line="254" w:lineRule="auto"/>
        <w:rPr>
          <w:sz w:val="20"/>
          <w:szCs w:val="20"/>
          <w:color w:val="auto"/>
        </w:rPr>
      </w:pPr>
      <w:r>
        <w:rPr>
          <w:rFonts w:ascii="Arial" w:cs="Arial" w:eastAsia="Arial" w:hAnsi="Arial"/>
          <w:sz w:val="18"/>
          <w:szCs w:val="18"/>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 (x) above and the Internal Revenue Service determines thereafter that some portion of the Payment is subject to the Excise Tax, Eligible Employee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the Eligible Employee shall have no obligation to return any portion of the Payment pursuant to the preceding sentence.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RETURN OF COMPANY PROPERTY.</w:t>
      </w:r>
    </w:p>
    <w:p>
      <w:pPr>
        <w:spacing w:after="0" w:line="22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An Eligible Employee will not be entitled to any severance benefit under the Plan unless and until the Eligible Employee returns all Company Property. For this purpose, “</w:t>
      </w:r>
      <w:r>
        <w:rPr>
          <w:rFonts w:ascii="Arial" w:cs="Arial" w:eastAsia="Arial" w:hAnsi="Arial"/>
          <w:sz w:val="17"/>
          <w:szCs w:val="17"/>
          <w:b w:val="1"/>
          <w:bCs w:val="1"/>
          <w:i w:val="1"/>
          <w:iCs w:val="1"/>
          <w:color w:val="auto"/>
        </w:rPr>
        <w:t>Company Property</w:t>
      </w:r>
      <w:r>
        <w:rPr>
          <w:rFonts w:ascii="Arial" w:cs="Arial" w:eastAsia="Arial" w:hAnsi="Arial"/>
          <w:sz w:val="17"/>
          <w:szCs w:val="17"/>
          <w:color w:val="auto"/>
        </w:rPr>
        <w:t>” means all paper and electronic Company documents and other Company property which the Eligible Employee had in his or her possession or control at any time, including, but not limited to, Company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(and all reproductions thereof in whole or in part). As a condition to receiving benefits under the Plan, an Eligible Employee must not make or retain copies, reproductions or summaries of any such Company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TIME OF PAYMENT AND FORM OF BENEFITS.</w:t>
      </w:r>
    </w:p>
    <w:p>
      <w:pPr>
        <w:spacing w:after="0" w:line="22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 provided under the Plan are intended to satisfy the requirements for an exemption from application of Section 409A to the maximum extent that an exemption is available and any ambiguities herein shall be interpreted accordingly;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9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1.409A-1(b)(5) and 1.409A-1(b)(9)(iii), and (iii) any such benefits consisting of COBRA premiums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Arial" w:cs="Arial" w:eastAsia="Arial" w:hAnsi="Arial"/>
          <w:sz w:val="17"/>
          <w:szCs w:val="17"/>
          <w:b w:val="1"/>
          <w:bCs w:val="1"/>
          <w:i w:val="1"/>
          <w:iCs w:val="1"/>
          <w:color w:val="auto"/>
        </w:rPr>
        <w:t>Delayed 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 Date</w:t>
      </w:r>
      <w:r>
        <w:rPr>
          <w:rFonts w:ascii="Arial" w:cs="Arial" w:eastAsia="Arial" w:hAnsi="Arial"/>
          <w:sz w:val="17"/>
          <w:szCs w:val="17"/>
          <w:color w:val="auto"/>
        </w:rPr>
        <w:t>”), and (B) the Company shall (1) pay the Eligible Employee a lump sum amount equal to the sum of the severance benefit payments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73" w:right="339" w:bottom="1440" w:gutter="0" w:footer="0" w:header="0"/>
        </w:sectPr>
      </w:pPr>
    </w:p>
    <w:bookmarkStart w:id="8" w:name="page9"/>
    <w:bookmarkEnd w:id="8"/>
    <w:p>
      <w:pPr>
        <w:jc w:val="both"/>
        <w:ind w:firstLine="1296"/>
        <w:spacing w:after="0" w:line="287" w:lineRule="auto"/>
        <w:rPr>
          <w:sz w:val="20"/>
          <w:szCs w:val="20"/>
          <w:color w:val="auto"/>
        </w:rPr>
      </w:pPr>
      <w:r>
        <w:rPr>
          <w:rFonts w:ascii="Arial" w:cs="Arial" w:eastAsia="Arial" w:hAnsi="Arial"/>
          <w:sz w:val="16"/>
          <w:szCs w:val="16"/>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 the effectiveness of the Release and (2) commence paying the balance, if any, of the severance benefits in accordance with the applicable payment schedule.</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6. TRANSFER AND ASSIGNMENT.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without regard to whether or not such entity or person actively assumes the obligations hereunder and without regard to whether or not a Change in Control occurs.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7. MITIGATION.</w:t>
      </w:r>
    </w:p>
    <w:p>
      <w:pPr>
        <w:spacing w:after="0" w:line="25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8. CLAWBACK; RECOVERY.</w:t>
      </w:r>
    </w:p>
    <w:p>
      <w:pPr>
        <w:spacing w:after="0" w:line="25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No recovery of compensation under such a clawback policy will be an event giving rise to a right to resign for Good Reason, constructive termination, or any similar term under any plan of or agreement with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9. RIGHT TO INTERPRET AND ADMINISTER PLAN; AMENDMENT AND TERMINATION.</w:t>
      </w:r>
    </w:p>
    <w:p>
      <w:pPr>
        <w:spacing w:after="0" w:line="266" w:lineRule="exact"/>
        <w:rPr>
          <w:sz w:val="20"/>
          <w:szCs w:val="20"/>
          <w:color w:val="auto"/>
        </w:rPr>
      </w:pPr>
    </w:p>
    <w:p>
      <w:pPr>
        <w:jc w:val="both"/>
        <w:ind w:firstLine="1304"/>
        <w:spacing w:after="0" w:line="291" w:lineRule="auto"/>
        <w:tabs>
          <w:tab w:leader="none" w:pos="193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Interpretation and Administration. </w:t>
      </w:r>
      <w:r>
        <w:rPr>
          <w:rFonts w:ascii="Arial" w:cs="Arial" w:eastAsia="Arial" w:hAnsi="Arial"/>
          <w:sz w:val="16"/>
          <w:szCs w:val="16"/>
          <w:color w:val="auto"/>
        </w:rPr>
        <w:t>Prior to the Closing, the Committee shall be the Plan Administrator and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159" w:lineRule="exact"/>
        <w:rPr>
          <w:rFonts w:ascii="Arial" w:cs="Arial" w:eastAsia="Arial" w:hAnsi="Arial"/>
          <w:sz w:val="16"/>
          <w:szCs w:val="16"/>
          <w:b w:val="1"/>
          <w:bCs w:val="1"/>
          <w:color w:val="auto"/>
        </w:rPr>
      </w:pPr>
    </w:p>
    <w:p>
      <w:pPr>
        <w:jc w:val="both"/>
        <w:ind w:firstLine="1304"/>
        <w:spacing w:after="0" w:line="266" w:lineRule="auto"/>
        <w:tabs>
          <w:tab w:leader="none" w:pos="193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Plan Administrator reserves the right to amend this Plan at any time;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will not be effective as to a particular employee who is or may be adversely impacted by such amendment or termination and has an effective Participation Agreement without the written consent of such employee.</w:t>
      </w:r>
    </w:p>
    <w:p>
      <w:pPr>
        <w:spacing w:after="0" w:line="175" w:lineRule="exact"/>
        <w:rPr>
          <w:rFonts w:ascii="Arial" w:cs="Arial" w:eastAsia="Arial" w:hAnsi="Arial"/>
          <w:sz w:val="18"/>
          <w:szCs w:val="18"/>
          <w:b w:val="1"/>
          <w:bCs w:val="1"/>
          <w:color w:val="auto"/>
        </w:rPr>
      </w:pPr>
    </w:p>
    <w:p>
      <w:pPr>
        <w:ind w:firstLine="1304"/>
        <w:spacing w:after="0" w:line="282" w:lineRule="auto"/>
        <w:tabs>
          <w:tab w:leader="none" w:pos="1941"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Unless otherwise extended by the Committee, the Plan will automatically terminate following satisfaction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obligations under the Plan.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7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Section 10. NO IMPLIED EMPLOYMENT CONTRACT.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Plan shall not be deemed (i) to give any employee or other person any right to be retained in the employ of the Company or (ii) to interfere with the right of the Company to discharge any employee or other person at any time, with or without cause, which right is hereby reserved. This Plan does not modify the at-will employment status of any Eligible Employee.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11. LEGAL CONSTRUCTION.</w:t>
      </w:r>
    </w:p>
    <w:p>
      <w:pPr>
        <w:spacing w:after="0" w:line="25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This Plan is intended to be governed by and shall be construed in accordance with the Employee Retirement Income Security Act of 1974 (“ERISA”) and, to the extent not preempted by ERISA, the laws of the State of California.</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12. CLAIMS, INQUIRIES AND APPEALS.</w:t>
      </w:r>
    </w:p>
    <w:p>
      <w:pPr>
        <w:spacing w:after="0" w:line="252" w:lineRule="exact"/>
        <w:rPr>
          <w:sz w:val="20"/>
          <w:szCs w:val="20"/>
          <w:color w:val="auto"/>
        </w:rPr>
      </w:pPr>
    </w:p>
    <w:p>
      <w:pPr>
        <w:jc w:val="both"/>
        <w:ind w:firstLine="1304"/>
        <w:spacing w:after="0" w:line="266" w:lineRule="auto"/>
        <w:tabs>
          <w:tab w:leader="none" w:pos="193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Applications for Benefits and Inquiries. </w:t>
      </w:r>
      <w:r>
        <w:rPr>
          <w:rFonts w:ascii="Arial" w:cs="Arial" w:eastAsia="Arial" w:hAnsi="Arial"/>
          <w:sz w:val="18"/>
          <w:szCs w:val="18"/>
          <w:color w:val="auto"/>
        </w:rPr>
        <w:t>Any application for benefits, inquiries about the Plan or inquiries about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rights under the Plan must be submitted to the Plan Administrator in writing by an applicant (or his or her authorized representative). The Plan Administrator 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234" w:lineRule="exact"/>
        <w:rPr>
          <w:sz w:val="20"/>
          <w:szCs w:val="20"/>
          <w:color w:val="auto"/>
        </w:rPr>
      </w:pPr>
    </w:p>
    <w:p>
      <w:pPr>
        <w:jc w:val="both"/>
        <w:ind w:firstLine="1304"/>
        <w:spacing w:after="0" w:line="261" w:lineRule="auto"/>
        <w:tabs>
          <w:tab w:leader="none" w:pos="193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Denial of Claims. </w:t>
      </w:r>
      <w:r>
        <w:rPr>
          <w:rFonts w:ascii="Arial" w:cs="Arial" w:eastAsia="Arial" w:hAnsi="Arial"/>
          <w:sz w:val="18"/>
          <w:szCs w:val="18"/>
          <w:color w:val="auto"/>
        </w:rPr>
        <w:t>In the event that any application for benefits is denied in whole or in part, the Plan Administrator must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83" w:lineRule="exact"/>
        <w:rPr>
          <w:rFonts w:ascii="Arial" w:cs="Arial" w:eastAsia="Arial" w:hAnsi="Arial"/>
          <w:sz w:val="18"/>
          <w:szCs w:val="18"/>
          <w:b w:val="1"/>
          <w:bCs w:val="1"/>
          <w:color w:val="auto"/>
        </w:rPr>
      </w:pPr>
    </w:p>
    <w:p>
      <w:pPr>
        <w:ind w:left="2600" w:hanging="567"/>
        <w:spacing w:after="0"/>
        <w:tabs>
          <w:tab w:leader="none" w:pos="26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2600" w:hanging="567"/>
        <w:spacing w:after="0"/>
        <w:tabs>
          <w:tab w:leader="none" w:pos="26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225"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information or material that the Plan Administrator needs to complete the review and an explanation of why such information or material is necessary; and</w:t>
      </w:r>
    </w:p>
    <w:p>
      <w:pPr>
        <w:spacing w:after="0" w:line="170"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10(d) below.</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This notice of extension will describe the special circumstances necessitating the additional time and the date by which the Plan Administrator is to render its decision on the application.</w:t>
      </w:r>
    </w:p>
    <w:p>
      <w:pPr>
        <w:spacing w:after="0" w:line="166" w:lineRule="exact"/>
        <w:rPr>
          <w:sz w:val="20"/>
          <w:szCs w:val="20"/>
          <w:color w:val="auto"/>
        </w:rPr>
      </w:pPr>
    </w:p>
    <w:p>
      <w:pPr>
        <w:jc w:val="both"/>
        <w:ind w:firstLine="1304"/>
        <w:spacing w:after="0" w:line="266" w:lineRule="auto"/>
        <w:tabs>
          <w:tab w:leader="none" w:pos="194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for a Review. </w:t>
      </w:r>
      <w:r>
        <w:rPr>
          <w:rFonts w:ascii="Arial" w:cs="Arial" w:eastAsia="Arial" w:hAnsi="Arial"/>
          <w:sz w:val="18"/>
          <w:szCs w:val="18"/>
          <w:color w:val="auto"/>
        </w:rPr>
        <w:t>Any person (or that person’s authorized representative) for whom an application for benefits is denied,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may appeal the denial by submitting a request for a review to the Plan Administrator within 60 days after the application is denied. A request for a review shall be in writing and shall be addressed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769" w:right="339" w:bottom="1440" w:gutter="0" w:footer="0" w:header="0"/>
          <w:type w:val="continuous"/>
        </w:sectPr>
      </w:pPr>
    </w:p>
    <w:bookmarkStart w:id="10" w:name="page11"/>
    <w:bookmarkEnd w:id="10"/>
    <w:p>
      <w:pPr>
        <w:jc w:val="both"/>
        <w:ind w:firstLine="1296"/>
        <w:spacing w:after="0" w:line="293" w:lineRule="auto"/>
        <w:rPr>
          <w:sz w:val="20"/>
          <w:szCs w:val="20"/>
          <w:color w:val="auto"/>
        </w:rPr>
      </w:pPr>
      <w:r>
        <w:rPr>
          <w:rFonts w:ascii="Arial" w:cs="Arial" w:eastAsia="Arial" w:hAnsi="Arial"/>
          <w:sz w:val="16"/>
          <w:szCs w:val="16"/>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60" w:lineRule="exact"/>
        <w:rPr>
          <w:sz w:val="20"/>
          <w:szCs w:val="20"/>
          <w:color w:val="auto"/>
        </w:rPr>
      </w:pPr>
    </w:p>
    <w:p>
      <w:pPr>
        <w:jc w:val="both"/>
        <w:ind w:firstLine="1304"/>
        <w:spacing w:after="0" w:line="273" w:lineRule="auto"/>
        <w:tabs>
          <w:tab w:leader="none" w:pos="1934"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Decision on Review. </w:t>
      </w:r>
      <w:r>
        <w:rPr>
          <w:rFonts w:ascii="Arial" w:cs="Arial" w:eastAsia="Arial" w:hAnsi="Arial"/>
          <w:sz w:val="17"/>
          <w:szCs w:val="17"/>
          <w:color w:val="auto"/>
        </w:rPr>
        <w:t>The Plan Administrator will act on each request for review within 60 days after receipt of the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unless 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75" w:lineRule="exact"/>
        <w:rPr>
          <w:rFonts w:ascii="Arial" w:cs="Arial" w:eastAsia="Arial" w:hAnsi="Arial"/>
          <w:sz w:val="17"/>
          <w:szCs w:val="17"/>
          <w:b w:val="1"/>
          <w:bCs w:val="1"/>
          <w:color w:val="auto"/>
        </w:rPr>
      </w:pPr>
    </w:p>
    <w:p>
      <w:pPr>
        <w:ind w:left="2600" w:hanging="567"/>
        <w:spacing w:after="0"/>
        <w:tabs>
          <w:tab w:leader="none" w:pos="26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2600" w:hanging="567"/>
        <w:spacing w:after="0"/>
        <w:tabs>
          <w:tab w:leader="none" w:pos="26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225"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a statement that the applicant is entitled to receive, upon request and free of charge, reasonable access to, and copies of, all documents, records and other information relevant to his or her claim; and</w:t>
      </w:r>
    </w:p>
    <w:p>
      <w:pPr>
        <w:spacing w:after="0" w:line="170" w:lineRule="exact"/>
        <w:rPr>
          <w:rFonts w:ascii="Arial" w:cs="Arial" w:eastAsia="Arial" w:hAnsi="Arial"/>
          <w:sz w:val="18"/>
          <w:szCs w:val="18"/>
          <w:b w:val="1"/>
          <w:bCs w:val="1"/>
          <w:color w:val="auto"/>
        </w:rPr>
      </w:pPr>
    </w:p>
    <w:p>
      <w:pPr>
        <w:ind w:left="2600" w:hanging="567"/>
        <w:spacing w:after="0"/>
        <w:tabs>
          <w:tab w:leader="none" w:pos="26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a statement of the applicant’s right to bring a civil action under Section 502(a) of ERISA.</w:t>
      </w:r>
    </w:p>
    <w:p>
      <w:pPr>
        <w:spacing w:after="0" w:line="221" w:lineRule="exact"/>
        <w:rPr>
          <w:rFonts w:ascii="Arial" w:cs="Arial" w:eastAsia="Arial" w:hAnsi="Arial"/>
          <w:sz w:val="18"/>
          <w:szCs w:val="18"/>
          <w:b w:val="1"/>
          <w:bCs w:val="1"/>
          <w:color w:val="auto"/>
        </w:rPr>
      </w:pPr>
    </w:p>
    <w:p>
      <w:pPr>
        <w:jc w:val="both"/>
        <w:ind w:firstLine="1304"/>
        <w:spacing w:after="0" w:line="289" w:lineRule="auto"/>
        <w:tabs>
          <w:tab w:leader="none" w:pos="1941"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and Procedures. </w:t>
      </w:r>
      <w:r>
        <w:rPr>
          <w:rFonts w:ascii="Arial" w:cs="Arial" w:eastAsia="Arial" w:hAnsi="Arial"/>
          <w:sz w:val="17"/>
          <w:szCs w:val="17"/>
          <w:color w:val="auto"/>
        </w:rPr>
        <w:t>The Plan Administrator will establish rules and procedures, consistent with the Plan and with ERISA, 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57" w:lineRule="exact"/>
        <w:rPr>
          <w:rFonts w:ascii="Arial" w:cs="Arial" w:eastAsia="Arial" w:hAnsi="Arial"/>
          <w:sz w:val="17"/>
          <w:szCs w:val="17"/>
          <w:b w:val="1"/>
          <w:bCs w:val="1"/>
          <w:color w:val="auto"/>
        </w:rPr>
      </w:pPr>
    </w:p>
    <w:p>
      <w:pPr>
        <w:jc w:val="both"/>
        <w:ind w:firstLine="1304"/>
        <w:spacing w:after="0" w:line="256" w:lineRule="auto"/>
        <w:tabs>
          <w:tab w:leader="none" w:pos="193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Exhaustion of Remedies. </w:t>
      </w:r>
      <w:r>
        <w:rPr>
          <w:rFonts w:ascii="Arial" w:cs="Arial" w:eastAsia="Arial" w:hAnsi="Arial"/>
          <w:sz w:val="18"/>
          <w:szCs w:val="18"/>
          <w:color w:val="auto"/>
        </w:rPr>
        <w:t>No legal action for benefits under the Plan may be brought until the applicant (i) has submitted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application for benefits in accordance with the procedures described by Section 10(a) above, (ii) has been notified by the Plan Administrator that the application is denied, (iii) has filed a written request for a review of the application in accordance with the appeal procedure described in Section 10(c) above, and (iv) has been notified that the Plan Administrator has denied the appeal. Notwithstanding the foregoing, if the Plan Administrator does not respond to an Eligible Employee’s claim or appeal within the relevant time limits specified in this Section 10, the Eligible Employee may bring legal action for benefits under the Plan pursuant to Section 502(a) of ERISA.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BASIS OF PAYMENTS TO AND FROM PLAN.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Plan shall be unfunded, and all cash payments under the Plan shall be paid only from the general assets of the Company.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14. OTHER PLAN INFORMATION.</w:t>
      </w:r>
    </w:p>
    <w:p>
      <w:pPr>
        <w:spacing w:after="0" w:line="252" w:lineRule="exact"/>
        <w:rPr>
          <w:sz w:val="20"/>
          <w:szCs w:val="20"/>
          <w:color w:val="auto"/>
        </w:rPr>
      </w:pPr>
    </w:p>
    <w:p>
      <w:pPr>
        <w:jc w:val="both"/>
        <w:ind w:firstLine="1304"/>
        <w:spacing w:after="0" w:line="266" w:lineRule="auto"/>
        <w:tabs>
          <w:tab w:leader="none" w:pos="193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Employer and Plan Identification Numbers. </w:t>
      </w:r>
      <w:r>
        <w:rPr>
          <w:rFonts w:ascii="Arial" w:cs="Arial" w:eastAsia="Arial" w:hAnsi="Arial"/>
          <w:sz w:val="18"/>
          <w:szCs w:val="18"/>
          <w:color w:val="auto"/>
        </w:rPr>
        <w:t>The Employer Identification Number assigned to the Company (which is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Sponsor” as that term is used in ERISA) by the Internal Revenue Service is 26-2216351. The Plan Number assigned to the Plan by the Plan Sponsor pursuant to the instructions of the Internal Revenue Service is 502.</w:t>
      </w:r>
    </w:p>
    <w:p>
      <w:pPr>
        <w:spacing w:after="0" w:line="175" w:lineRule="exact"/>
        <w:rPr>
          <w:rFonts w:ascii="Arial" w:cs="Arial" w:eastAsia="Arial" w:hAnsi="Arial"/>
          <w:sz w:val="18"/>
          <w:szCs w:val="18"/>
          <w:b w:val="1"/>
          <w:bCs w:val="1"/>
          <w:color w:val="auto"/>
        </w:rPr>
      </w:pPr>
    </w:p>
    <w:p>
      <w:pPr>
        <w:ind w:left="1940" w:hanging="636"/>
        <w:spacing w:after="0"/>
        <w:tabs>
          <w:tab w:leader="none" w:pos="194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Ending Date for Plan’s Fiscal Year. </w:t>
      </w:r>
      <w:r>
        <w:rPr>
          <w:rFonts w:ascii="Arial" w:cs="Arial" w:eastAsia="Arial" w:hAnsi="Arial"/>
          <w:sz w:val="16"/>
          <w:szCs w:val="16"/>
          <w:color w:val="auto"/>
        </w:rPr>
        <w:t>The date of the end of the fiscal year for the purpose of maintaining the Plan’s records is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December 31.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73" w:right="339" w:bottom="1440" w:gutter="0" w:footer="0" w:header="0"/>
        </w:sectPr>
      </w:pPr>
    </w:p>
    <w:bookmarkStart w:id="11" w:name="page12"/>
    <w:bookmarkEnd w:id="11"/>
    <w:p>
      <w:pPr>
        <w:ind w:left="1940" w:hanging="636"/>
        <w:spacing w:after="0"/>
        <w:tabs>
          <w:tab w:leader="none" w:pos="19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Service of Legal Process. </w:t>
      </w:r>
      <w:r>
        <w:rPr>
          <w:rFonts w:ascii="Arial" w:cs="Arial" w:eastAsia="Arial" w:hAnsi="Arial"/>
          <w:sz w:val="18"/>
          <w:szCs w:val="18"/>
          <w:color w:val="auto"/>
        </w:rPr>
        <w:t>The agent for the service of legal process with respect to the Plan 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addition, service of legal process may be made upon the Plan Administrator.</w:t>
      </w:r>
    </w:p>
    <w:p>
      <w:pPr>
        <w:spacing w:after="0" w:line="221" w:lineRule="exact"/>
        <w:rPr>
          <w:sz w:val="20"/>
          <w:szCs w:val="20"/>
          <w:color w:val="auto"/>
        </w:rPr>
      </w:pPr>
    </w:p>
    <w:p>
      <w:pPr>
        <w:ind w:left="1940" w:hanging="636"/>
        <w:spacing w:after="0"/>
        <w:tabs>
          <w:tab w:leader="none" w:pos="19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Sponsor. </w:t>
      </w:r>
      <w:r>
        <w:rPr>
          <w:rFonts w:ascii="Arial" w:cs="Arial" w:eastAsia="Arial" w:hAnsi="Arial"/>
          <w:sz w:val="18"/>
          <w:szCs w:val="18"/>
          <w:color w:val="auto"/>
        </w:rPr>
        <w:t>The “Plan Sponsor” 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(408) 207-0700</w:t>
      </w:r>
    </w:p>
    <w:p>
      <w:pPr>
        <w:spacing w:after="0" w:line="207" w:lineRule="exact"/>
        <w:rPr>
          <w:sz w:val="20"/>
          <w:szCs w:val="20"/>
          <w:color w:val="auto"/>
        </w:rPr>
      </w:pPr>
    </w:p>
    <w:p>
      <w:pPr>
        <w:ind w:firstLine="1304"/>
        <w:spacing w:after="0" w:line="282" w:lineRule="auto"/>
        <w:tabs>
          <w:tab w:leader="none" w:pos="194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Administrator. </w:t>
      </w:r>
      <w:r>
        <w:rPr>
          <w:rFonts w:ascii="Arial" w:cs="Arial" w:eastAsia="Arial" w:hAnsi="Arial"/>
          <w:sz w:val="18"/>
          <w:szCs w:val="18"/>
          <w:color w:val="auto"/>
        </w:rPr>
        <w:t>The Plan Administrator is the Committee prior to the Closing and the Representative upon and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The Plan Administrator’s contact information 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is the named fiduciary charged with the responsibility for administering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STATEMENT OF ERISA RIGHTS.</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Participants in this Plan (which is a welfare benefit plan sponsored by SI-BONE, Inc.) are entitled to certain rights and protections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ERISA. If you are an Eligible Employee, you are considered a participant in the Plan and, under ERISA, you are entitled to:</w:t>
      </w:r>
    </w:p>
    <w:p>
      <w:pPr>
        <w:spacing w:after="0" w:line="207" w:lineRule="exact"/>
        <w:rPr>
          <w:sz w:val="20"/>
          <w:szCs w:val="20"/>
          <w:color w:val="auto"/>
        </w:rPr>
      </w:pPr>
    </w:p>
    <w:p>
      <w:pPr>
        <w:ind w:left="1940" w:hanging="636"/>
        <w:spacing w:after="0"/>
        <w:tabs>
          <w:tab w:leader="none" w:pos="19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Receive Information About Your Plan and Benefits</w:t>
      </w:r>
    </w:p>
    <w:p>
      <w:pPr>
        <w:spacing w:after="0" w:line="229"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83"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183"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Receive a summary of the Plan’s annual financial report, if applicable. The Plan Administrator is required by law to furnish each Eligible Employee with a copy of this summary annual report.</w:t>
      </w:r>
    </w:p>
    <w:p>
      <w:pPr>
        <w:spacing w:after="0" w:line="166" w:lineRule="exact"/>
        <w:rPr>
          <w:rFonts w:ascii="Arial" w:cs="Arial" w:eastAsia="Arial" w:hAnsi="Arial"/>
          <w:sz w:val="18"/>
          <w:szCs w:val="18"/>
          <w:b w:val="1"/>
          <w:bCs w:val="1"/>
          <w:color w:val="auto"/>
        </w:rPr>
      </w:pPr>
    </w:p>
    <w:p>
      <w:pPr>
        <w:jc w:val="both"/>
        <w:ind w:firstLine="1304"/>
        <w:spacing w:after="0" w:line="303" w:lineRule="auto"/>
        <w:tabs>
          <w:tab w:leader="none" w:pos="1934"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Prudent Actions by Plan Fiduciaries. </w:t>
      </w:r>
      <w:r>
        <w:rPr>
          <w:rFonts w:ascii="Arial" w:cs="Arial" w:eastAsia="Arial" w:hAnsi="Arial"/>
          <w:sz w:val="16"/>
          <w:szCs w:val="16"/>
          <w:color w:val="auto"/>
        </w:rPr>
        <w:t>In addition to creating rights for Eligible Employees, ERISA imposes duties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 ERISA.</w:t>
      </w:r>
    </w:p>
    <w:p>
      <w:pPr>
        <w:spacing w:after="0" w:line="150" w:lineRule="exact"/>
        <w:rPr>
          <w:rFonts w:ascii="Arial" w:cs="Arial" w:eastAsia="Arial" w:hAnsi="Arial"/>
          <w:sz w:val="16"/>
          <w:szCs w:val="16"/>
          <w:b w:val="1"/>
          <w:bCs w:val="1"/>
          <w:color w:val="auto"/>
        </w:rPr>
      </w:pPr>
    </w:p>
    <w:p>
      <w:pPr>
        <w:ind w:firstLine="1304"/>
        <w:spacing w:after="0" w:line="312" w:lineRule="auto"/>
        <w:tabs>
          <w:tab w:leader="none" w:pos="1941"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 Your Rights. </w:t>
      </w:r>
      <w:r>
        <w:rPr>
          <w:rFonts w:ascii="Arial" w:cs="Arial" w:eastAsia="Arial" w:hAnsi="Arial"/>
          <w:sz w:val="17"/>
          <w:szCs w:val="17"/>
          <w:color w:val="auto"/>
        </w:rPr>
        <w:t>If your claim for a Plan benefit is denied or ignored, in whole or in part, you have a right to know why</w:t>
      </w:r>
      <w:r>
        <w:rPr>
          <w:rFonts w:ascii="Arial" w:cs="Arial" w:eastAsia="Arial" w:hAnsi="Arial"/>
          <w:sz w:val="17"/>
          <w:szCs w:val="17"/>
          <w:b w:val="1"/>
          <w:bCs w:val="1"/>
          <w:color w:val="auto"/>
        </w:rPr>
        <w:t xml:space="preserve"> </w:t>
      </w:r>
      <w:r>
        <w:rPr>
          <w:rFonts w:ascii="Arial" w:cs="Arial" w:eastAsia="Arial" w:hAnsi="Arial"/>
          <w:sz w:val="17"/>
          <w:szCs w:val="17"/>
          <w:color w:val="auto"/>
        </w:rPr>
        <w:t>this was done, to obtain copies of documents relating to the decision without charge, and to appeal any denial, all within certain time schedules.</w:t>
      </w:r>
    </w:p>
    <w:p>
      <w:pPr>
        <w:spacing w:after="0" w:line="14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76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you up to $110 a day until you receive the materials, unless the materials were not sent because of reasons beyond the control of the Plan Administrator.</w:t>
      </w:r>
    </w:p>
    <w:p>
      <w:pPr>
        <w:spacing w:after="0" w:line="248"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If you have a claim for benefits which is denied or ignored, in whole or in part, you may only file suit in a state or Federal court situated in Santa Clara County, California.</w:t>
      </w:r>
    </w:p>
    <w:p>
      <w:pPr>
        <w:spacing w:after="0" w:line="170" w:lineRule="exact"/>
        <w:rPr>
          <w:sz w:val="20"/>
          <w:szCs w:val="20"/>
          <w:color w:val="auto"/>
        </w:rPr>
      </w:pPr>
    </w:p>
    <w:p>
      <w:pPr>
        <w:jc w:val="both"/>
        <w:ind w:firstLine="1944"/>
        <w:spacing w:after="0" w:line="311" w:lineRule="auto"/>
        <w:rPr>
          <w:sz w:val="20"/>
          <w:szCs w:val="20"/>
          <w:color w:val="auto"/>
        </w:rPr>
      </w:pPr>
      <w:r>
        <w:rPr>
          <w:rFonts w:ascii="Arial" w:cs="Arial" w:eastAsia="Arial" w:hAnsi="Arial"/>
          <w:sz w:val="16"/>
          <w:szCs w:val="16"/>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45" w:lineRule="exact"/>
        <w:rPr>
          <w:sz w:val="20"/>
          <w:szCs w:val="20"/>
          <w:color w:val="auto"/>
        </w:rPr>
      </w:pPr>
    </w:p>
    <w:p>
      <w:pPr>
        <w:jc w:val="both"/>
        <w:ind w:firstLine="1304"/>
        <w:spacing w:after="0" w:line="256" w:lineRule="auto"/>
        <w:tabs>
          <w:tab w:leader="none" w:pos="193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Assistance with Your Questions. </w:t>
      </w:r>
      <w:r>
        <w:rPr>
          <w:rFonts w:ascii="Arial" w:cs="Arial" w:eastAsia="Arial" w:hAnsi="Arial"/>
          <w:sz w:val="18"/>
          <w:szCs w:val="18"/>
          <w:color w:val="auto"/>
        </w:rPr>
        <w:t>If you have any questions about the Plan, you should contact the Plan Administrator. If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7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___________________</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ELIGIBILITY.</w:t>
      </w:r>
    </w:p>
    <w:p>
      <w:pPr>
        <w:spacing w:after="0" w:line="108"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You have been designated as eligible to participate in the SI-BONE, Inc. Severance Benefit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 copy of which is attached to this Participation Agreement (the “</w:t>
      </w:r>
      <w:r>
        <w:rPr>
          <w:rFonts w:ascii="Arial" w:cs="Arial" w:eastAsia="Arial" w:hAnsi="Arial"/>
          <w:sz w:val="17"/>
          <w:szCs w:val="17"/>
          <w:b w:val="1"/>
          <w:bCs w:val="1"/>
          <w:i w:val="1"/>
          <w:iCs w:val="1"/>
          <w:color w:val="auto"/>
        </w:rPr>
        <w:t>Participation Agreement</w:t>
      </w:r>
      <w:r>
        <w:rPr>
          <w:rFonts w:ascii="Arial" w:cs="Arial" w:eastAsia="Arial" w:hAnsi="Arial"/>
          <w:sz w:val="17"/>
          <w:szCs w:val="17"/>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including, without limitation, timely executing a Release for benefit of the Company and allowing such Release to become effective in accordance with its terms. Notwithstanding the schedule for provision of benefits set forth below, the schedule and timing of payment of any benefits under this Participant Agreement is subject to any delay in payment that may be required under Section 5 of the Plan.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CHANGE IN CONTROL SEVERANCE BENEFITS.</w:t>
      </w:r>
    </w:p>
    <w:p>
      <w:pPr>
        <w:spacing w:after="0" w:line="104" w:lineRule="exact"/>
        <w:rPr>
          <w:sz w:val="20"/>
          <w:szCs w:val="20"/>
          <w:color w:val="auto"/>
        </w:rPr>
      </w:pPr>
    </w:p>
    <w:p>
      <w:pPr>
        <w:jc w:val="both"/>
        <w:ind w:firstLine="1134"/>
        <w:spacing w:after="0" w:line="249"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You will receive the severance benefits set forth in this Section 2 in the event of either: (i) a Covered Termination occurring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Change in Control Period, or (ii) the Closing of a Change in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you agree to provide transition services for a period of up to six months (if the Company or its successor offers such transition services at a level of compensation no lower than the annual base salary you received prior to such Change in Control (pro-rated for any reduction in time commitment or work effort, based on a 40 hour work week, allowed by such transition consulting arrangement), without taking into account any prior reduction in compensation that would, itself, give rise to a Good Reason termination)</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[If you are terminated in a Covered Termination that occurs during the Change in Control Period, you will receive the severance benefits set forth in this Section 2.]</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All severance benefits described herein are subject to standard deductions and withholdings.</w:t>
      </w:r>
    </w:p>
    <w:p>
      <w:pPr>
        <w:spacing w:after="0" w:line="189" w:lineRule="exact"/>
        <w:rPr>
          <w:sz w:val="20"/>
          <w:szCs w:val="20"/>
          <w:color w:val="auto"/>
        </w:rPr>
      </w:pPr>
    </w:p>
    <w:p>
      <w:pPr>
        <w:jc w:val="both"/>
        <w:ind w:firstLine="1304"/>
        <w:spacing w:after="0" w:line="239" w:lineRule="auto"/>
        <w:tabs>
          <w:tab w:leader="none" w:pos="193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 shall receive a cash payment in an amount equal to [______]</w:t>
      </w:r>
      <w:r>
        <w:rPr>
          <w:rFonts w:ascii="Arial" w:cs="Arial" w:eastAsia="Arial" w:hAnsi="Arial"/>
          <w:sz w:val="23"/>
          <w:szCs w:val="23"/>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months (the “</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 of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Base Salary. The Base Salary payment will be paid to you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198" w:lineRule="exact"/>
        <w:rPr>
          <w:rFonts w:ascii="Arial" w:cs="Arial" w:eastAsia="Arial" w:hAnsi="Arial"/>
          <w:sz w:val="18"/>
          <w:szCs w:val="18"/>
          <w:b w:val="1"/>
          <w:bCs w:val="1"/>
          <w:color w:val="auto"/>
        </w:rPr>
      </w:pPr>
    </w:p>
    <w:p>
      <w:pPr>
        <w:jc w:val="both"/>
        <w:ind w:firstLine="1304"/>
        <w:spacing w:after="0" w:line="262" w:lineRule="auto"/>
        <w:tabs>
          <w:tab w:leader="none" w:pos="193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Bonus Payment</w:t>
      </w:r>
      <w:r>
        <w:rPr>
          <w:rFonts w:ascii="Arial" w:cs="Arial" w:eastAsia="Arial" w:hAnsi="Arial"/>
          <w:sz w:val="17"/>
          <w:szCs w:val="17"/>
          <w:color w:val="auto"/>
        </w:rPr>
        <w:t>. You will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one and one-half (1.5) times</w:t>
      </w: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4</w:t>
      </w:r>
      <w:r>
        <w:rPr>
          <w:rFonts w:ascii="Arial" w:cs="Arial" w:eastAsia="Arial" w:hAnsi="Arial"/>
          <w:sz w:val="17"/>
          <w:szCs w:val="17"/>
          <w:b w:val="1"/>
          <w:bCs w:val="1"/>
          <w:color w:val="auto"/>
        </w:rPr>
        <w:t xml:space="preserve"> </w:t>
      </w:r>
      <w:r>
        <w:rPr>
          <w:rFonts w:ascii="Arial" w:cs="Arial" w:eastAsia="Arial" w:hAnsi="Arial"/>
          <w:sz w:val="17"/>
          <w:szCs w:val="17"/>
          <w:color w:val="auto"/>
        </w:rPr>
        <w:t>the annual target cash bonus established for you,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annual performance bonus or annual variable compensation plan established by the Board of Directors or Committee (or any authorized committee or designee thereof) for the year in which your Covered Termination occurs. If at the time of the Covered Termination you are eligible for the annual target cash bonus for the year in which the Covered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Covered Termination occurs). For the avoidance of doubt, the amount of the annual target bonus to which you are entitled under this Section 2(b) will be calculated (1) assuming all articulated performance goals for such bonus (including, but not limited to, corporate and individual performance, if applicable), for the year of the Covered Termination were achieved at target levels; (2) as if you had provided services for the entire year for which the bonus relates; and (3) ignoring any reduction in your Base Salary that would give rise to your right to resignation for Good Reason (such bonus to which you are entitled under this Section 2(b), the “</w:t>
      </w:r>
      <w:r>
        <w:rPr>
          <w:rFonts w:ascii="Arial" w:cs="Arial" w:eastAsia="Arial" w:hAnsi="Arial"/>
          <w:sz w:val="17"/>
          <w:szCs w:val="17"/>
          <w:b w:val="1"/>
          <w:bCs w:val="1"/>
          <w:i w:val="1"/>
          <w:iCs w:val="1"/>
          <w:color w:val="auto"/>
        </w:rPr>
        <w:t>Annual Target Bonus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Severance Payment</w:t>
      </w:r>
      <w:r>
        <w:rPr>
          <w:rFonts w:ascii="Arial" w:cs="Arial" w:eastAsia="Arial" w:hAnsi="Arial"/>
          <w:sz w:val="17"/>
          <w:szCs w:val="17"/>
          <w:color w:val="auto"/>
        </w:rPr>
        <w:t>”). The Annual Target Bonus Severance Payment shall be paid in a lump sum cash payment no later than the second regular payroll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following the later of (i) the effective date of the Release or (ii) the Closing, but in any event not later than March 15 of the year following the year in which your Separation from Service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6"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28"/>
          <w:szCs w:val="28"/>
          <w:color w:val="auto"/>
          <w:vertAlign w:val="superscript"/>
        </w:rPr>
      </w:pPr>
      <w:r>
        <w:rPr>
          <w:rFonts w:ascii="Arial" w:cs="Arial" w:eastAsia="Arial" w:hAnsi="Arial"/>
          <w:sz w:val="14"/>
          <w:szCs w:val="14"/>
          <w:color w:val="auto"/>
        </w:rPr>
        <w:t>Option 1 for chief executive officer only.</w:t>
      </w:r>
    </w:p>
    <w:p>
      <w:pPr>
        <w:spacing w:after="0" w:line="86" w:lineRule="exact"/>
        <w:rPr>
          <w:rFonts w:ascii="Arial" w:cs="Arial" w:eastAsia="Arial" w:hAnsi="Arial"/>
          <w:sz w:val="28"/>
          <w:szCs w:val="28"/>
          <w:color w:val="auto"/>
          <w:vertAlign w:val="superscript"/>
        </w:rPr>
      </w:pPr>
    </w:p>
    <w:p>
      <w:pPr>
        <w:spacing w:after="0" w:line="191"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4"/>
          <w:szCs w:val="14"/>
          <w:color w:val="auto"/>
        </w:rPr>
        <w:t xml:space="preserve"> Option 2 for all other executive officers.</w:t>
      </w:r>
    </w:p>
    <w:p>
      <w:pPr>
        <w:ind w:right="5780"/>
        <w:spacing w:after="0" w:line="198"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3</w:t>
      </w:r>
      <w:r>
        <w:rPr>
          <w:rFonts w:ascii="Arial" w:cs="Arial" w:eastAsia="Arial" w:hAnsi="Arial"/>
          <w:sz w:val="14"/>
          <w:szCs w:val="14"/>
          <w:color w:val="auto"/>
        </w:rPr>
        <w:t xml:space="preserve"> Insert 24 months for chief executive officer only, and 12 months for other executive officers. </w:t>
      </w:r>
      <w:r>
        <w:rPr>
          <w:rFonts w:ascii="Arial" w:cs="Arial" w:eastAsia="Arial" w:hAnsi="Arial"/>
          <w:sz w:val="28"/>
          <w:szCs w:val="28"/>
          <w:color w:val="auto"/>
          <w:vertAlign w:val="superscript"/>
        </w:rPr>
        <w:t>4</w:t>
      </w:r>
      <w:r>
        <w:rPr>
          <w:rFonts w:ascii="Arial" w:cs="Arial" w:eastAsia="Arial" w:hAnsi="Arial"/>
          <w:sz w:val="14"/>
          <w:szCs w:val="14"/>
          <w:color w:val="auto"/>
        </w:rPr>
        <w:t xml:space="preserve"> 1.5x target bonus is for the chief executive officer only.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14" w:name="page15"/>
    <w:bookmarkEnd w:id="14"/>
    <w:p>
      <w:pPr>
        <w:jc w:val="both"/>
        <w:ind w:firstLine="1304"/>
        <w:spacing w:after="0" w:line="269" w:lineRule="auto"/>
        <w:tabs>
          <w:tab w:leader="none" w:pos="1941"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Payment of Continued Group Health Plan Benefits</w:t>
      </w:r>
      <w:r>
        <w:rPr>
          <w:rFonts w:ascii="Arial" w:cs="Arial" w:eastAsia="Arial" w:hAnsi="Arial"/>
          <w:sz w:val="17"/>
          <w:szCs w:val="17"/>
          <w:color w:val="auto"/>
        </w:rPr>
        <w:t>. If you timely elect continued group health plan coverage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Omnibus Budget Reconciliation Act of 1985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following your Covered Termination date, the Company shall pay directly to the carrier the full amount of your COBRA premiums on behalf of you for your continued coverage under the Company’s group health plans, including coverage for your eligible dependents, until the earliest of (i) the end of the Severance Period following the date of your Covered Termination,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 Period</w:t>
      </w:r>
      <w:r>
        <w:rPr>
          <w:rFonts w:ascii="Arial" w:cs="Arial" w:eastAsia="Arial" w:hAnsi="Arial"/>
          <w:sz w:val="17"/>
          <w:szCs w:val="17"/>
          <w:color w:val="auto"/>
        </w:rPr>
        <w:t>”). Upon the conclusion of such period of insurance premium payments made by the Company, you will be responsible for the entire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spacing w:after="0" w:line="18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Arial" w:cs="Arial" w:eastAsia="Arial" w:hAnsi="Arial"/>
          <w:sz w:val="16"/>
          <w:szCs w:val="16"/>
          <w:b w:val="1"/>
          <w:bCs w:val="1"/>
          <w:i w:val="1"/>
          <w:iCs w:val="1"/>
          <w:color w:val="auto"/>
        </w:rPr>
        <w:t>Special Severance Payment</w:t>
      </w:r>
      <w:r>
        <w:rPr>
          <w:rFonts w:ascii="Arial" w:cs="Arial" w:eastAsia="Arial" w:hAnsi="Arial"/>
          <w:sz w:val="16"/>
          <w:szCs w:val="16"/>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162" w:lineRule="exact"/>
        <w:rPr>
          <w:sz w:val="20"/>
          <w:szCs w:val="20"/>
          <w:color w:val="auto"/>
        </w:rPr>
      </w:pPr>
    </w:p>
    <w:p>
      <w:pPr>
        <w:jc w:val="both"/>
        <w:ind w:firstLine="1304"/>
        <w:spacing w:after="0" w:line="289" w:lineRule="auto"/>
        <w:tabs>
          <w:tab w:leader="none" w:pos="193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Equity Acceleration</w:t>
      </w:r>
      <w:r>
        <w:rPr>
          <w:rFonts w:ascii="Arial" w:cs="Arial" w:eastAsia="Arial" w:hAnsi="Arial"/>
          <w:sz w:val="16"/>
          <w:szCs w:val="16"/>
          <w:color w:val="auto"/>
        </w:rPr>
        <w:t>. The vesting and exercisability of each outstanding unvested stock option and other stock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that you hold covering Company common stock (each, an “</w:t>
      </w:r>
      <w:r>
        <w:rPr>
          <w:rFonts w:ascii="Arial" w:cs="Arial" w:eastAsia="Arial" w:hAnsi="Arial"/>
          <w:sz w:val="16"/>
          <w:szCs w:val="16"/>
          <w:b w:val="1"/>
          <w:bCs w:val="1"/>
          <w:i w:val="1"/>
          <w:iCs w:val="1"/>
          <w:color w:val="auto"/>
        </w:rPr>
        <w:t>Equity Award</w:t>
      </w:r>
      <w:r>
        <w:rPr>
          <w:rFonts w:ascii="Arial" w:cs="Arial" w:eastAsia="Arial" w:hAnsi="Arial"/>
          <w:sz w:val="16"/>
          <w:szCs w:val="16"/>
          <w:color w:val="auto"/>
        </w:rPr>
        <w:t>”) shall be accelerated in full and any reacquisition or repurchase rights held by the Company in respect of common stock issued pursuant to any Equity Award granted to you shall lapse in full. For purposes of determining the number of shares that will vest pursuant to the foregoing provision with respect to any performance based vesting Equity Award for which the performance period has not ended and that has multiple vesting levels depending upon the level of performance, vesting acceleration with respect to any ongoing performance period(s) shall occur with respect to the number of shares subject to the award as if the applicable performance criteria had been attained at a 100% level or, if greater, based on actual performance as of the termination of your Continuous Service to the Company. Notwithstanding anything to the contrary set forth herein, your Equity Awards shall remain subject to the terms of the Equity Plan (or other applicable Company plan) and award documents under which such Equity Award was granted, including any provision for earlier termination of such Equity Awards.</w:t>
      </w:r>
    </w:p>
    <w:p>
      <w:pPr>
        <w:spacing w:after="0" w:line="166" w:lineRule="exact"/>
        <w:rPr>
          <w:rFonts w:ascii="Arial" w:cs="Arial" w:eastAsia="Arial" w:hAnsi="Arial"/>
          <w:sz w:val="16"/>
          <w:szCs w:val="16"/>
          <w:b w:val="1"/>
          <w:bCs w:val="1"/>
          <w:color w:val="auto"/>
        </w:rPr>
      </w:pPr>
    </w:p>
    <w:p>
      <w:pPr>
        <w:jc w:val="both"/>
        <w:ind w:firstLine="1304"/>
        <w:spacing w:after="0" w:line="258" w:lineRule="auto"/>
        <w:tabs>
          <w:tab w:leader="none" w:pos="1941"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Post-Termination Exercise Period</w:t>
      </w:r>
      <w:r>
        <w:rPr>
          <w:rFonts w:ascii="Arial" w:cs="Arial" w:eastAsia="Arial" w:hAnsi="Arial"/>
          <w:sz w:val="18"/>
          <w:szCs w:val="18"/>
          <w:color w:val="auto"/>
        </w:rPr>
        <w:t>. All outstanding Equity Awards which carry a right to exercise that you hold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your Covered Termination will expire on the earlier of (A) the original term of such outstanding Equity Awards as set forth in the applicable award agreement or the equity incentive plan, subject to earlier termination in the event of a Change in Control as set forth in the terms of the applicable equity incentive plan and definitive agreement for such Change in Control transaction, and (B) the date which occurs on the second anniversary of termination of your Continuous Service to the Company.</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3. NON-CHANGE IN CONTROL SEVERANCE BENEFITS. </w:t>
      </w:r>
      <w:r>
        <w:rPr>
          <w:rFonts w:ascii="Arial" w:cs="Arial" w:eastAsia="Arial" w:hAnsi="Arial"/>
          <w:sz w:val="18"/>
          <w:szCs w:val="18"/>
          <w:color w:val="auto"/>
        </w:rPr>
        <w:t>If your employment is terminated by the Company without Cause that occurs at</w:t>
      </w:r>
      <w:r>
        <w:rPr>
          <w:rFonts w:ascii="Arial" w:cs="Arial" w:eastAsia="Arial" w:hAnsi="Arial"/>
          <w:sz w:val="18"/>
          <w:szCs w:val="18"/>
          <w:b w:val="1"/>
          <w:bCs w:val="1"/>
          <w:color w:val="auto"/>
        </w:rPr>
        <w:t xml:space="preserve"> </w:t>
      </w:r>
      <w:r>
        <w:rPr>
          <w:rFonts w:ascii="Arial" w:cs="Arial" w:eastAsia="Arial" w:hAnsi="Arial"/>
          <w:sz w:val="18"/>
          <w:szCs w:val="18"/>
          <w:color w:val="auto"/>
        </w:rPr>
        <w:t>a time that is not during the Change in Control Period, you will receive:</w:t>
      </w:r>
    </w:p>
    <w:p>
      <w:pPr>
        <w:spacing w:after="0" w:line="193" w:lineRule="exact"/>
        <w:rPr>
          <w:sz w:val="20"/>
          <w:szCs w:val="20"/>
          <w:color w:val="auto"/>
        </w:rPr>
      </w:pPr>
    </w:p>
    <w:p>
      <w:pPr>
        <w:ind w:right="20" w:firstLine="1304"/>
        <w:spacing w:after="0" w:line="277" w:lineRule="auto"/>
        <w:tabs>
          <w:tab w:leader="none" w:pos="1938"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base salary cash payment described in Section 2(a) above, but the Severance Period for purposes of calculating such benefits shall be twelve (12) months; and</w:t>
      </w:r>
    </w:p>
    <w:p>
      <w:pPr>
        <w:spacing w:after="0" w:line="170"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the COBRA benefits described in Section 2(c) above, but the Severance Period for purposes of calculating such benefits shall be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twelve (12)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shall not be eligible to receive any other benefits under the Plan except as described in Section 3(a) and Section 3(b) above.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avoidance of doubt, 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b w:val="1"/>
          <w:bCs w:val="1"/>
          <w:color w:val="auto"/>
        </w:rPr>
        <w:t>Section 4. ACKNOWLEDGEMENTS.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condition to participation in the Plan, you hereby acknowledge each of the following:</w:t>
      </w:r>
    </w:p>
    <w:p>
      <w:pPr>
        <w:spacing w:after="0" w:line="252" w:lineRule="exact"/>
        <w:rPr>
          <w:sz w:val="20"/>
          <w:szCs w:val="20"/>
          <w:color w:val="auto"/>
        </w:rPr>
      </w:pPr>
    </w:p>
    <w:p>
      <w:pPr>
        <w:ind w:firstLine="1304"/>
        <w:spacing w:after="0" w:line="277" w:lineRule="auto"/>
        <w:tabs>
          <w:tab w:leader="none" w:pos="193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benefits that may be provided to you under this Participation Agreement are subject to certain reductions and termination under Section 2 and Section 3 of the Plan.</w:t>
      </w:r>
    </w:p>
    <w:p>
      <w:pPr>
        <w:spacing w:after="0" w:line="170" w:lineRule="exact"/>
        <w:rPr>
          <w:rFonts w:ascii="Arial" w:cs="Arial" w:eastAsia="Arial" w:hAnsi="Arial"/>
          <w:sz w:val="18"/>
          <w:szCs w:val="18"/>
          <w:b w:val="1"/>
          <w:bCs w:val="1"/>
          <w:color w:val="auto"/>
        </w:rPr>
      </w:pPr>
    </w:p>
    <w:p>
      <w:pPr>
        <w:jc w:val="both"/>
        <w:ind w:firstLine="1304"/>
        <w:spacing w:after="0" w:line="259" w:lineRule="auto"/>
        <w:tabs>
          <w:tab w:leader="none" w:pos="1934"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w:t>
      </w:r>
    </w:p>
    <w:p>
      <w:pPr>
        <w:spacing w:after="0" w:line="186" w:lineRule="exact"/>
        <w:rPr>
          <w:rFonts w:ascii="Arial" w:cs="Arial" w:eastAsia="Arial" w:hAnsi="Arial"/>
          <w:sz w:val="18"/>
          <w:szCs w:val="18"/>
          <w:b w:val="1"/>
          <w:bCs w:val="1"/>
          <w:color w:val="auto"/>
        </w:rPr>
      </w:pPr>
    </w:p>
    <w:p>
      <w:pPr>
        <w:ind w:right="20" w:firstLine="1304"/>
        <w:spacing w:after="0" w:line="277" w:lineRule="auto"/>
        <w:tabs>
          <w:tab w:leader="none" w:pos="1941"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As further described in Section 2(c) of the Plan, this Participation Agreement and the Plan supersede and replace any change in control or severance benefits previously provided to you and by executing below you expressly agree to such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accept the terms of this Participation Agreement and participate in the Plan, please sign and date this Agreement in the space provided below and return it to Timothy E. Davis no later than July ____,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Chairman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2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13"/>
    </w:lvl>
    <w:lvl w:ilvl="1">
      <w:lvlJc w:val="left"/>
      <w:lvlText w:val="(%2)"/>
      <w:numFmt w:val="decimal"/>
      <w:start w:val="5"/>
    </w:lvl>
    <w:lvl w:ilvl="2">
      <w:lvlJc w:val="left"/>
      <w:lvlText w:val="(%3)"/>
      <w:numFmt w:val="decimal"/>
      <w:start w:val="1"/>
    </w:lvl>
  </w:abstractNum>
  <w:abstractNum w:abstractNumId="3">
    <w:nsid w:val="DED7263"/>
    <w:multiLevelType w:val="hybridMultilevel"/>
    <w:lvl w:ilvl="0">
      <w:lvlJc w:val="left"/>
      <w:lvlText w:val="(%1)"/>
      <w:numFmt w:val="lowerLetter"/>
      <w:start w:val="20"/>
    </w:lvl>
  </w:abstractNum>
  <w:abstractNum w:abstractNumId="4">
    <w:nsid w:val="7FDCC233"/>
    <w:multiLevelType w:val="hybridMultilevel"/>
    <w:lvl w:ilvl="0">
      <w:lvlJc w:val="left"/>
      <w:lvlText w:val="(%1)"/>
      <w:numFmt w:val="lowerLetter"/>
      <w:start w:val="1"/>
    </w:lvl>
    <w:lvl w:ilvl="1">
      <w:lvlJc w:val="left"/>
      <w:lvlText w:val="(%2)"/>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2"/>
    </w:lvl>
    <w:lvl w:ilvl="1">
      <w:lvlJc w:val="left"/>
      <w:lvlText w:val="(%2)"/>
      <w:numFmt w:val="decimal"/>
      <w:start w:val="1"/>
    </w:lvl>
  </w:abstractNum>
  <w:abstractNum w:abstractNumId="10">
    <w:nsid w:val="519B500D"/>
    <w:multiLevelType w:val="hybridMultilevel"/>
    <w:lvl w:ilvl="0">
      <w:lvlJc w:val="left"/>
      <w:lvlText w:val="(%1)"/>
      <w:numFmt w:val="lowerLetter"/>
      <w:start w:val="3"/>
    </w:lvl>
  </w:abstractNum>
  <w:abstractNum w:abstractNumId="11">
    <w:nsid w:val="431BD7B7"/>
    <w:multiLevelType w:val="hybridMultilevel"/>
    <w:lvl w:ilvl="0">
      <w:lvlJc w:val="left"/>
      <w:lvlText w:val="(%1)"/>
      <w:numFmt w:val="lowerLetter"/>
      <w:start w:val="4"/>
    </w:lvl>
    <w:lvl w:ilvl="1">
      <w:lvlJc w:val="left"/>
      <w:lvlText w:val="(%2)"/>
      <w:numFmt w:val="decimal"/>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3"/>
    </w:lvl>
  </w:abstractNum>
  <w:abstractNum w:abstractNumId="14">
    <w:nsid w:val="257130A3"/>
    <w:multiLevelType w:val="hybridMultilevel"/>
    <w:lvl w:ilvl="0">
      <w:lvlJc w:val="left"/>
      <w:lvlText w:val="(%1)"/>
      <w:numFmt w:val="lowerLetter"/>
      <w:start w:val="4"/>
    </w:lvl>
  </w:abstractNum>
  <w:abstractNum w:abstractNumId="15">
    <w:nsid w:val="62BBD95A"/>
    <w:multiLevelType w:val="hybridMultilevel"/>
    <w:lvl w:ilvl="0">
      <w:lvlJc w:val="left"/>
      <w:lvlText w:val="(%1)"/>
      <w:numFmt w:val="lowerLetter"/>
      <w:start w:val="5"/>
    </w:lvl>
  </w:abstractNum>
  <w:abstractNum w:abstractNumId="16">
    <w:nsid w:val="436C6125"/>
    <w:multiLevelType w:val="hybridMultilevel"/>
    <w:lvl w:ilvl="0">
      <w:lvlJc w:val="left"/>
      <w:lvlText w:val="(%1)"/>
      <w:numFmt w:val="lowerLetter"/>
      <w:start w:val="1"/>
    </w:lvl>
    <w:lvl w:ilvl="1">
      <w:lvlJc w:val="left"/>
      <w:lvlText w:val="(%2)"/>
      <w:numFmt w:val="decimal"/>
      <w:start w:val="1"/>
    </w:lvl>
  </w:abstractNum>
  <w:abstractNum w:abstractNumId="17">
    <w:nsid w:val="628C895D"/>
    <w:multiLevelType w:val="hybridMultilevel"/>
    <w:lvl w:ilvl="0">
      <w:lvlJc w:val="left"/>
      <w:lvlText w:val="(%1)"/>
      <w:numFmt w:val="lowerLetter"/>
      <w:start w:val="4"/>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1)"/>
      <w:numFmt w:val="lowerLetter"/>
      <w:start w:val="3"/>
    </w:lvl>
  </w:abstractNum>
  <w:abstractNum w:abstractNumId="21">
    <w:nsid w:val="2D1D5AE9"/>
    <w:multiLevelType w:val="hybridMultilevel"/>
    <w:lvl w:ilvl="0">
      <w:lvlJc w:val="left"/>
      <w:lvlText w:val="(%1)"/>
      <w:numFmt w:val="lowerLetter"/>
      <w:start w:val="4"/>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2020-07-17T15:37:09Z</dcterms:created>
  <dcterms:modified xsi:type="dcterms:W3CDTF">2020-07-17T15:37:09Z</dcterms:modified>
</cp:coreProperties>
</file>