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01/19/2021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GC &amp; Chief Compliance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192"/>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01/19/2021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293</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29.0125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76,760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01/19/2021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617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29.0125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w w:val="90"/>
              </w:rPr>
              <w:t>76,143</w:t>
            </w:r>
            <w:r>
              <w:rPr>
                <w:rFonts w:ascii="Times New Roman" w:cs="Times New Roman" w:eastAsia="Times New Roman" w:hAnsi="Times New Roman"/>
                <w:sz w:val="22"/>
                <w:szCs w:val="22"/>
                <w:color w:val="008000"/>
                <w:w w:val="9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4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59,786 shares issuable on the settlement of restricted stock units granted to the Reporting Person. Each restricted stock unit represents a contingent right to receive one share of the Issuer's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01/21/2021</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2021-01-21T15:47:48Z</dcterms:created>
  <dcterms:modified xsi:type="dcterms:W3CDTF">2021-01-21T15:47:48Z</dcterms:modified>
</cp:coreProperties>
</file>