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DUNN JEFFREY W</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02/16/2021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85"/>
        <w:spacing w:after="0"/>
        <w:rPr>
          <w:sz w:val="20"/>
          <w:szCs w:val="20"/>
          <w:color w:val="auto"/>
        </w:rPr>
      </w:pPr>
      <w:r>
        <w:rPr>
          <w:rFonts w:ascii="Arial" w:cs="Arial" w:eastAsia="Arial" w:hAnsi="Arial"/>
          <w:sz w:val="17"/>
          <w:szCs w:val="17"/>
          <w:color w:val="0000FF"/>
        </w:rPr>
        <w:t>Chairman, President &amp; CEO</w:t>
      </w:r>
    </w:p>
    <w:p>
      <w:pPr>
        <w:spacing w:after="0" w:line="446"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80" w:type="dxa"/>
            <w:vAlign w:val="bottom"/>
            <w:tcBorders>
              <w:top w:val="single" w:sz="8" w:color="2C2C2C"/>
              <w:bottom w:val="single" w:sz="8" w:color="2C2C2C"/>
            </w:tcBorders>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bottom w:val="single" w:sz="8" w:color="2C2C2C"/>
            </w:tcBorders>
            <w:gridSpan w:val="7"/>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6"/>
            <w:vMerge w:val="continue"/>
          </w:tcPr>
          <w:p>
            <w:pPr>
              <w:spacing w:after="0" w:line="20" w:lineRule="exact"/>
              <w:rPr>
                <w:sz w:val="1"/>
                <w:szCs w:val="1"/>
                <w:color w:val="auto"/>
              </w:rPr>
            </w:pPr>
          </w:p>
        </w:tc>
        <w:tc>
          <w:tcPr>
            <w:tcW w:w="3640" w:type="dxa"/>
            <w:vAlign w:val="bottom"/>
            <w:gridSpan w:val="7"/>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80" w:type="dxa"/>
            <w:vAlign w:val="bottom"/>
            <w:gridSpan w:val="6"/>
            <w:vMerge w:val="continue"/>
          </w:tcPr>
          <w:p>
            <w:pPr>
              <w:spacing w:after="0"/>
              <w:rPr>
                <w:sz w:val="12"/>
                <w:szCs w:val="12"/>
                <w:color w:val="auto"/>
              </w:rPr>
            </w:pPr>
          </w:p>
        </w:tc>
        <w:tc>
          <w:tcPr>
            <w:tcW w:w="3640" w:type="dxa"/>
            <w:vAlign w:val="bottom"/>
            <w:gridSpan w:val="7"/>
            <w:vMerge w:val="continue"/>
          </w:tcPr>
          <w:p>
            <w:pPr>
              <w:spacing w:after="0"/>
              <w:rPr>
                <w:sz w:val="12"/>
                <w:szCs w:val="12"/>
                <w:color w:val="auto"/>
              </w:rPr>
            </w:pPr>
          </w:p>
        </w:tc>
        <w:tc>
          <w:tcPr>
            <w:tcW w:w="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gridSpan w:val="3"/>
            <w:vMerge w:val="restart"/>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40" w:type="dxa"/>
            <w:vAlign w:val="bottom"/>
          </w:tcPr>
          <w:p>
            <w:pPr>
              <w:ind w:left="58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95050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line="173" w:lineRule="exact"/>
              <w:rPr>
                <w:sz w:val="20"/>
                <w:szCs w:val="20"/>
                <w:color w:val="auto"/>
              </w:rPr>
            </w:pPr>
            <w:r>
              <w:rPr>
                <w:rFonts w:ascii="Arial" w:cs="Arial" w:eastAsia="Arial" w:hAnsi="Arial"/>
                <w:sz w:val="17"/>
                <w:szCs w:val="17"/>
                <w:color w:val="0000FF"/>
              </w:rPr>
              <w:t>CLARA</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94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tcPr>
          <w:p>
            <w:pPr>
              <w:ind w:left="120"/>
              <w:spacing w:after="0" w:line="101" w:lineRule="exact"/>
              <w:rPr>
                <w:sz w:val="20"/>
                <w:szCs w:val="20"/>
                <w:color w:val="auto"/>
              </w:rPr>
            </w:pPr>
            <w:r>
              <w:rPr>
                <w:rFonts w:ascii="Arial" w:cs="Arial" w:eastAsia="Arial" w:hAnsi="Arial"/>
                <w:sz w:val="11"/>
                <w:szCs w:val="11"/>
                <w:color w:val="auto"/>
              </w:rPr>
              <w:t>Person</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2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4"/>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4"/>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ind w:left="800"/>
              <w:spacing w:after="0"/>
              <w:rPr>
                <w:sz w:val="20"/>
                <w:szCs w:val="20"/>
                <w:color w:val="auto"/>
              </w:rPr>
            </w:pPr>
            <w:r>
              <w:rPr>
                <w:rFonts w:ascii="Arial" w:cs="Arial" w:eastAsia="Arial" w:hAnsi="Arial"/>
                <w:sz w:val="17"/>
                <w:szCs w:val="17"/>
                <w:color w:val="0000FF"/>
              </w:rPr>
              <w:t>02/16/2021</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3,507</w:t>
            </w: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31.0522</w:t>
            </w:r>
          </w:p>
        </w:tc>
        <w:tc>
          <w:tcPr>
            <w:tcW w:w="1200" w:type="dxa"/>
            <w:vAlign w:val="bottom"/>
            <w:tcBorders>
              <w:bottom w:val="single" w:sz="8" w:color="2C2C2C"/>
            </w:tcBorders>
            <w:gridSpan w:val="2"/>
          </w:tcPr>
          <w:p>
            <w:pPr>
              <w:jc w:val="center"/>
              <w:ind w:right="200"/>
              <w:spacing w:after="0"/>
              <w:rPr>
                <w:sz w:val="20"/>
                <w:szCs w:val="20"/>
                <w:color w:val="auto"/>
              </w:rPr>
            </w:pPr>
            <w:r>
              <w:rPr>
                <w:rFonts w:ascii="Arial" w:cs="Arial" w:eastAsia="Arial" w:hAnsi="Arial"/>
                <w:sz w:val="17"/>
                <w:szCs w:val="17"/>
                <w:color w:val="0000FF"/>
              </w:rPr>
              <w:t>337,103</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jc w:val="right"/>
              <w:ind w:right="320"/>
              <w:spacing w:after="0"/>
              <w:rPr>
                <w:sz w:val="20"/>
                <w:szCs w:val="20"/>
                <w:color w:val="auto"/>
              </w:rPr>
            </w:pPr>
            <w:r>
              <w:rPr>
                <w:rFonts w:ascii="Arial" w:cs="Arial" w:eastAsia="Arial" w:hAnsi="Arial"/>
                <w:sz w:val="17"/>
                <w:szCs w:val="17"/>
                <w:color w:val="0000FF"/>
              </w:rPr>
              <w:t>75,940</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-3228975</wp:posOffset>
            </wp:positionV>
            <wp:extent cx="7031355" cy="32746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27469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40" w:right="3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264,125 shares issuable on the settlement of restricted stock units granted to the Reporting Person. Each restricted stock unit represents a contingent right to receive one shares of the Issuer's common stock.</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The Jeffrey W. Dunn Living Trust Dated May 17, 2012.</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Jeffrey</w:t>
      </w:r>
      <w:r>
        <w:rPr>
          <w:sz w:val="20"/>
          <w:szCs w:val="20"/>
          <w:color w:val="auto"/>
        </w:rPr>
        <w:tab/>
      </w:r>
      <w:r>
        <w:rPr>
          <w:rFonts w:ascii="Arial" w:cs="Arial" w:eastAsia="Arial" w:hAnsi="Arial"/>
          <w:sz w:val="15"/>
          <w:szCs w:val="15"/>
          <w:color w:val="0000FF"/>
        </w:rPr>
        <w:t>02/18/2021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W. Dunn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30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306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35986"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2021-02-18T18:10:31Z</dcterms:created>
  <dcterms:modified xsi:type="dcterms:W3CDTF">2021-02-18T18:10:31Z</dcterms:modified>
</cp:coreProperties>
</file>