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24, 2025</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4"/>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jc w:val="cente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1303655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24, 2025, SI-BONE, Inc. (the "Company") issued a press release (the “Press Release”) announcing results for the quarter and year ended December 31, 2024. A copy of the Press Release is attached as Exhibit 99.1 to this current report on Form 8-K and is incorporated by reference herein.</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February 24, 2025</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24, 2025</w:t>
            </w:r>
          </w:p>
        </w:tc>
        <w:tc>
          <w:tcPr>
            <w:tcW w:w="19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28"/>
        </w:trPr>
        <w:tc>
          <w:tcPr>
            <w:tcW w:w="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bl>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19685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SI-BONE, Inc. Reports Record Financial Results for the Fourth Quarter 2024 and Issues 2025 Guidance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Achieves 26% worldwide revenue growth and positive adjusted EBITDA in Fourth Quarter 2024</w:t>
      </w:r>
    </w:p>
    <w:p>
      <w:pPr>
        <w:spacing w:after="0" w:line="230"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20"/>
          <w:szCs w:val="20"/>
          <w:b w:val="1"/>
          <w:bCs w:val="1"/>
          <w:color w:val="auto"/>
        </w:rPr>
        <w:t xml:space="preserve">SANTA CLARA, Calif. </w:t>
      </w:r>
      <w:r>
        <w:rPr>
          <w:rFonts w:ascii="Times New Roman" w:cs="Times New Roman" w:eastAsia="Times New Roman" w:hAnsi="Times New Roman"/>
          <w:sz w:val="20"/>
          <w:szCs w:val="20"/>
          <w:color w:val="auto"/>
        </w:rPr>
        <w:t>February 24, 2025 - SI-BONE, Inc. (Nasdaq:SIBN), a medical device company dedicated to solving sacropelvic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disorders, today reported financial results for the fourth quarter and full year ended December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Fourth Quarter 2024 Financial Highlights </w:t>
      </w:r>
      <w:r>
        <w:rPr>
          <w:rFonts w:ascii="Times New Roman" w:cs="Times New Roman" w:eastAsia="Times New Roman" w:hAnsi="Times New Roman"/>
          <w:sz w:val="20"/>
          <w:szCs w:val="20"/>
          <w:i w:val="1"/>
          <w:iCs w:val="1"/>
          <w:color w:val="auto"/>
        </w:rPr>
        <w:t>(all comparisons are to the prior year period)</w:t>
      </w:r>
    </w:p>
    <w:p>
      <w:pPr>
        <w:spacing w:after="0" w:line="58"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revenue of $49.0 million, representing growth of ~26%</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of $46.9 million, representing growth of ~28%</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of ~79%</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Net loss of $4.5 million, representing an improvement of ~59%</w:t>
      </w:r>
    </w:p>
    <w:p>
      <w:pPr>
        <w:spacing w:after="0" w:line="53" w:lineRule="exact"/>
        <w:rPr>
          <w:rFonts w:ascii="Times New Roman" w:cs="Times New Roman" w:eastAsia="Times New Roman" w:hAnsi="Times New Roman"/>
          <w:sz w:val="20"/>
          <w:szCs w:val="20"/>
          <w:b w:val="1"/>
          <w:bCs w:val="1"/>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adjusted EBITDA of $1.9 million, representing an improvement of ~139%</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the quarter with $150.0 million in cash and equivalents, representing $0.8 million in net cash usage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Fiscal Year 2024 Highlights </w:t>
      </w:r>
      <w:r>
        <w:rPr>
          <w:rFonts w:ascii="Times New Roman" w:cs="Times New Roman" w:eastAsia="Times New Roman" w:hAnsi="Times New Roman"/>
          <w:sz w:val="20"/>
          <w:szCs w:val="20"/>
          <w:i w:val="1"/>
          <w:iCs w:val="1"/>
          <w:color w:val="auto"/>
        </w:rPr>
        <w:t>(all comparisons are to the prior year period)</w:t>
      </w:r>
    </w:p>
    <w:p>
      <w:pPr>
        <w:spacing w:after="0" w:line="98"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revenue of $167.2 million, representing growth of ~20%</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of $158.4 million, representing growth of ~21%</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of ~79%</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$30.9 million, representing an improvement of ~29%</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loss of $5.1 million, representing an improvement of ~71%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Recent Operational Highlights </w:t>
      </w:r>
      <w:r>
        <w:rPr>
          <w:rFonts w:ascii="Times New Roman" w:cs="Times New Roman" w:eastAsia="Times New Roman" w:hAnsi="Times New Roman"/>
          <w:sz w:val="20"/>
          <w:szCs w:val="20"/>
          <w:i w:val="1"/>
          <w:iCs w:val="1"/>
          <w:color w:val="auto"/>
        </w:rPr>
        <w:t>(any comparisons are to the prior year period)</w:t>
      </w:r>
    </w:p>
    <w:p>
      <w:pPr>
        <w:spacing w:after="0" w:line="71"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~1,400 active U.S. physicians in the fourth quarter, representing an increase of 23%</w:t>
      </w:r>
    </w:p>
    <w:p>
      <w:pPr>
        <w:spacing w:after="0" w:line="53" w:lineRule="exact"/>
        <w:rPr>
          <w:rFonts w:ascii="Times New Roman" w:cs="Times New Roman" w:eastAsia="Times New Roman" w:hAnsi="Times New Roman"/>
          <w:sz w:val="20"/>
          <w:szCs w:val="20"/>
          <w:b w:val="1"/>
          <w:bCs w:val="1"/>
          <w:color w:val="auto"/>
        </w:rPr>
      </w:pPr>
    </w:p>
    <w:p>
      <w:pPr>
        <w:ind w:left="400" w:hanging="392"/>
        <w:spacing w:after="0"/>
        <w:tabs>
          <w:tab w:leader="none" w:pos="4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Transitional Pass-Through payment status effective January 1, 2025 for Granite outpatient procedures</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third Breakthrough Device Designation for a novel implant system</w:t>
      </w:r>
    </w:p>
    <w:p>
      <w:pPr>
        <w:spacing w:after="0" w:line="27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“2024 was a transformative year for SI-BONE. Years of innovation, strategic investments, and disciplined execution are delivering meaningful results, including record revenue and positive adjusted EBITDA in the fourth quarter. More than 2,000 U.S. physicians performed a SI-BONE procedure last year, improving the lives of nearly 18,000 patients,” said Laura Francis, Chief Executive Officer. “With a total addressable market of nearly 500,000 procedures, we are still in the early stages of unlocking SI-BONE's full potential for strong, sustainable, and highly profitable growth. In 2025, I am excited about the opportunities to further expand platform adoption, supported by reimbursement tailwinds, while advancing toward achieving positive annual AEBITDA and improving our margins.”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2024 Financial Results</w:t>
      </w:r>
    </w:p>
    <w:p>
      <w:pPr>
        <w:spacing w:after="0" w:line="314"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auto"/>
        </w:rPr>
        <w:t>Worldwide revenue was $49.0 million in the fourth quarter 2024, a ~26% increase from $38.9 million in the corresponding period in 2023. U.S. revenue for the fourth quarter 2024 was $46.9 million, a ~28% increase from</w:t>
      </w:r>
    </w:p>
    <w:p>
      <w:pPr>
        <w:sectPr>
          <w:pgSz w:w="11900" w:h="16838" w:orient="portrait"/>
          <w:cols w:equalWidth="0" w:num="1">
            <w:col w:w="11240"/>
          </w:cols>
          <w:pgMar w:left="320" w:top="887" w:right="339" w:bottom="1440" w:gutter="0" w:footer="0" w:header="0"/>
        </w:sectPr>
      </w:pPr>
    </w:p>
    <w:bookmarkStart w:id="4" w:name="page5"/>
    <w:bookmarkEnd w:id="4"/>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$36.7 million in the corresponding period in 2023. International revenue for the fourth quarter 2024 was $2.1 million compared to $2.2 million in the corresponding period in 2023.</w:t>
      </w:r>
    </w:p>
    <w:p>
      <w:pPr>
        <w:spacing w:after="0" w:line="18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Gross profit was $38.8 million in the fourth quarter 2024, an increase of ~35% from $28.7 million in the corresponding period in 2023. Gross margin was ~79% for the fourth quarter 2024 compared to ~74% in the corresponding period in 2023. The fourth quarter 2023 gross margin reflects a four percentage point reduction, resulting from a $1.7 million excess inventory reserve.</w:t>
      </w:r>
    </w:p>
    <w:p>
      <w:pPr>
        <w:spacing w:after="0" w:line="21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Operating expenses increased ~8% to $44.3 million in the fourth quarter 2024, as compared to $41.2 million in the corresponding period in 2023. The change in operating expenses was primarily driven by general commercial activity related to higher revenue and new product rollout, as well as research and development investments related to future products.</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Operating loss improved by ~56% to $5.5 million in the fourth quarter 2024, as compared to an operating loss of $12.5 million in the corresponding period in 2023.</w:t>
      </w:r>
    </w:p>
    <w:p>
      <w:pPr>
        <w:spacing w:after="0" w:line="1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Net loss improved by ~59%, to $4.5 million, or $0.11 per diluted share in the fourth quarter 2024, as compared to a net loss of $11.0 million , or $0.27 per diluted share in the corresponding period in 2023.</w:t>
      </w:r>
    </w:p>
    <w:p>
      <w:pPr>
        <w:spacing w:after="0" w:line="1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Adjusted EBITDA improved by ~139% to positive $1.9 million in the fourth quarter 2024, as compared to a loss of $4.8 million in the corresponding period in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2024 Financial Results</w:t>
      </w:r>
    </w:p>
    <w:p>
      <w:pPr>
        <w:spacing w:after="0" w:line="2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Worldwide revenue was $167.2 million for 2024, a ~20% increase from $138.9 million in 2023. U.S. revenue for 2024 was $158.4 million, a ~21% increase from $130.6 million in 2023. International revenue was $8.8 million in 2024 compared to $8.3 million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Gross profit was $132.1 million in 2024, a ~21% increase from $109.4 million in 2023. Gross margin was ~79% in 2024 and in 2023.</w:t>
      </w:r>
    </w:p>
    <w:p>
      <w:pPr>
        <w:spacing w:after="0" w:line="29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Operating expenses increased ~7% to $167.4 million in 2024, as compared to $156.4 million in 2023. The change in operating expenses was primarily driven by general commercial activity related to higher revenue and new product rollout, as well as research and development investments related to future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loss improved by ~25% to $35.2 million in 2024, as compared to an operating loss of $46.9 million in 2023.</w:t>
      </w:r>
    </w:p>
    <w:p>
      <w:pPr>
        <w:spacing w:after="0" w:line="29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Net loss improved by ~29%, to $30.9 million, or $0.75 per diluted share in 2024, as compared to a net loss of $43.3 million , or $1.13 per diluted share in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improved by ~71% to a loss of $5.1 million in 2024, as compared to a loss of $17.3 million in 2023.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marketable securities were $150.0 million and borrowings were $35.5 million as of December 31, 2024.</w:t>
      </w:r>
    </w:p>
    <w:p>
      <w:pPr>
        <w:sectPr>
          <w:pgSz w:w="11900" w:h="16838" w:orient="portrait"/>
          <w:cols w:equalWidth="0" w:num="1">
            <w:col w:w="11240"/>
          </w:cols>
          <w:pgMar w:left="320" w:top="9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2025 Financial Guidance</w:t>
      </w:r>
    </w:p>
    <w:p>
      <w:pPr>
        <w:spacing w:after="0" w:line="31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SI-BONE expects 2025 worldwide revenue to be in the range of $193.5 million to $195.5 million, implying year-over-year growth of ~16% to ~17%. SI-BONE estimates fiscal year 2025 gross margin to be in the range of 77% to 78%, and operating expenses growth to be ~9% at the mid-point of the revenue guidance. Based on these assumptions, SI-BONE expects to deliver positive adjusted EBITDA for second half and full year 2025.</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Information</w:t>
      </w:r>
    </w:p>
    <w:p>
      <w:pPr>
        <w:spacing w:after="0" w:line="2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SI-BONE will host a conference call to discuss the fourth quarter 2024 financial results after market close on Monday, February 24, 2025 at 4:30 P.M. Eastern Time. The conference call can be accessed live over webcast at https://edge.media-server.com/mmc/p/xyxunb4k. Live audio of the webcast will be available on the “Investors” section of the company’s website at: www.si-bone.com. The webcast will be archived and available for replay for at least 90 days after the event.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SI-BONE, Inc.</w:t>
      </w:r>
    </w:p>
    <w:p>
      <w:pPr>
        <w:spacing w:after="0" w:line="30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SI-BONE (NASDAQ: SIBN) is a global leader in developing unique technologies for surgical treatment of sacropelvic disorders. Since pioneering minimally invasive SI joint surgery in 2009, SI-BONE has supported over 4,300 physicians in performing a total of over 115,000 procedures. A unique body of clinical evidence supports the use of SI-BONE’s technologies, including two randomized controlled trials and over 160 peer reviewed publications. SI-BONE has leveraged its leadership in minimally invasive SI joint fusion to commercialize novel solutions for adjacent markets, including adult deformity, sacropelvic fixation and pelvic trauma.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on the company or the products including risks and benefits, please visit www.si-bone.com.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iFuse Bedrock Granite and SI-BONE are registered trademarks of SI-BONE, Inc. ©2025 SI-BONE, Inc. All Rights Reserved.</w:t>
      </w:r>
    </w:p>
    <w:p>
      <w:pPr>
        <w:sectPr>
          <w:pgSz w:w="11900" w:h="16838" w:orient="portrait"/>
          <w:cols w:equalWidth="0" w:num="1">
            <w:col w:w="11240"/>
          </w:cols>
          <w:pgMar w:left="320" w:top="115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30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devices. Actual results and the timing of events could differ materially from those anticipated in such forward-looking statements as a result of these and other risks and uncertainties, many of which are described in the company's most recent filing on Form 10-K,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30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color w:val="auto"/>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spacing w:after="0" w:line="196"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9"/>
          <w:szCs w:val="19"/>
          <w:color w:val="auto"/>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Saqib Iqbal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Sr. Director, FP&amp;A and Investor Relations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investors@SI-BONE.com</w:t>
      </w:r>
    </w:p>
    <w:p>
      <w:pPr>
        <w:sectPr>
          <w:pgSz w:w="11900" w:h="16838" w:orient="portrait"/>
          <w:cols w:equalWidth="0" w:num="1">
            <w:col w:w="11240"/>
          </w:cols>
          <w:pgMar w:left="320" w:top="139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720" w:type="dxa"/>
            <w:vAlign w:val="bottom"/>
            <w:gridSpan w:val="5"/>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138,886</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29,466</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109,420</w:t>
            </w:r>
          </w:p>
        </w:tc>
        <w:tc>
          <w:tcPr>
            <w:tcW w:w="0" w:type="dxa"/>
            <w:vAlign w:val="bottom"/>
          </w:tcPr>
          <w:p>
            <w:pPr>
              <w:spacing w:after="0"/>
              <w:rPr>
                <w:sz w:val="1"/>
                <w:szCs w:val="1"/>
                <w:color w:val="auto"/>
              </w:rPr>
            </w:pPr>
          </w:p>
        </w:tc>
      </w:tr>
      <w:tr>
        <w:trPr>
          <w:trHeight w:val="209"/>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110,254</w:t>
            </w:r>
          </w:p>
        </w:tc>
        <w:tc>
          <w:tcPr>
            <w:tcW w:w="0" w:type="dxa"/>
            <w:vAlign w:val="bottom"/>
          </w:tcPr>
          <w:p>
            <w:pPr>
              <w:spacing w:after="0"/>
              <w:rPr>
                <w:sz w:val="1"/>
                <w:szCs w:val="1"/>
                <w:color w:val="auto"/>
              </w:rPr>
            </w:pPr>
          </w:p>
        </w:tc>
      </w:tr>
      <w:tr>
        <w:trPr>
          <w:trHeight w:val="230"/>
        </w:trPr>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167,369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156,351</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0" w:type="dxa"/>
            <w:vAlign w:val="bottom"/>
          </w:tcPr>
          <w:p>
            <w:pPr>
              <w:spacing w:after="0"/>
              <w:rPr>
                <w:sz w:val="1"/>
                <w:szCs w:val="1"/>
                <w:color w:val="auto"/>
              </w:rPr>
            </w:pPr>
          </w:p>
        </w:tc>
      </w:tr>
      <w:tr>
        <w:trPr>
          <w:trHeight w:val="230"/>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0" w:type="dxa"/>
            <w:vAlign w:val="bottom"/>
          </w:tcPr>
          <w:p>
            <w:pPr>
              <w:spacing w:after="0"/>
              <w:rPr>
                <w:sz w:val="1"/>
                <w:szCs w:val="1"/>
                <w:color w:val="auto"/>
              </w:rPr>
            </w:pPr>
          </w:p>
        </w:tc>
      </w:tr>
      <w:tr>
        <w:trPr>
          <w:trHeight w:val="229"/>
        </w:trPr>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57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(10,983)</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(30,913)</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(43,336)</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Weighted-average number of common shares used to compute basic and</w:t>
            </w:r>
          </w:p>
        </w:tc>
        <w:tc>
          <w:tcPr>
            <w:tcW w:w="12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41,994,284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40,579,409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41,466,564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38,427,419</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33,271</w:t>
            </w: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132,748</w:t>
            </w: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21,953</w:t>
            </w:r>
          </w:p>
        </w:tc>
      </w:tr>
      <w:tr>
        <w:trPr>
          <w:trHeight w:val="229"/>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20,249</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211,394</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r>
      <w:tr>
        <w:trPr>
          <w:trHeight w:val="229"/>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36,065</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61,050</w:t>
            </w:r>
          </w:p>
        </w:tc>
      </w:tr>
      <w:tr>
        <w:trPr>
          <w:trHeight w:val="250"/>
        </w:trPr>
        <w:tc>
          <w:tcPr>
            <w:tcW w:w="7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569,481</w:t>
            </w: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(431,354)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(400,441)</w:t>
            </w:r>
          </w:p>
        </w:tc>
      </w:tr>
      <w:tr>
        <w:trPr>
          <w:trHeight w:val="223"/>
        </w:trPr>
        <w:tc>
          <w:tcPr>
            <w:tcW w:w="7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169,375</w:t>
            </w:r>
          </w:p>
        </w:tc>
      </w:tr>
      <w:tr>
        <w:trPr>
          <w:trHeight w:val="22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r>
      <w:tr>
        <w:trPr>
          <w:trHeight w:val="20"/>
        </w:trPr>
        <w:tc>
          <w:tcPr>
            <w:tcW w:w="7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60"/>
          </w:cols>
          <w:pgMar w:left="820" w:top="887" w:right="81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0"/>
        <w:spacing w:after="0" w:line="286" w:lineRule="auto"/>
        <w:rPr>
          <w:sz w:val="20"/>
          <w:szCs w:val="20"/>
          <w:color w:val="auto"/>
        </w:rPr>
      </w:pPr>
      <w:r>
        <w:rPr>
          <w:rFonts w:ascii="Times New Roman" w:cs="Times New Roman" w:eastAsia="Times New Roman" w:hAnsi="Times New Roman"/>
          <w:sz w:val="18"/>
          <w:szCs w:val="18"/>
          <w:color w:val="auto"/>
        </w:rPr>
        <w:t>Depreciation and amortization 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7"/>
          <w:szCs w:val="17"/>
          <w:b w:val="1"/>
          <w:bCs w:val="1"/>
          <w:color w:val="auto"/>
        </w:rPr>
        <w:t>RECONCILIATION OF NET LOSS TO NON-GAAP ADJUSTED EBITDA</w:t>
      </w:r>
    </w:p>
    <w:p>
      <w:pPr>
        <w:spacing w:after="0" w:line="2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194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32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 2024</w:t>
            </w:r>
          </w:p>
        </w:tc>
        <w:tc>
          <w:tcPr>
            <w:tcW w:w="140" w:type="dxa"/>
            <w:vAlign w:val="bottom"/>
          </w:tcPr>
          <w:p>
            <w:pPr>
              <w:spacing w:after="0"/>
              <w:rPr>
                <w:sz w:val="18"/>
                <w:szCs w:val="18"/>
                <w:color w:val="auto"/>
              </w:rPr>
            </w:pPr>
          </w:p>
        </w:tc>
        <w:tc>
          <w:tcPr>
            <w:tcW w:w="312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Twelve Months Ended December 31, 2024</w:t>
            </w:r>
          </w:p>
        </w:tc>
      </w:tr>
      <w:tr>
        <w:trPr>
          <w:trHeight w:val="211"/>
        </w:trPr>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(43,336)</w:t>
            </w:r>
          </w:p>
        </w:tc>
      </w:tr>
      <w:tr>
        <w:trPr>
          <w:trHeight w:val="229"/>
        </w:trPr>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r>
      <w:tr>
        <w:trPr>
          <w:trHeight w:val="230"/>
        </w:trPr>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r>
      <w:tr>
        <w:trPr>
          <w:trHeight w:val="229"/>
        </w:trPr>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r>
      <w:tr>
        <w:trPr>
          <w:trHeight w:val="234"/>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24,057</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-925195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-625475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-334010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sectPr>
      <w:pgSz w:w="11900" w:h="16838" w:orient="portrait"/>
      <w:cols w:equalWidth="0" w:num="2">
        <w:col w:w="2400" w:space="260"/>
        <w:col w:w="8560"/>
      </w:cols>
      <w:pgMar w:left="34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2025-02-24T16:19:19Z</dcterms:created>
  <dcterms:modified xsi:type="dcterms:W3CDTF">2025-02-24T16:19:19Z</dcterms:modified>
</cp:coreProperties>
</file>