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0001459839</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SI-Bone Inc.</w:t>
      </w:r>
    </w:p>
    <w:p>
      <w:pPr>
        <w:spacing w:after="0" w:line="38" w:lineRule="exact"/>
        <w:rPr>
          <w:sz w:val="24"/>
          <w:szCs w:val="24"/>
          <w:color w:val="auto"/>
        </w:rPr>
      </w:pPr>
    </w:p>
    <w:p>
      <w:pPr>
        <w:jc w:val="center"/>
        <w:ind w:right="11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jc w:val="center"/>
        <w:ind w:right="114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860" w:hanging="215"/>
        <w:spacing w:after="0" w:line="302" w:lineRule="auto"/>
        <w:rPr>
          <w:sz w:val="20"/>
          <w:szCs w:val="20"/>
          <w:color w:val="auto"/>
        </w:rPr>
      </w:pPr>
      <w:r>
        <w:rPr>
          <w:rFonts w:ascii="Arial" w:cs="Arial" w:eastAsia="Arial" w:hAnsi="Arial"/>
          <w:sz w:val="22"/>
          <w:szCs w:val="22"/>
          <w:color w:val="auto"/>
        </w:rPr>
        <w:t>X Within Last Five Years (Specify Year) 2008 Yet to Be Formed</w:t>
      </w:r>
    </w:p>
    <w:p>
      <w:pPr>
        <w:spacing w:after="0" w:line="201"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jc w:val="center"/>
        <w:ind w:left="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SI-Bone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550 S WINCHESTER BOULEVARD SUITE 620</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SAN JOSE</w:t>
      </w:r>
      <w:r>
        <w:rPr>
          <w:sz w:val="20"/>
          <w:szCs w:val="20"/>
          <w:color w:val="auto"/>
        </w:rPr>
        <w:tab/>
      </w:r>
      <w:r>
        <w:rPr>
          <w:rFonts w:ascii="Arial" w:cs="Arial" w:eastAsia="Arial" w:hAnsi="Arial"/>
          <w:sz w:val="21"/>
          <w:szCs w:val="21"/>
          <w:color w:val="auto"/>
        </w:rPr>
        <w:t>CALIFORNIA</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95128</w:t>
      </w:r>
      <w:r>
        <w:rPr>
          <w:sz w:val="20"/>
          <w:szCs w:val="20"/>
          <w:color w:val="auto"/>
        </w:rPr>
        <w:tab/>
      </w:r>
      <w:r>
        <w:rPr>
          <w:rFonts w:ascii="Arial" w:cs="Arial" w:eastAsia="Arial" w:hAnsi="Arial"/>
          <w:sz w:val="22"/>
          <w:szCs w:val="22"/>
          <w:color w:val="auto"/>
        </w:rPr>
        <w:t>4082070700</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324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94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40" w:type="dxa"/>
            <w:vAlign w:val="bottom"/>
          </w:tcPr>
          <w:p>
            <w:pPr>
              <w:ind w:left="40"/>
              <w:spacing w:after="0"/>
              <w:rPr>
                <w:sz w:val="20"/>
                <w:szCs w:val="20"/>
                <w:color w:val="auto"/>
              </w:rPr>
            </w:pPr>
            <w:r>
              <w:rPr>
                <w:rFonts w:ascii="Arial" w:cs="Arial" w:eastAsia="Arial" w:hAnsi="Arial"/>
                <w:sz w:val="22"/>
                <w:szCs w:val="22"/>
                <w:color w:val="auto"/>
              </w:rPr>
              <w:t>Dunn</w:t>
            </w:r>
          </w:p>
        </w:tc>
        <w:tc>
          <w:tcPr>
            <w:tcW w:w="940" w:type="dxa"/>
            <w:vAlign w:val="bottom"/>
          </w:tcPr>
          <w:p>
            <w:pPr>
              <w:ind w:left="220"/>
              <w:spacing w:after="0"/>
              <w:rPr>
                <w:sz w:val="20"/>
                <w:szCs w:val="20"/>
                <w:color w:val="auto"/>
              </w:rPr>
            </w:pPr>
            <w:r>
              <w:rPr>
                <w:rFonts w:ascii="Arial" w:cs="Arial" w:eastAsia="Arial" w:hAnsi="Arial"/>
                <w:sz w:val="22"/>
                <w:szCs w:val="22"/>
                <w:color w:val="auto"/>
              </w:rPr>
              <w:t>Jeffrey</w:t>
            </w:r>
          </w:p>
        </w:tc>
        <w:tc>
          <w:tcPr>
            <w:tcW w:w="236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W.</w:t>
            </w:r>
          </w:p>
        </w:tc>
      </w:tr>
      <w:tr>
        <w:trPr>
          <w:trHeight w:val="297"/>
        </w:trPr>
        <w:tc>
          <w:tcPr>
            <w:tcW w:w="324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94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40" w:type="dxa"/>
            <w:vAlign w:val="bottom"/>
          </w:tcPr>
          <w:p>
            <w:pPr>
              <w:ind w:left="40"/>
              <w:spacing w:after="0"/>
              <w:rPr>
                <w:sz w:val="20"/>
                <w:szCs w:val="20"/>
                <w:color w:val="auto"/>
              </w:rPr>
            </w:pPr>
            <w:r>
              <w:rPr>
                <w:rFonts w:ascii="Arial" w:cs="Arial" w:eastAsia="Arial" w:hAnsi="Arial"/>
                <w:sz w:val="22"/>
                <w:szCs w:val="22"/>
                <w:color w:val="auto"/>
                <w:w w:val="95"/>
              </w:rPr>
              <w:t>550 S Winchester Blvd., Suite 620</w:t>
            </w:r>
          </w:p>
        </w:tc>
        <w:tc>
          <w:tcPr>
            <w:tcW w:w="9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4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330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40" w:type="dxa"/>
            <w:vAlign w:val="bottom"/>
          </w:tcPr>
          <w:p>
            <w:pPr>
              <w:ind w:left="40"/>
              <w:spacing w:after="0"/>
              <w:rPr>
                <w:sz w:val="20"/>
                <w:szCs w:val="20"/>
                <w:color w:val="auto"/>
              </w:rPr>
            </w:pPr>
            <w:r>
              <w:rPr>
                <w:rFonts w:ascii="Arial" w:cs="Arial" w:eastAsia="Arial" w:hAnsi="Arial"/>
                <w:sz w:val="22"/>
                <w:szCs w:val="22"/>
                <w:color w:val="auto"/>
              </w:rPr>
              <w:t>San Jose</w:t>
            </w:r>
          </w:p>
        </w:tc>
        <w:tc>
          <w:tcPr>
            <w:tcW w:w="3300" w:type="dxa"/>
            <w:vAlign w:val="bottom"/>
            <w:gridSpan w:val="2"/>
          </w:tcPr>
          <w:p>
            <w:pPr>
              <w:ind w:left="22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95128</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36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4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4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94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40" w:type="dxa"/>
            <w:vAlign w:val="bottom"/>
          </w:tcPr>
          <w:p>
            <w:pPr>
              <w:ind w:left="40"/>
              <w:spacing w:after="0"/>
              <w:rPr>
                <w:sz w:val="20"/>
                <w:szCs w:val="20"/>
                <w:color w:val="auto"/>
              </w:rPr>
            </w:pPr>
            <w:r>
              <w:rPr>
                <w:rFonts w:ascii="Arial" w:cs="Arial" w:eastAsia="Arial" w:hAnsi="Arial"/>
                <w:sz w:val="22"/>
                <w:szCs w:val="22"/>
                <w:color w:val="auto"/>
              </w:rPr>
              <w:t>Reiley</w:t>
            </w:r>
          </w:p>
        </w:tc>
        <w:tc>
          <w:tcPr>
            <w:tcW w:w="940" w:type="dxa"/>
            <w:vAlign w:val="bottom"/>
          </w:tcPr>
          <w:p>
            <w:pPr>
              <w:ind w:left="220"/>
              <w:spacing w:after="0"/>
              <w:rPr>
                <w:sz w:val="20"/>
                <w:szCs w:val="20"/>
                <w:color w:val="auto"/>
              </w:rPr>
            </w:pPr>
            <w:r>
              <w:rPr>
                <w:rFonts w:ascii="Arial" w:cs="Arial" w:eastAsia="Arial" w:hAnsi="Arial"/>
                <w:sz w:val="22"/>
                <w:szCs w:val="22"/>
                <w:color w:val="auto"/>
              </w:rPr>
              <w:t>Mark</w:t>
            </w:r>
          </w:p>
        </w:tc>
        <w:tc>
          <w:tcPr>
            <w:tcW w:w="236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A.</w:t>
            </w:r>
          </w:p>
        </w:tc>
      </w:tr>
      <w:tr>
        <w:trPr>
          <w:trHeight w:val="297"/>
        </w:trPr>
        <w:tc>
          <w:tcPr>
            <w:tcW w:w="324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94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40" w:type="dxa"/>
            <w:vAlign w:val="bottom"/>
          </w:tcPr>
          <w:p>
            <w:pPr>
              <w:ind w:left="40"/>
              <w:spacing w:after="0"/>
              <w:rPr>
                <w:sz w:val="20"/>
                <w:szCs w:val="20"/>
                <w:color w:val="auto"/>
              </w:rPr>
            </w:pPr>
            <w:r>
              <w:rPr>
                <w:rFonts w:ascii="Arial" w:cs="Arial" w:eastAsia="Arial" w:hAnsi="Arial"/>
                <w:sz w:val="22"/>
                <w:szCs w:val="22"/>
                <w:color w:val="auto"/>
                <w:w w:val="95"/>
              </w:rPr>
              <w:t>550 S Winchester Blvd., Suite 620</w:t>
            </w:r>
          </w:p>
        </w:tc>
        <w:tc>
          <w:tcPr>
            <w:tcW w:w="9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4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330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40" w:type="dxa"/>
            <w:vAlign w:val="bottom"/>
          </w:tcPr>
          <w:p>
            <w:pPr>
              <w:ind w:left="40"/>
              <w:spacing w:after="0"/>
              <w:rPr>
                <w:sz w:val="20"/>
                <w:szCs w:val="20"/>
                <w:color w:val="auto"/>
              </w:rPr>
            </w:pPr>
            <w:r>
              <w:rPr>
                <w:rFonts w:ascii="Arial" w:cs="Arial" w:eastAsia="Arial" w:hAnsi="Arial"/>
                <w:sz w:val="22"/>
                <w:szCs w:val="22"/>
                <w:color w:val="auto"/>
              </w:rPr>
              <w:t>San Jose</w:t>
            </w:r>
          </w:p>
        </w:tc>
        <w:tc>
          <w:tcPr>
            <w:tcW w:w="3300" w:type="dxa"/>
            <w:vAlign w:val="bottom"/>
            <w:gridSpan w:val="2"/>
          </w:tcPr>
          <w:p>
            <w:pPr>
              <w:ind w:left="22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95128</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Executive Officer X 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Davis</w:t>
            </w:r>
          </w:p>
        </w:tc>
        <w:tc>
          <w:tcPr>
            <w:tcW w:w="840" w:type="dxa"/>
            <w:vAlign w:val="bottom"/>
          </w:tcPr>
          <w:p>
            <w:pPr>
              <w:ind w:left="260"/>
              <w:spacing w:after="0"/>
              <w:rPr>
                <w:sz w:val="20"/>
                <w:szCs w:val="20"/>
                <w:color w:val="auto"/>
              </w:rPr>
            </w:pPr>
            <w:r>
              <w:rPr>
                <w:rFonts w:ascii="Arial" w:cs="Arial" w:eastAsia="Arial" w:hAnsi="Arial"/>
                <w:sz w:val="22"/>
                <w:szCs w:val="22"/>
                <w:color w:val="auto"/>
              </w:rPr>
              <w:t>Ted</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w w:val="94"/>
              </w:rPr>
              <w:t>550 S Winchester Blvd., Suite 620</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San Jose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95128</w:t>
            </w:r>
          </w:p>
        </w:tc>
      </w:tr>
      <w:tr>
        <w:trPr>
          <w:trHeight w:val="324"/>
        </w:trPr>
        <w:tc>
          <w:tcPr>
            <w:tcW w:w="404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Murray</w:t>
            </w:r>
          </w:p>
        </w:tc>
        <w:tc>
          <w:tcPr>
            <w:tcW w:w="840" w:type="dxa"/>
            <w:vAlign w:val="bottom"/>
          </w:tcPr>
          <w:p>
            <w:pPr>
              <w:ind w:left="260"/>
              <w:spacing w:after="0"/>
              <w:rPr>
                <w:sz w:val="20"/>
                <w:szCs w:val="20"/>
                <w:color w:val="auto"/>
              </w:rPr>
            </w:pPr>
            <w:r>
              <w:rPr>
                <w:rFonts w:ascii="Arial" w:cs="Arial" w:eastAsia="Arial" w:hAnsi="Arial"/>
                <w:sz w:val="22"/>
                <w:szCs w:val="22"/>
                <w:color w:val="auto"/>
              </w:rPr>
              <w:t>Dan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w w:val="94"/>
              </w:rPr>
              <w:t>550 S Winchester Blvd., Suite 620</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San Jose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95128</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99" w:orient="portrait"/>
          <w:cols w:equalWidth="0" w:num="1">
            <w:col w:w="11420"/>
          </w:cols>
          <w:pgMar w:left="240" w:top="153"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40"/>
              <w:spacing w:after="0"/>
              <w:rPr>
                <w:sz w:val="20"/>
                <w:szCs w:val="20"/>
                <w:color w:val="auto"/>
              </w:rPr>
            </w:pPr>
            <w:r>
              <w:rPr>
                <w:rFonts w:ascii="Arial" w:cs="Arial" w:eastAsia="Arial" w:hAnsi="Arial"/>
                <w:sz w:val="22"/>
                <w:szCs w:val="22"/>
                <w:color w:val="auto"/>
              </w:rPr>
              <w:t>X 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2120"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ectPr>
          <w:pgSz w:w="11900" w:h="16899" w:orient="portrait"/>
          <w:cols w:equalWidth="0" w:num="2">
            <w:col w:w="3600" w:space="340"/>
            <w:col w:w="7480"/>
          </w:cols>
          <w:pgMar w:left="240" w:top="153" w:right="239" w:bottom="0" w:gutter="0" w:footer="0" w:header="0"/>
          <w:type w:val="continuous"/>
        </w:sectPr>
      </w:pPr>
    </w:p>
    <w:bookmarkStart w:id="2" w:name="page3"/>
    <w:bookmarkEnd w:id="2"/>
    <w:p>
      <w:pPr>
        <w:spacing w:after="0" w:line="42" w:lineRule="exact"/>
        <w:rPr>
          <w:sz w:val="20"/>
          <w:szCs w:val="20"/>
          <w:color w:val="auto"/>
        </w:rPr>
      </w:pPr>
    </w:p>
    <w:p>
      <w:pPr>
        <w:ind w:left="40"/>
        <w:spacing w:after="0"/>
        <w:rPr>
          <w:sz w:val="20"/>
          <w:szCs w:val="20"/>
          <w:color w:val="auto"/>
        </w:rPr>
      </w:pPr>
      <w:r>
        <w:rPr>
          <w:rFonts w:ascii="Arial" w:cs="Arial" w:eastAsia="Arial" w:hAnsi="Arial"/>
          <w:sz w:val="19"/>
          <w:szCs w:val="19"/>
          <w:color w:val="auto"/>
        </w:rPr>
        <w:t>X Decline to Disclose</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Decline to Disclose</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80" w:orient="portrait"/>
          <w:cols w:equalWidth="0" w:num="2">
            <w:col w:w="3580" w:space="720"/>
            <w:col w:w="7080"/>
          </w:cols>
          <w:pgMar w:left="240" w:top="172" w:right="279" w:bottom="0"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180" w:type="dxa"/>
            <w:vAlign w:val="bottom"/>
          </w:tcPr>
          <w:p>
            <w:pPr>
              <w:ind w:left="260"/>
              <w:spacing w:after="0"/>
              <w:rPr>
                <w:sz w:val="20"/>
                <w:szCs w:val="20"/>
                <w:color w:val="auto"/>
              </w:rPr>
            </w:pPr>
            <w:r>
              <w:rPr>
                <w:rFonts w:ascii="Arial" w:cs="Arial" w:eastAsia="Arial" w:hAnsi="Arial"/>
                <w:sz w:val="22"/>
                <w:szCs w:val="22"/>
                <w:color w:val="auto"/>
              </w:rPr>
              <w:t>Rule 504(b)(1) (not (i), (ii) or (iii))</w:t>
            </w:r>
          </w:p>
        </w:tc>
        <w:tc>
          <w:tcPr>
            <w:tcW w:w="1500" w:type="dxa"/>
            <w:vAlign w:val="bottom"/>
          </w:tcPr>
          <w:p>
            <w:pPr>
              <w:ind w:left="440"/>
              <w:spacing w:after="0"/>
              <w:rPr>
                <w:sz w:val="20"/>
                <w:szCs w:val="20"/>
                <w:color w:val="auto"/>
              </w:rPr>
            </w:pPr>
            <w:r>
              <w:rPr>
                <w:rFonts w:ascii="Arial" w:cs="Arial" w:eastAsia="Arial" w:hAnsi="Arial"/>
                <w:sz w:val="22"/>
                <w:szCs w:val="22"/>
                <w:color w:val="auto"/>
              </w:rPr>
              <w:t>Rule 505</w:t>
            </w:r>
          </w:p>
        </w:tc>
        <w:tc>
          <w:tcPr>
            <w:tcW w:w="108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Rule 504 (b)(1)(i)</w:t>
            </w:r>
          </w:p>
        </w:tc>
        <w:tc>
          <w:tcPr>
            <w:tcW w:w="1500" w:type="dxa"/>
            <w:vAlign w:val="bottom"/>
          </w:tcPr>
          <w:p>
            <w:pPr>
              <w:ind w:left="160"/>
              <w:spacing w:after="0"/>
              <w:rPr>
                <w:sz w:val="20"/>
                <w:szCs w:val="20"/>
                <w:color w:val="auto"/>
              </w:rPr>
            </w:pPr>
            <w:r>
              <w:rPr>
                <w:rFonts w:ascii="Arial" w:cs="Arial" w:eastAsia="Arial" w:hAnsi="Arial"/>
                <w:sz w:val="22"/>
                <w:szCs w:val="22"/>
                <w:color w:val="auto"/>
              </w:rPr>
              <w:t>X Rule 506</w:t>
            </w: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Rule 504 (b)(1)(ii)</w:t>
            </w:r>
          </w:p>
        </w:tc>
        <w:tc>
          <w:tcPr>
            <w:tcW w:w="4640" w:type="dxa"/>
            <w:vAlign w:val="bottom"/>
            <w:gridSpan w:val="3"/>
          </w:tcPr>
          <w:p>
            <w:pPr>
              <w:ind w:left="440"/>
              <w:spacing w:after="0"/>
              <w:rPr>
                <w:sz w:val="20"/>
                <w:szCs w:val="20"/>
                <w:color w:val="auto"/>
              </w:rPr>
            </w:pPr>
            <w:r>
              <w:rPr>
                <w:rFonts w:ascii="Arial" w:cs="Arial" w:eastAsia="Arial" w:hAnsi="Arial"/>
                <w:sz w:val="22"/>
                <w:szCs w:val="22"/>
                <w:color w:val="auto"/>
              </w:rPr>
              <w:t>Securities Act Section 4(5)</w:t>
            </w: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Rule 504 (b)(1)(iii)</w:t>
            </w:r>
          </w:p>
        </w:tc>
        <w:tc>
          <w:tcPr>
            <w:tcW w:w="4640" w:type="dxa"/>
            <w:vAlign w:val="bottom"/>
            <w:gridSpan w:val="3"/>
          </w:tcPr>
          <w:p>
            <w:pPr>
              <w:ind w:left="440"/>
              <w:spacing w:after="0"/>
              <w:rPr>
                <w:sz w:val="20"/>
                <w:szCs w:val="20"/>
                <w:color w:val="auto"/>
              </w:rPr>
            </w:pPr>
            <w:r>
              <w:rPr>
                <w:rFonts w:ascii="Arial" w:cs="Arial" w:eastAsia="Arial" w:hAnsi="Arial"/>
                <w:sz w:val="22"/>
                <w:szCs w:val="22"/>
                <w:color w:val="auto"/>
              </w:rPr>
              <w:t>Investment Company Act Section 3(c)</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80" w:type="dxa"/>
            <w:vAlign w:val="bottom"/>
            <w:gridSpan w:val="2"/>
          </w:tcPr>
          <w:p>
            <w:pPr>
              <w:jc w:val="center"/>
              <w:ind w:right="252"/>
              <w:spacing w:after="0"/>
              <w:rPr>
                <w:sz w:val="20"/>
                <w:szCs w:val="20"/>
                <w:color w:val="auto"/>
              </w:rPr>
            </w:pPr>
            <w:r>
              <w:rPr>
                <w:rFonts w:ascii="Arial" w:cs="Arial" w:eastAsia="Arial" w:hAnsi="Arial"/>
                <w:sz w:val="22"/>
                <w:szCs w:val="22"/>
                <w:color w:val="auto"/>
                <w:w w:val="90"/>
              </w:rPr>
              <w:t>Section 3(c)(1)</w:t>
            </w:r>
          </w:p>
        </w:tc>
        <w:tc>
          <w:tcPr>
            <w:tcW w:w="2060" w:type="dxa"/>
            <w:vAlign w:val="bottom"/>
          </w:tcPr>
          <w:p>
            <w:pPr>
              <w:ind w:left="100"/>
              <w:spacing w:after="0"/>
              <w:rPr>
                <w:sz w:val="20"/>
                <w:szCs w:val="20"/>
                <w:color w:val="auto"/>
              </w:rPr>
            </w:pPr>
            <w:r>
              <w:rPr>
                <w:rFonts w:ascii="Arial" w:cs="Arial" w:eastAsia="Arial" w:hAnsi="Arial"/>
                <w:sz w:val="22"/>
                <w:szCs w:val="22"/>
                <w:color w:val="auto"/>
              </w:rPr>
              <w:t>Section 3(c)(9)</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80" w:type="dxa"/>
            <w:vAlign w:val="bottom"/>
            <w:gridSpan w:val="2"/>
          </w:tcPr>
          <w:p>
            <w:pPr>
              <w:jc w:val="center"/>
              <w:ind w:right="252"/>
              <w:spacing w:after="0"/>
              <w:rPr>
                <w:sz w:val="20"/>
                <w:szCs w:val="20"/>
                <w:color w:val="auto"/>
              </w:rPr>
            </w:pPr>
            <w:r>
              <w:rPr>
                <w:rFonts w:ascii="Arial" w:cs="Arial" w:eastAsia="Arial" w:hAnsi="Arial"/>
                <w:sz w:val="22"/>
                <w:szCs w:val="22"/>
                <w:color w:val="auto"/>
                <w:w w:val="90"/>
              </w:rPr>
              <w:t>Section 3(c)(2)</w:t>
            </w:r>
          </w:p>
        </w:tc>
        <w:tc>
          <w:tcPr>
            <w:tcW w:w="2060" w:type="dxa"/>
            <w:vAlign w:val="bottom"/>
          </w:tcPr>
          <w:p>
            <w:pPr>
              <w:ind w:left="100"/>
              <w:spacing w:after="0"/>
              <w:rPr>
                <w:sz w:val="20"/>
                <w:szCs w:val="20"/>
                <w:color w:val="auto"/>
              </w:rPr>
            </w:pPr>
            <w:r>
              <w:rPr>
                <w:rFonts w:ascii="Arial" w:cs="Arial" w:eastAsia="Arial" w:hAnsi="Arial"/>
                <w:sz w:val="22"/>
                <w:szCs w:val="22"/>
                <w:color w:val="auto"/>
              </w:rPr>
              <w:t>Section 3(c)(10)</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80" w:type="dxa"/>
            <w:vAlign w:val="bottom"/>
            <w:gridSpan w:val="2"/>
          </w:tcPr>
          <w:p>
            <w:pPr>
              <w:jc w:val="center"/>
              <w:ind w:right="252"/>
              <w:spacing w:after="0"/>
              <w:rPr>
                <w:sz w:val="20"/>
                <w:szCs w:val="20"/>
                <w:color w:val="auto"/>
              </w:rPr>
            </w:pPr>
            <w:r>
              <w:rPr>
                <w:rFonts w:ascii="Arial" w:cs="Arial" w:eastAsia="Arial" w:hAnsi="Arial"/>
                <w:sz w:val="22"/>
                <w:szCs w:val="22"/>
                <w:color w:val="auto"/>
                <w:w w:val="90"/>
              </w:rPr>
              <w:t>Section 3(c)(3)</w:t>
            </w:r>
          </w:p>
        </w:tc>
        <w:tc>
          <w:tcPr>
            <w:tcW w:w="2060" w:type="dxa"/>
            <w:vAlign w:val="bottom"/>
          </w:tcPr>
          <w:p>
            <w:pPr>
              <w:ind w:left="140"/>
              <w:spacing w:after="0"/>
              <w:rPr>
                <w:sz w:val="20"/>
                <w:szCs w:val="20"/>
                <w:color w:val="auto"/>
              </w:rPr>
            </w:pPr>
            <w:r>
              <w:rPr>
                <w:rFonts w:ascii="Arial" w:cs="Arial" w:eastAsia="Arial" w:hAnsi="Arial"/>
                <w:sz w:val="22"/>
                <w:szCs w:val="22"/>
                <w:color w:val="auto"/>
              </w:rPr>
              <w:t>Section 3(c)(11)</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80" w:type="dxa"/>
            <w:vAlign w:val="bottom"/>
            <w:gridSpan w:val="2"/>
          </w:tcPr>
          <w:p>
            <w:pPr>
              <w:jc w:val="center"/>
              <w:ind w:right="252"/>
              <w:spacing w:after="0"/>
              <w:rPr>
                <w:sz w:val="20"/>
                <w:szCs w:val="20"/>
                <w:color w:val="auto"/>
              </w:rPr>
            </w:pPr>
            <w:r>
              <w:rPr>
                <w:rFonts w:ascii="Arial" w:cs="Arial" w:eastAsia="Arial" w:hAnsi="Arial"/>
                <w:sz w:val="22"/>
                <w:szCs w:val="22"/>
                <w:color w:val="auto"/>
                <w:w w:val="90"/>
              </w:rPr>
              <w:t>Section 3(c)(4)</w:t>
            </w:r>
          </w:p>
        </w:tc>
        <w:tc>
          <w:tcPr>
            <w:tcW w:w="2060" w:type="dxa"/>
            <w:vAlign w:val="bottom"/>
          </w:tcPr>
          <w:p>
            <w:pPr>
              <w:ind w:left="100"/>
              <w:spacing w:after="0"/>
              <w:rPr>
                <w:sz w:val="20"/>
                <w:szCs w:val="20"/>
                <w:color w:val="auto"/>
              </w:rPr>
            </w:pPr>
            <w:r>
              <w:rPr>
                <w:rFonts w:ascii="Arial" w:cs="Arial" w:eastAsia="Arial" w:hAnsi="Arial"/>
                <w:sz w:val="22"/>
                <w:szCs w:val="22"/>
                <w:color w:val="auto"/>
              </w:rPr>
              <w:t>Section 3(c)(12)</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80" w:type="dxa"/>
            <w:vAlign w:val="bottom"/>
            <w:gridSpan w:val="2"/>
          </w:tcPr>
          <w:p>
            <w:pPr>
              <w:jc w:val="center"/>
              <w:ind w:right="252"/>
              <w:spacing w:after="0"/>
              <w:rPr>
                <w:sz w:val="20"/>
                <w:szCs w:val="20"/>
                <w:color w:val="auto"/>
              </w:rPr>
            </w:pPr>
            <w:r>
              <w:rPr>
                <w:rFonts w:ascii="Arial" w:cs="Arial" w:eastAsia="Arial" w:hAnsi="Arial"/>
                <w:sz w:val="22"/>
                <w:szCs w:val="22"/>
                <w:color w:val="auto"/>
                <w:w w:val="90"/>
              </w:rPr>
              <w:t>Section 3(c)(5)</w:t>
            </w:r>
          </w:p>
        </w:tc>
        <w:tc>
          <w:tcPr>
            <w:tcW w:w="2060" w:type="dxa"/>
            <w:vAlign w:val="bottom"/>
          </w:tcPr>
          <w:p>
            <w:pPr>
              <w:ind w:left="100"/>
              <w:spacing w:after="0"/>
              <w:rPr>
                <w:sz w:val="20"/>
                <w:szCs w:val="20"/>
                <w:color w:val="auto"/>
              </w:rPr>
            </w:pPr>
            <w:r>
              <w:rPr>
                <w:rFonts w:ascii="Arial" w:cs="Arial" w:eastAsia="Arial" w:hAnsi="Arial"/>
                <w:sz w:val="22"/>
                <w:szCs w:val="22"/>
                <w:color w:val="auto"/>
              </w:rPr>
              <w:t>Section 3(c)(13)</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80" w:type="dxa"/>
            <w:vAlign w:val="bottom"/>
            <w:gridSpan w:val="2"/>
          </w:tcPr>
          <w:p>
            <w:pPr>
              <w:jc w:val="center"/>
              <w:ind w:right="252"/>
              <w:spacing w:after="0"/>
              <w:rPr>
                <w:sz w:val="20"/>
                <w:szCs w:val="20"/>
                <w:color w:val="auto"/>
              </w:rPr>
            </w:pPr>
            <w:r>
              <w:rPr>
                <w:rFonts w:ascii="Arial" w:cs="Arial" w:eastAsia="Arial" w:hAnsi="Arial"/>
                <w:sz w:val="22"/>
                <w:szCs w:val="22"/>
                <w:color w:val="auto"/>
                <w:w w:val="90"/>
              </w:rPr>
              <w:t>Section 3(c)(6)</w:t>
            </w:r>
          </w:p>
        </w:tc>
        <w:tc>
          <w:tcPr>
            <w:tcW w:w="2060" w:type="dxa"/>
            <w:vAlign w:val="bottom"/>
          </w:tcPr>
          <w:p>
            <w:pPr>
              <w:ind w:left="100"/>
              <w:spacing w:after="0"/>
              <w:rPr>
                <w:sz w:val="20"/>
                <w:szCs w:val="20"/>
                <w:color w:val="auto"/>
              </w:rPr>
            </w:pPr>
            <w:r>
              <w:rPr>
                <w:rFonts w:ascii="Arial" w:cs="Arial" w:eastAsia="Arial" w:hAnsi="Arial"/>
                <w:sz w:val="22"/>
                <w:szCs w:val="22"/>
                <w:color w:val="auto"/>
              </w:rPr>
              <w:t>Section 3(c)(14)</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80" w:type="dxa"/>
            <w:vAlign w:val="bottom"/>
            <w:gridSpan w:val="2"/>
          </w:tcPr>
          <w:p>
            <w:pPr>
              <w:ind w:left="400"/>
              <w:spacing w:after="0"/>
              <w:rPr>
                <w:sz w:val="20"/>
                <w:szCs w:val="20"/>
                <w:color w:val="auto"/>
              </w:rPr>
            </w:pPr>
            <w:r>
              <w:rPr>
                <w:rFonts w:ascii="Arial" w:cs="Arial" w:eastAsia="Arial" w:hAnsi="Arial"/>
                <w:sz w:val="22"/>
                <w:szCs w:val="22"/>
                <w:color w:val="auto"/>
              </w:rPr>
              <w:t>Section 3(c)(7)</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4180" w:type="dxa"/>
            <w:vAlign w:val="bottom"/>
          </w:tcPr>
          <w:p>
            <w:pPr>
              <w:spacing w:after="0"/>
              <w:rPr>
                <w:sz w:val="20"/>
                <w:szCs w:val="20"/>
                <w:color w:val="auto"/>
              </w:rPr>
            </w:pPr>
            <w:r>
              <w:rPr>
                <w:rFonts w:ascii="Arial" w:cs="Arial" w:eastAsia="Arial" w:hAnsi="Arial"/>
                <w:sz w:val="22"/>
                <w:szCs w:val="22"/>
                <w:color w:val="auto"/>
              </w:rPr>
              <w:t>7. Type of Filing</w:t>
            </w:r>
          </w:p>
        </w:tc>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ind w:left="40"/>
              <w:spacing w:after="0"/>
              <w:rPr>
                <w:sz w:val="20"/>
                <w:szCs w:val="20"/>
                <w:color w:val="auto"/>
              </w:rPr>
            </w:pPr>
            <w:r>
              <w:rPr>
                <w:rFonts w:ascii="Arial" w:cs="Arial" w:eastAsia="Arial" w:hAnsi="Arial"/>
                <w:sz w:val="22"/>
                <w:szCs w:val="22"/>
                <w:color w:val="auto"/>
                <w:w w:val="94"/>
              </w:rPr>
              <w:t>X New Notice  Date of First Sale 2010-08-03</w:t>
            </w:r>
          </w:p>
        </w:tc>
        <w:tc>
          <w:tcPr>
            <w:tcW w:w="2580" w:type="dxa"/>
            <w:vAlign w:val="bottom"/>
            <w:gridSpan w:val="2"/>
          </w:tcPr>
          <w:p>
            <w:pPr>
              <w:jc w:val="center"/>
              <w:ind w:right="232"/>
              <w:spacing w:after="0"/>
              <w:rPr>
                <w:sz w:val="20"/>
                <w:szCs w:val="20"/>
                <w:color w:val="auto"/>
              </w:rPr>
            </w:pPr>
            <w:r>
              <w:rPr>
                <w:rFonts w:ascii="Arial" w:cs="Arial" w:eastAsia="Arial" w:hAnsi="Arial"/>
                <w:sz w:val="22"/>
                <w:szCs w:val="22"/>
                <w:color w:val="auto"/>
                <w:w w:val="88"/>
              </w:rPr>
              <w:t>First Sale Yet to Occur</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680" w:type="dxa"/>
            <w:vAlign w:val="bottom"/>
            <w:gridSpan w:val="2"/>
          </w:tcPr>
          <w:p>
            <w:pPr>
              <w:ind w:left="40"/>
              <w:spacing w:after="0"/>
              <w:rPr>
                <w:sz w:val="20"/>
                <w:szCs w:val="20"/>
                <w:color w:val="auto"/>
              </w:rPr>
            </w:pPr>
            <w:r>
              <w:rPr>
                <w:rFonts w:ascii="Arial" w:cs="Arial" w:eastAsia="Arial" w:hAnsi="Arial"/>
                <w:sz w:val="22"/>
                <w:szCs w:val="22"/>
                <w:color w:val="auto"/>
                <w:w w:val="91"/>
              </w:rPr>
              <w:t>Does the Issuer intend this offering to last more than one year?</w:t>
            </w:r>
          </w:p>
        </w:tc>
        <w:tc>
          <w:tcPr>
            <w:tcW w:w="1080" w:type="dxa"/>
            <w:vAlign w:val="bottom"/>
          </w:tcPr>
          <w:p>
            <w:pPr>
              <w:ind w:left="100"/>
              <w:spacing w:after="0"/>
              <w:rPr>
                <w:sz w:val="20"/>
                <w:szCs w:val="20"/>
                <w:color w:val="auto"/>
              </w:rPr>
            </w:pPr>
            <w:r>
              <w:rPr>
                <w:rFonts w:ascii="Arial" w:cs="Arial" w:eastAsia="Arial" w:hAnsi="Arial"/>
                <w:sz w:val="22"/>
                <w:szCs w:val="22"/>
                <w:color w:val="auto"/>
              </w:rPr>
              <w:t>Yes X No</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680" w:type="dxa"/>
            <w:vAlign w:val="bottom"/>
            <w:gridSpan w:val="2"/>
          </w:tcPr>
          <w:p>
            <w:pPr>
              <w:spacing w:after="0"/>
              <w:rPr>
                <w:sz w:val="20"/>
                <w:szCs w:val="20"/>
                <w:color w:val="auto"/>
              </w:rPr>
            </w:pPr>
            <w:r>
              <w:rPr>
                <w:rFonts w:ascii="Arial" w:cs="Arial" w:eastAsia="Arial" w:hAnsi="Arial"/>
                <w:sz w:val="22"/>
                <w:szCs w:val="22"/>
                <w:color w:val="auto"/>
              </w:rPr>
              <w:t>9. Type(s) of Securities Offered (select all that apply)</w:t>
            </w: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ind w:left="40"/>
              <w:spacing w:after="0"/>
              <w:rPr>
                <w:sz w:val="20"/>
                <w:szCs w:val="20"/>
                <w:color w:val="auto"/>
              </w:rPr>
            </w:pPr>
            <w:r>
              <w:rPr>
                <w:rFonts w:ascii="Arial" w:cs="Arial" w:eastAsia="Arial" w:hAnsi="Arial"/>
                <w:sz w:val="22"/>
                <w:szCs w:val="22"/>
                <w:color w:val="auto"/>
              </w:rPr>
              <w:t>X Equity</w:t>
            </w:r>
          </w:p>
        </w:tc>
        <w:tc>
          <w:tcPr>
            <w:tcW w:w="1500" w:type="dxa"/>
            <w:vAlign w:val="bottom"/>
          </w:tcPr>
          <w:p>
            <w:pPr>
              <w:spacing w:after="0"/>
              <w:rPr>
                <w:sz w:val="24"/>
                <w:szCs w:val="24"/>
                <w:color w:val="auto"/>
              </w:rPr>
            </w:pPr>
          </w:p>
        </w:tc>
        <w:tc>
          <w:tcPr>
            <w:tcW w:w="3140" w:type="dxa"/>
            <w:vAlign w:val="bottom"/>
            <w:gridSpan w:val="2"/>
          </w:tcPr>
          <w:p>
            <w:pPr>
              <w:ind w:left="240"/>
              <w:spacing w:after="0"/>
              <w:rPr>
                <w:sz w:val="20"/>
                <w:szCs w:val="20"/>
                <w:color w:val="auto"/>
              </w:rPr>
            </w:pPr>
            <w:r>
              <w:rPr>
                <w:rFonts w:ascii="Arial" w:cs="Arial" w:eastAsia="Arial" w:hAnsi="Arial"/>
                <w:sz w:val="22"/>
                <w:szCs w:val="22"/>
                <w:color w:val="auto"/>
                <w:w w:val="87"/>
              </w:rPr>
              <w:t>Pooled Investment Fund Interests</w:t>
            </w: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Debt</w:t>
            </w:r>
          </w:p>
        </w:tc>
        <w:tc>
          <w:tcPr>
            <w:tcW w:w="1500" w:type="dxa"/>
            <w:vAlign w:val="bottom"/>
          </w:tcPr>
          <w:p>
            <w:pPr>
              <w:spacing w:after="0"/>
              <w:rPr>
                <w:sz w:val="24"/>
                <w:szCs w:val="24"/>
                <w:color w:val="auto"/>
              </w:rPr>
            </w:pPr>
          </w:p>
        </w:tc>
        <w:tc>
          <w:tcPr>
            <w:tcW w:w="3140" w:type="dxa"/>
            <w:vAlign w:val="bottom"/>
            <w:gridSpan w:val="2"/>
          </w:tcPr>
          <w:p>
            <w:pPr>
              <w:ind w:left="240"/>
              <w:spacing w:after="0"/>
              <w:rPr>
                <w:sz w:val="20"/>
                <w:szCs w:val="20"/>
                <w:color w:val="auto"/>
              </w:rPr>
            </w:pPr>
            <w:r>
              <w:rPr>
                <w:rFonts w:ascii="Arial" w:cs="Arial" w:eastAsia="Arial" w:hAnsi="Arial"/>
                <w:sz w:val="22"/>
                <w:szCs w:val="22"/>
                <w:color w:val="auto"/>
                <w:w w:val="98"/>
              </w:rPr>
              <w:t>Tenant-in-Common Securities</w:t>
            </w:r>
          </w:p>
        </w:tc>
        <w:tc>
          <w:tcPr>
            <w:tcW w:w="0" w:type="dxa"/>
            <w:vAlign w:val="bottom"/>
          </w:tcPr>
          <w:p>
            <w:pPr>
              <w:spacing w:after="0"/>
              <w:rPr>
                <w:sz w:val="1"/>
                <w:szCs w:val="1"/>
                <w:color w:val="auto"/>
              </w:rPr>
            </w:pPr>
          </w:p>
        </w:tc>
      </w:tr>
      <w:tr>
        <w:trPr>
          <w:trHeight w:val="297"/>
        </w:trPr>
        <w:tc>
          <w:tcPr>
            <w:tcW w:w="5680" w:type="dxa"/>
            <w:vAlign w:val="bottom"/>
            <w:gridSpan w:val="2"/>
          </w:tcPr>
          <w:p>
            <w:pPr>
              <w:ind w:left="260"/>
              <w:spacing w:after="0"/>
              <w:rPr>
                <w:sz w:val="20"/>
                <w:szCs w:val="20"/>
                <w:color w:val="auto"/>
              </w:rPr>
            </w:pPr>
            <w:r>
              <w:rPr>
                <w:rFonts w:ascii="Arial" w:cs="Arial" w:eastAsia="Arial" w:hAnsi="Arial"/>
                <w:sz w:val="22"/>
                <w:szCs w:val="22"/>
                <w:color w:val="auto"/>
                <w:w w:val="94"/>
              </w:rPr>
              <w:t>Option, Warrant or Other Right to Acquire Another Security</w:t>
            </w:r>
          </w:p>
        </w:tc>
        <w:tc>
          <w:tcPr>
            <w:tcW w:w="3140" w:type="dxa"/>
            <w:vAlign w:val="bottom"/>
            <w:gridSpan w:val="2"/>
          </w:tcPr>
          <w:p>
            <w:pPr>
              <w:ind w:left="240"/>
              <w:spacing w:after="0"/>
              <w:rPr>
                <w:sz w:val="20"/>
                <w:szCs w:val="20"/>
                <w:color w:val="auto"/>
              </w:rPr>
            </w:pPr>
            <w:r>
              <w:rPr>
                <w:rFonts w:ascii="Arial" w:cs="Arial" w:eastAsia="Arial" w:hAnsi="Arial"/>
                <w:sz w:val="22"/>
                <w:szCs w:val="22"/>
                <w:color w:val="auto"/>
              </w:rPr>
              <w:t>Mineral Property Securities</w:t>
            </w:r>
          </w:p>
        </w:tc>
        <w:tc>
          <w:tcPr>
            <w:tcW w:w="0" w:type="dxa"/>
            <w:vAlign w:val="bottom"/>
          </w:tcPr>
          <w:p>
            <w:pPr>
              <w:spacing w:after="0"/>
              <w:rPr>
                <w:sz w:val="1"/>
                <w:szCs w:val="1"/>
                <w:color w:val="auto"/>
              </w:rPr>
            </w:pPr>
          </w:p>
        </w:tc>
      </w:tr>
      <w:tr>
        <w:trPr>
          <w:trHeight w:val="266"/>
        </w:trPr>
        <w:tc>
          <w:tcPr>
            <w:tcW w:w="5680" w:type="dxa"/>
            <w:vAlign w:val="bottom"/>
            <w:gridSpan w:val="2"/>
          </w:tcPr>
          <w:p>
            <w:pPr>
              <w:ind w:left="260"/>
              <w:spacing w:after="0"/>
              <w:rPr>
                <w:sz w:val="20"/>
                <w:szCs w:val="20"/>
                <w:color w:val="auto"/>
              </w:rPr>
            </w:pPr>
            <w:r>
              <w:rPr>
                <w:rFonts w:ascii="Arial" w:cs="Arial" w:eastAsia="Arial" w:hAnsi="Arial"/>
                <w:sz w:val="22"/>
                <w:szCs w:val="22"/>
                <w:color w:val="auto"/>
                <w:w w:val="91"/>
              </w:rPr>
              <w:t>Security to be Acquired Upon Exercise of Option, Warrant or</w:t>
            </w:r>
          </w:p>
        </w:tc>
        <w:tc>
          <w:tcPr>
            <w:tcW w:w="3140" w:type="dxa"/>
            <w:vAlign w:val="bottom"/>
            <w:gridSpan w:val="2"/>
            <w:vMerge w:val="restart"/>
          </w:tcPr>
          <w:p>
            <w:pPr>
              <w:ind w:left="240"/>
              <w:spacing w:after="0"/>
              <w:rPr>
                <w:sz w:val="20"/>
                <w:szCs w:val="20"/>
                <w:color w:val="auto"/>
              </w:rPr>
            </w:pPr>
            <w:r>
              <w:rPr>
                <w:rFonts w:ascii="Arial" w:cs="Arial" w:eastAsia="Arial" w:hAnsi="Arial"/>
                <w:sz w:val="22"/>
                <w:szCs w:val="22"/>
                <w:color w:val="auto"/>
              </w:rPr>
              <w:t>Other (describe)</w:t>
            </w:r>
          </w:p>
        </w:tc>
        <w:tc>
          <w:tcPr>
            <w:tcW w:w="0" w:type="dxa"/>
            <w:vAlign w:val="bottom"/>
          </w:tcPr>
          <w:p>
            <w:pPr>
              <w:spacing w:after="0"/>
              <w:rPr>
                <w:sz w:val="1"/>
                <w:szCs w:val="1"/>
                <w:color w:val="auto"/>
              </w:rPr>
            </w:pPr>
          </w:p>
        </w:tc>
      </w:tr>
      <w:tr>
        <w:trPr>
          <w:trHeight w:val="153"/>
        </w:trPr>
        <w:tc>
          <w:tcPr>
            <w:tcW w:w="418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1500" w:type="dxa"/>
            <w:vAlign w:val="bottom"/>
          </w:tcPr>
          <w:p>
            <w:pPr>
              <w:spacing w:after="0"/>
              <w:rPr>
                <w:sz w:val="13"/>
                <w:szCs w:val="13"/>
                <w:color w:val="auto"/>
              </w:rPr>
            </w:pPr>
          </w:p>
        </w:tc>
        <w:tc>
          <w:tcPr>
            <w:tcW w:w="31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8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802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8020" w:type="dxa"/>
            <w:vAlign w:val="bottom"/>
          </w:tcPr>
          <w:p>
            <w:pPr>
              <w:ind w:left="40"/>
              <w:spacing w:after="0"/>
              <w:rPr>
                <w:sz w:val="20"/>
                <w:szCs w:val="20"/>
                <w:color w:val="auto"/>
              </w:rPr>
            </w:pPr>
            <w:r>
              <w:rPr>
                <w:rFonts w:ascii="Arial" w:cs="Arial" w:eastAsia="Arial" w:hAnsi="Arial"/>
                <w:sz w:val="22"/>
                <w:szCs w:val="22"/>
                <w:color w:val="auto"/>
                <w:w w:val="90"/>
              </w:rPr>
              <w:t>Is this offering being made in connection with a business combination transaction, such as</w:t>
            </w:r>
          </w:p>
        </w:tc>
        <w:tc>
          <w:tcPr>
            <w:tcW w:w="1040" w:type="dxa"/>
            <w:vAlign w:val="bottom"/>
            <w:vMerge w:val="restart"/>
          </w:tcPr>
          <w:p>
            <w:pPr>
              <w:ind w:left="18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802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02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802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020" w:type="dxa"/>
            <w:vAlign w:val="bottom"/>
          </w:tcPr>
          <w:p>
            <w:pPr>
              <w:spacing w:after="0"/>
              <w:rPr>
                <w:sz w:val="20"/>
                <w:szCs w:val="20"/>
                <w:color w:val="auto"/>
              </w:rPr>
            </w:pPr>
            <w:r>
              <w:rPr>
                <w:rFonts w:ascii="Arial" w:cs="Arial" w:eastAsia="Arial" w:hAnsi="Arial"/>
                <w:sz w:val="22"/>
                <w:szCs w:val="22"/>
                <w:color w:val="auto"/>
              </w:rPr>
              <w:t>11. Minimum Investment</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$25,000 USD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280" w:type="dxa"/>
            <w:vAlign w:val="bottom"/>
          </w:tcPr>
          <w:p>
            <w:pPr>
              <w:spacing w:after="0"/>
              <w:rPr>
                <w:sz w:val="20"/>
                <w:szCs w:val="20"/>
                <w:color w:val="auto"/>
              </w:rPr>
            </w:pPr>
            <w:r>
              <w:rPr>
                <w:rFonts w:ascii="Arial" w:cs="Arial" w:eastAsia="Arial" w:hAnsi="Arial"/>
                <w:sz w:val="22"/>
                <w:szCs w:val="22"/>
                <w:color w:val="auto"/>
                <w:w w:val="94"/>
              </w:rPr>
              <w:t>12. Sales Compensation</w:t>
            </w:r>
          </w:p>
        </w:tc>
        <w:tc>
          <w:tcPr>
            <w:tcW w:w="1820" w:type="dxa"/>
            <w:vAlign w:val="bottom"/>
          </w:tcPr>
          <w:p>
            <w:pPr>
              <w:spacing w:after="0"/>
              <w:rPr>
                <w:sz w:val="23"/>
                <w:szCs w:val="23"/>
                <w:color w:val="auto"/>
              </w:rPr>
            </w:pPr>
          </w:p>
        </w:tc>
        <w:tc>
          <w:tcPr>
            <w:tcW w:w="58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228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820" w:type="dxa"/>
            <w:vAlign w:val="bottom"/>
          </w:tcPr>
          <w:p>
            <w:pPr>
              <w:spacing w:after="0"/>
              <w:rPr>
                <w:sz w:val="24"/>
                <w:szCs w:val="24"/>
                <w:color w:val="auto"/>
              </w:rPr>
            </w:pPr>
          </w:p>
        </w:tc>
        <w:tc>
          <w:tcPr>
            <w:tcW w:w="5800" w:type="dxa"/>
            <w:vAlign w:val="bottom"/>
          </w:tcPr>
          <w:p>
            <w:pPr>
              <w:ind w:left="1140"/>
              <w:spacing w:after="0"/>
              <w:rPr>
                <w:sz w:val="20"/>
                <w:szCs w:val="20"/>
                <w:color w:val="auto"/>
              </w:rPr>
            </w:pPr>
            <w:r>
              <w:rPr>
                <w:rFonts w:ascii="Arial" w:cs="Arial" w:eastAsia="Arial" w:hAnsi="Arial"/>
                <w:sz w:val="22"/>
                <w:szCs w:val="22"/>
                <w:color w:val="auto"/>
              </w:rPr>
              <w:t>Recipient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0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5800" w:type="dxa"/>
            <w:vAlign w:val="bottom"/>
          </w:tcPr>
          <w:p>
            <w:pPr>
              <w:ind w:left="114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0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5800" w:type="dxa"/>
            <w:vAlign w:val="bottom"/>
          </w:tcPr>
          <w:p>
            <w:pPr>
              <w:ind w:left="268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280" w:type="dxa"/>
            <w:vAlign w:val="bottom"/>
          </w:tcPr>
          <w:p>
            <w:pPr>
              <w:ind w:left="40"/>
              <w:spacing w:after="0"/>
              <w:rPr>
                <w:sz w:val="20"/>
                <w:szCs w:val="20"/>
                <w:color w:val="auto"/>
              </w:rPr>
            </w:pPr>
            <w:r>
              <w:rPr>
                <w:rFonts w:ascii="Arial" w:cs="Arial" w:eastAsia="Arial" w:hAnsi="Arial"/>
                <w:sz w:val="22"/>
                <w:szCs w:val="22"/>
                <w:color w:val="auto"/>
              </w:rPr>
              <w:t>City</w:t>
            </w:r>
          </w:p>
        </w:tc>
        <w:tc>
          <w:tcPr>
            <w:tcW w:w="1820" w:type="dxa"/>
            <w:vAlign w:val="bottom"/>
          </w:tcPr>
          <w:p>
            <w:pPr>
              <w:spacing w:after="0"/>
              <w:rPr>
                <w:sz w:val="24"/>
                <w:szCs w:val="24"/>
                <w:color w:val="auto"/>
              </w:rPr>
            </w:pPr>
          </w:p>
        </w:tc>
        <w:tc>
          <w:tcPr>
            <w:tcW w:w="5800" w:type="dxa"/>
            <w:vAlign w:val="bottom"/>
          </w:tcPr>
          <w:p>
            <w:pPr>
              <w:ind w:left="1100"/>
              <w:spacing w:after="0"/>
              <w:rPr>
                <w:sz w:val="20"/>
                <w:szCs w:val="20"/>
                <w:color w:val="auto"/>
              </w:rPr>
            </w:pPr>
            <w:r>
              <w:rPr>
                <w:rFonts w:ascii="Arial" w:cs="Arial" w:eastAsia="Arial" w:hAnsi="Arial"/>
                <w:sz w:val="22"/>
                <w:szCs w:val="22"/>
                <w:color w:val="auto"/>
              </w:rPr>
              <w:t>State/Province/Country</w:t>
            </w: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00" w:type="dxa"/>
            <w:vAlign w:val="bottom"/>
            <w:gridSpan w:val="2"/>
          </w:tcPr>
          <w:p>
            <w:pPr>
              <w:ind w:left="80"/>
              <w:spacing w:after="0"/>
              <w:rPr>
                <w:sz w:val="20"/>
                <w:szCs w:val="20"/>
                <w:color w:val="auto"/>
              </w:rPr>
            </w:pPr>
            <w:r>
              <w:rPr>
                <w:rFonts w:ascii="Arial" w:cs="Arial" w:eastAsia="Arial" w:hAnsi="Arial"/>
                <w:sz w:val="22"/>
                <w:szCs w:val="22"/>
                <w:color w:val="auto"/>
                <w:w w:val="94"/>
              </w:rPr>
              <w:t>State(s) of Solicitation (select all that apply)</w:t>
            </w:r>
          </w:p>
        </w:tc>
        <w:tc>
          <w:tcPr>
            <w:tcW w:w="5800" w:type="dxa"/>
            <w:vAlign w:val="bottom"/>
            <w:vMerge w:val="restart"/>
          </w:tcPr>
          <w:p>
            <w:pPr>
              <w:ind w:left="140"/>
              <w:spacing w:after="0"/>
              <w:rPr>
                <w:sz w:val="20"/>
                <w:szCs w:val="20"/>
                <w:color w:val="auto"/>
              </w:rPr>
            </w:pPr>
            <w:r>
              <w:rPr>
                <w:rFonts w:ascii="Arial" w:cs="Arial" w:eastAsia="Arial" w:hAnsi="Arial"/>
                <w:sz w:val="22"/>
                <w:szCs w:val="22"/>
                <w:color w:val="auto"/>
              </w:rPr>
              <w:t>All States   Foreign/non-US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00" w:type="dxa"/>
            <w:vAlign w:val="bottom"/>
            <w:gridSpan w:val="2"/>
            <w:vMerge w:val="restart"/>
          </w:tcPr>
          <w:p>
            <w:pPr>
              <w:ind w:left="80"/>
              <w:spacing w:after="0"/>
              <w:rPr>
                <w:sz w:val="20"/>
                <w:szCs w:val="20"/>
                <w:color w:val="auto"/>
              </w:rPr>
            </w:pPr>
            <w:r>
              <w:rPr>
                <w:rFonts w:ascii="Arial" w:cs="Arial" w:eastAsia="Arial" w:hAnsi="Arial"/>
                <w:sz w:val="22"/>
                <w:szCs w:val="22"/>
                <w:color w:val="auto"/>
                <w:w w:val="92"/>
              </w:rPr>
              <w:t>Check “All States” or check individual States</w:t>
            </w:r>
          </w:p>
        </w:tc>
        <w:tc>
          <w:tcPr>
            <w:tcW w:w="580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00" w:type="dxa"/>
            <w:vAlign w:val="bottom"/>
            <w:gridSpan w:val="2"/>
            <w:vMerge w:val="continue"/>
          </w:tcPr>
          <w:p>
            <w:pPr>
              <w:spacing w:after="0"/>
              <w:rPr>
                <w:sz w:val="10"/>
                <w:szCs w:val="10"/>
                <w:color w:val="auto"/>
              </w:rPr>
            </w:pPr>
          </w:p>
        </w:tc>
        <w:tc>
          <w:tcPr>
            <w:tcW w:w="58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10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28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820" w:type="dxa"/>
            <w:vAlign w:val="bottom"/>
          </w:tcPr>
          <w:p>
            <w:pPr>
              <w:jc w:val="right"/>
              <w:spacing w:after="0"/>
              <w:rPr>
                <w:sz w:val="20"/>
                <w:szCs w:val="20"/>
                <w:color w:val="auto"/>
              </w:rPr>
            </w:pPr>
            <w:r>
              <w:rPr>
                <w:rFonts w:ascii="Arial" w:cs="Arial" w:eastAsia="Arial" w:hAnsi="Arial"/>
                <w:sz w:val="22"/>
                <w:szCs w:val="22"/>
                <w:color w:val="auto"/>
                <w:w w:val="99"/>
              </w:rPr>
              <w:t>$11,000,000 USD</w:t>
            </w:r>
          </w:p>
        </w:tc>
        <w:tc>
          <w:tcPr>
            <w:tcW w:w="5800" w:type="dxa"/>
            <w:vAlign w:val="bottom"/>
          </w:tcPr>
          <w:p>
            <w:pPr>
              <w:ind w:left="60"/>
              <w:spacing w:after="0"/>
              <w:rPr>
                <w:sz w:val="20"/>
                <w:szCs w:val="20"/>
                <w:color w:val="auto"/>
              </w:rPr>
            </w:pPr>
            <w:r>
              <w:rPr>
                <w:rFonts w:ascii="Arial" w:cs="Arial" w:eastAsia="Arial" w:hAnsi="Arial"/>
                <w:sz w:val="22"/>
                <w:szCs w:val="22"/>
                <w:color w:val="auto"/>
              </w:rPr>
              <w:t>or   Indefinite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28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820" w:type="dxa"/>
            <w:vAlign w:val="bottom"/>
          </w:tcPr>
          <w:p>
            <w:pPr>
              <w:jc w:val="right"/>
              <w:spacing w:after="0"/>
              <w:rPr>
                <w:sz w:val="20"/>
                <w:szCs w:val="20"/>
                <w:color w:val="auto"/>
              </w:rPr>
            </w:pPr>
            <w:r>
              <w:rPr>
                <w:rFonts w:ascii="Arial" w:cs="Arial" w:eastAsia="Arial" w:hAnsi="Arial"/>
                <w:sz w:val="22"/>
                <w:szCs w:val="22"/>
                <w:color w:val="auto"/>
                <w:w w:val="99"/>
              </w:rPr>
              <w:t>$10,607,038 USD</w:t>
            </w:r>
          </w:p>
        </w:tc>
        <w:tc>
          <w:tcPr>
            <w:tcW w:w="5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80" w:orient="portrait"/>
          <w:cols w:equalWidth="0" w:num="1">
            <w:col w:w="11380"/>
          </w:cols>
          <w:pgMar w:left="240" w:top="172" w:right="279" w:bottom="0" w:gutter="0" w:footer="0" w:header="0"/>
          <w:type w:val="continuous"/>
        </w:sectPr>
      </w:pPr>
    </w:p>
    <w:bookmarkStart w:id="3" w:name="page4"/>
    <w:bookmarkEnd w:id="3"/>
    <w:p>
      <w:pPr>
        <w:ind w:left="40"/>
        <w:spacing w:after="0"/>
        <w:tabs>
          <w:tab w:leader="none" w:pos="2720" w:val="left"/>
          <w:tab w:leader="none" w:pos="4540" w:val="left"/>
        </w:tabs>
        <w:rPr>
          <w:sz w:val="20"/>
          <w:szCs w:val="20"/>
          <w:color w:val="auto"/>
        </w:rPr>
      </w:pPr>
      <w:r>
        <w:rPr>
          <w:rFonts w:ascii="Arial" w:cs="Arial" w:eastAsia="Arial" w:hAnsi="Arial"/>
          <w:sz w:val="22"/>
          <w:szCs w:val="22"/>
          <w:color w:val="auto"/>
        </w:rPr>
        <w:t>Total Remaining to be Sold</w:t>
      </w:r>
      <w:r>
        <w:rPr>
          <w:sz w:val="20"/>
          <w:szCs w:val="20"/>
          <w:color w:val="auto"/>
        </w:rPr>
        <w:tab/>
      </w:r>
      <w:r>
        <w:rPr>
          <w:rFonts w:ascii="Arial" w:cs="Arial" w:eastAsia="Arial" w:hAnsi="Arial"/>
          <w:sz w:val="22"/>
          <w:szCs w:val="22"/>
          <w:color w:val="auto"/>
        </w:rPr>
        <w:t>$392,962 USD or</w:t>
      </w:r>
      <w:r>
        <w:rPr>
          <w:sz w:val="20"/>
          <w:szCs w:val="20"/>
          <w:color w:val="auto"/>
        </w:rPr>
        <w:tab/>
      </w:r>
      <w:r>
        <w:rPr>
          <w:rFonts w:ascii="Arial" w:cs="Arial" w:eastAsia="Arial" w:hAnsi="Arial"/>
          <w:sz w:val="19"/>
          <w:szCs w:val="19"/>
          <w:color w:val="auto"/>
        </w:rPr>
        <w:t>Indefinite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72" w:right="239" w:bottom="63"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40"/>
          </w:cols>
          <w:pgMar w:left="240" w:top="172" w:right="239" w:bottom="63"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72" w:right="239" w:bottom="63"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400"/>
        <w:spacing w:after="0" w:line="251" w:lineRule="auto"/>
        <w:rPr>
          <w:sz w:val="20"/>
          <w:szCs w:val="20"/>
          <w:color w:val="auto"/>
        </w:rPr>
      </w:pPr>
      <w:r>
        <w:rPr>
          <w:rFonts w:ascii="Arial" w:cs="Arial" w:eastAsia="Arial" w:hAnsi="Arial"/>
          <w:sz w:val="22"/>
          <w:szCs w:val="22"/>
          <w:color w:val="auto"/>
        </w:rPr>
        <w:t>Certifying that, if the issuer is claiming a Rule 505 exemption, the issuer is not disqualified from relying on Rule 505 for one of the reasons stated in Rule 505(b)(2)(iii).</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460" w:type="dxa"/>
            <w:vAlign w:val="bottom"/>
            <w:tcBorders>
              <w:top w:val="single" w:sz="8" w:color="2C2C2C"/>
              <w:bottom w:val="single" w:sz="8" w:color="808080"/>
            </w:tcBorders>
          </w:tcPr>
          <w:p>
            <w:pPr>
              <w:ind w:left="94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360" w:type="dxa"/>
            <w:vAlign w:val="bottom"/>
            <w:tcBorders>
              <w:top w:val="single" w:sz="8" w:color="2C2C2C"/>
              <w:bottom w:val="single" w:sz="8" w:color="808080"/>
            </w:tcBorders>
          </w:tcPr>
          <w:p>
            <w:pPr>
              <w:ind w:left="74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3120" w:type="dxa"/>
            <w:vAlign w:val="bottom"/>
            <w:tcBorders>
              <w:top w:val="single" w:sz="8" w:color="2C2C2C"/>
              <w:bottom w:val="single" w:sz="8" w:color="808080"/>
            </w:tcBorders>
          </w:tcPr>
          <w:p>
            <w:pPr>
              <w:ind w:left="84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1020" w:type="dxa"/>
            <w:vAlign w:val="bottom"/>
            <w:tcBorders>
              <w:top w:val="single" w:sz="8" w:color="2C2C2C"/>
              <w:bottom w:val="single" w:sz="8" w:color="808080"/>
            </w:tcBorders>
          </w:tcPr>
          <w:p>
            <w:pPr>
              <w:ind w:left="28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2260" w:type="dxa"/>
            <w:vAlign w:val="bottom"/>
            <w:tcBorders>
              <w:top w:val="single" w:sz="8" w:color="2C2C2C"/>
              <w:bottom w:val="single" w:sz="8" w:color="808080"/>
            </w:tcBorders>
          </w:tcPr>
          <w:p>
            <w:pPr>
              <w:jc w:val="right"/>
              <w:ind w:right="81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4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SI-Bone Inc.</w:t>
            </w:r>
          </w:p>
        </w:tc>
        <w:tc>
          <w:tcPr>
            <w:tcW w:w="20" w:type="dxa"/>
            <w:vAlign w:val="bottom"/>
          </w:tcPr>
          <w:p>
            <w:pPr>
              <w:spacing w:after="0"/>
              <w:rPr>
                <w:sz w:val="22"/>
                <w:szCs w:val="22"/>
                <w:color w:val="auto"/>
              </w:rPr>
            </w:pPr>
          </w:p>
        </w:tc>
        <w:tc>
          <w:tcPr>
            <w:tcW w:w="23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Dan Murray</w:t>
            </w:r>
          </w:p>
        </w:tc>
        <w:tc>
          <w:tcPr>
            <w:tcW w:w="40" w:type="dxa"/>
            <w:vAlign w:val="bottom"/>
          </w:tcPr>
          <w:p>
            <w:pPr>
              <w:spacing w:after="0"/>
              <w:rPr>
                <w:sz w:val="22"/>
                <w:szCs w:val="22"/>
                <w:color w:val="auto"/>
              </w:rPr>
            </w:pPr>
          </w:p>
        </w:tc>
        <w:tc>
          <w:tcPr>
            <w:tcW w:w="31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Dan Murray</w:t>
            </w:r>
          </w:p>
        </w:tc>
        <w:tc>
          <w:tcPr>
            <w:tcW w:w="40" w:type="dxa"/>
            <w:vAlign w:val="bottom"/>
          </w:tcPr>
          <w:p>
            <w:pPr>
              <w:spacing w:after="0"/>
              <w:rPr>
                <w:sz w:val="22"/>
                <w:szCs w:val="22"/>
                <w:color w:val="auto"/>
              </w:rPr>
            </w:pPr>
          </w:p>
        </w:tc>
        <w:tc>
          <w:tcPr>
            <w:tcW w:w="10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CFO</w:t>
            </w:r>
          </w:p>
        </w:tc>
        <w:tc>
          <w:tcPr>
            <w:tcW w:w="20" w:type="dxa"/>
            <w:vAlign w:val="bottom"/>
          </w:tcPr>
          <w:p>
            <w:pPr>
              <w:spacing w:after="0"/>
              <w:rPr>
                <w:sz w:val="22"/>
                <w:szCs w:val="22"/>
                <w:color w:val="auto"/>
              </w:rPr>
            </w:pPr>
          </w:p>
        </w:tc>
        <w:tc>
          <w:tcPr>
            <w:tcW w:w="2260" w:type="dxa"/>
            <w:vAlign w:val="bottom"/>
            <w:tcBorders>
              <w:top w:val="single" w:sz="8" w:color="2C2C2C"/>
              <w:bottom w:val="single" w:sz="8" w:color="808080"/>
            </w:tcBorders>
          </w:tcPr>
          <w:p>
            <w:pPr>
              <w:jc w:val="right"/>
              <w:ind w:right="1112"/>
              <w:spacing w:after="0"/>
              <w:rPr>
                <w:sz w:val="20"/>
                <w:szCs w:val="20"/>
                <w:color w:val="auto"/>
              </w:rPr>
            </w:pPr>
            <w:r>
              <w:rPr>
                <w:rFonts w:ascii="Arial" w:cs="Arial" w:eastAsia="Arial" w:hAnsi="Arial"/>
                <w:sz w:val="22"/>
                <w:szCs w:val="22"/>
                <w:color w:val="auto"/>
                <w:w w:val="90"/>
              </w:rPr>
              <w:t>2010-08-16</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4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3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1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2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ectPr>
          <w:pgSz w:w="11900" w:h="16838" w:orient="portrait"/>
          <w:cols w:equalWidth="0" w:num="1">
            <w:col w:w="11420"/>
          </w:cols>
          <w:pgMar w:left="240" w:top="172" w:right="239" w:bottom="63" w:gutter="0" w:footer="0" w:header="0"/>
          <w:type w:val="continuous"/>
        </w:sectPr>
      </w:pPr>
    </w:p>
    <w:bookmarkStart w:id="4" w:name="page5"/>
    <w:bookmarkEnd w:id="4"/>
    <w:p>
      <w:pPr>
        <w:ind w:right="4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4" w:lineRule="exact"/>
        <w:rPr>
          <w:sz w:val="20"/>
          <w:szCs w:val="20"/>
          <w:color w:val="auto"/>
        </w:rPr>
      </w:pPr>
    </w:p>
    <w:p>
      <w:pPr>
        <w:ind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280"/>
      </w:cols>
      <w:pgMar w:left="240"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12"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2019-12-11T07:35:55Z</dcterms:created>
  <dcterms:modified xsi:type="dcterms:W3CDTF">2019-12-11T07:35:55Z</dcterms:modified>
</cp:coreProperties>
</file>