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3.jpeg" ContentType="image/jpeg"/>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200"/>
        <w:rPr/>
      </w:pPr>
      <w:r>
        <w:rPr/>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Filed Pursuant to Rule 424(b)(5)</w: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Registration No. 333-271635</w:t>
      </w:r>
    </w:p>
    <w:p>
      <w:pPr>
        <w:pStyle w:val="TextBody"/>
        <w:spacing w:before="0" w:after="0"/>
        <w:jc w:val="right"/>
        <w:rPr/>
      </w:pPr>
      <w:r>
        <w:rPr/>
      </w:r>
    </w:p>
    <w:p>
      <w:pPr>
        <w:pStyle w:val="TextBody"/>
        <w:spacing w:lineRule="auto" w:line="288" w:before="0" w:after="0"/>
        <w:jc w:val="both"/>
        <w:rPr>
          <w:rFonts w:ascii="Times New Roman;sans-serif" w:hAnsi="Times New Roman;sans-serif"/>
          <w:b/>
          <w:color w:val="EE2724"/>
          <w:sz w:val="20"/>
        </w:rPr>
      </w:pPr>
      <w:r>
        <w:rPr>
          <w:rFonts w:ascii="Times New Roman;sans-serif" w:hAnsi="Times New Roman;sans-serif"/>
          <w:b/>
          <w:color w:val="EE2724"/>
          <w:sz w:val="20"/>
        </w:rPr>
        <w:t>The information in this preliminary prospectus supplement is not complete and may be changed. A registration statement relating to these securities has been filed with the Securities and Exchange Commission and is effective. This preliminary prospectus supplement and accompanying prospectus are not an offer to sell these securities, and we and the selling stockholder are not soliciting offers to buy these securities, in any jurisdiction where such offer or sale is not permitted.</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EE2724"/>
          <w:sz w:val="20"/>
        </w:rPr>
      </w:pPr>
      <w:r>
        <w:rPr>
          <w:rFonts w:ascii="Times New Roman;sans-serif" w:hAnsi="Times New Roman;sans-serif"/>
          <w:b/>
          <w:color w:val="EE2724"/>
          <w:sz w:val="20"/>
        </w:rPr>
        <w:t>SUBJECT TO COMPLETION, DATED MAY 4, 2023</w:t>
      </w:r>
    </w:p>
    <w:p>
      <w:pPr>
        <w:pStyle w:val="TextBody"/>
        <w:spacing w:before="0" w:after="0"/>
        <w:jc w:val="right"/>
        <w:rPr/>
      </w:pPr>
      <w:r>
        <w:rPr/>
      </w:r>
    </w:p>
    <w:p>
      <w:pPr>
        <w:pStyle w:val="TextBody"/>
        <w:spacing w:lineRule="auto" w:line="288" w:before="120" w:after="283"/>
        <w:jc w:val="center"/>
        <w:rPr>
          <w:rFonts w:ascii="Times New Roman;sans-serif" w:hAnsi="Times New Roman;sans-serif"/>
          <w:b/>
          <w:color w:val="000000"/>
          <w:sz w:val="28"/>
        </w:rPr>
      </w:pPr>
      <w:r>
        <w:rPr>
          <w:rFonts w:ascii="Times New Roman;sans-serif" w:hAnsi="Times New Roman;sans-serif"/>
          <w:b/>
          <w:color w:val="000000"/>
          <w:sz w:val="28"/>
        </w:rPr>
        <w:t>Prospectus Supplement</w:t>
      </w:r>
    </w:p>
    <w:p>
      <w:pPr>
        <w:pStyle w:val="TextBody"/>
        <w:spacing w:lineRule="auto" w:line="417"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(To Prospectus dated May 4, 2023)</w:t>
      </w:r>
    </w:p>
    <w:p>
      <w:pPr>
        <w:pStyle w:val="TextBody"/>
        <w:spacing w:lineRule="auto" w:line="288" w:before="300" w:after="283"/>
        <w:jc w:val="center"/>
        <w:rPr>
          <w:color w:val="000000"/>
        </w:rPr>
      </w:pPr>
      <w:r>
        <w:rPr>
          <w:color w:val="000000"/>
        </w:rPr>
        <w:t> </w:t>
      </w:r>
      <w:r>
        <w:rPr>
          <w:rFonts w:ascii="Times New Roman;sans-serif" w:hAnsi="Times New Roman;sans-serif"/>
          <w:b/>
          <w:color w:val="000000"/>
          <w:sz w:val="28"/>
        </w:rPr>
        <w:t>3,775,000 Shares</w:t>
      </w:r>
    </w:p>
    <w:p>
      <w:pPr>
        <w:pStyle w:val="TextBody"/>
        <w:spacing w:before="0" w:after="0"/>
        <w:jc w:val="center"/>
        <w:rPr/>
      </w:pPr>
      <w:r>
        <w:rPr/>
        <w:drawing>
          <wp:inline distT="0" distB="63500" distL="0" distR="0">
            <wp:extent cx="2381250" cy="13620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81250" cy="1362075"/>
                    </a:xfrm>
                    <a:prstGeom prst="rect">
                      <a:avLst/>
                    </a:prstGeom>
                  </pic:spPr>
                </pic:pic>
              </a:graphicData>
            </a:graphic>
          </wp:inline>
        </w:drawing>
      </w:r>
    </w:p>
    <w:p>
      <w:pPr>
        <w:pStyle w:val="TextBody"/>
        <w:spacing w:lineRule="auto" w:line="288" w:before="0" w:after="0"/>
        <w:jc w:val="center"/>
        <w:rPr>
          <w:color w:val="000000"/>
          <w:highlight w:val="white"/>
        </w:rPr>
      </w:pPr>
      <w:r>
        <w:rPr>
          <w:color w:val="000000"/>
          <w:highlight w:val="white"/>
        </w:rPr>
        <w:t> </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Common Stock</w:t>
      </w:r>
    </w:p>
    <w:p>
      <w:pPr>
        <w:pStyle w:val="TextBody"/>
        <w:spacing w:lineRule="auto" w:line="288" w:before="12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SI-BONE, Inc., are offering 3,502,247 shares of our common stock, and the selling stockholder named in this prospectus supplement is offering 272,753 shares of our common stock.</w:t>
      </w:r>
    </w:p>
    <w:p>
      <w:pPr>
        <w:pStyle w:val="TextBody"/>
        <w:spacing w:lineRule="auto" w:line="288" w:before="12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common stock is listed on the Nasdaq Global Market under the symbol “SIBN.” On May 3, 2023, the last reported sale price of our common stock was $24.27 per share.</w:t>
      </w:r>
    </w:p>
    <w:p>
      <w:pPr>
        <w:pStyle w:val="TextBody"/>
        <w:spacing w:lineRule="auto" w:line="276" w:before="0" w:after="0"/>
        <w:ind w:left="0" w:right="0" w:firstLine="360"/>
        <w:jc w:val="center"/>
        <w:rPr/>
      </w:pPr>
      <w:r>
        <w:rPr>
          <w:rFonts w:ascii="Times New Roman;sans-serif" w:hAnsi="Times New Roman;sans-serif"/>
          <w:b/>
          <w:color w:val="000000"/>
          <w:sz w:val="20"/>
        </w:rPr>
        <w:t xml:space="preserve">Investing in our securities involves a high degree of risk. See “Risk Factors” beginning on page </w:t>
      </w:r>
      <w:hyperlink w:anchor="ib669fbd98dd54195a8eb6e4f21f5f7c2_13">
        <w:r>
          <w:rPr>
            <w:rStyle w:val="InternetLink"/>
          </w:rPr>
          <w:t>S-</w:t>
        </w:r>
      </w:hyperlink>
      <w:hyperlink w:anchor="ib669fbd98dd54195a8eb6e4f21f5f7c2_13">
        <w:r>
          <w:rPr>
            <w:rStyle w:val="InternetLink"/>
          </w:rPr>
          <w:t>6</w:t>
        </w:r>
      </w:hyperlink>
      <w:r>
        <w:rPr>
          <w:color w:val="000000"/>
        </w:rPr>
        <w:t xml:space="preserve"> </w:t>
      </w:r>
      <w:r>
        <w:rPr>
          <w:rFonts w:ascii="Times New Roman;sans-serif" w:hAnsi="Times New Roman;sans-serif"/>
          <w:b/>
          <w:i/>
          <w:color w:val="000000"/>
          <w:sz w:val="20"/>
        </w:rPr>
        <w:t>and in the documents incorporated by reference in this prospectus supplement.</w:t>
      </w:r>
    </w:p>
    <w:p>
      <w:pPr>
        <w:pStyle w:val="TextBody"/>
        <w:spacing w:before="0" w:after="0"/>
        <w:rPr/>
      </w:pPr>
      <w:r>
        <w:rPr/>
      </w:r>
    </w:p>
    <w:tbl>
      <w:tblPr>
        <w:tblW w:w="6548" w:type="dxa"/>
        <w:jc w:val="center"/>
        <w:tblInd w:w="0" w:type="dxa"/>
        <w:tblCellMar>
          <w:top w:w="28" w:type="dxa"/>
          <w:left w:w="28" w:type="dxa"/>
          <w:bottom w:w="28" w:type="dxa"/>
          <w:right w:w="28" w:type="dxa"/>
        </w:tblCellMar>
      </w:tblPr>
      <w:tblGrid>
        <w:gridCol w:w="1567"/>
        <w:gridCol w:w="1380"/>
        <w:gridCol w:w="1387"/>
        <w:gridCol w:w="109"/>
        <w:gridCol w:w="109"/>
        <w:gridCol w:w="109"/>
        <w:gridCol w:w="314"/>
        <w:gridCol w:w="314"/>
        <w:gridCol w:w="316"/>
        <w:gridCol w:w="109"/>
        <w:gridCol w:w="109"/>
        <w:gridCol w:w="109"/>
        <w:gridCol w:w="180"/>
        <w:gridCol w:w="180"/>
        <w:gridCol w:w="256"/>
      </w:tblGrid>
      <w:tr>
        <w:trPr/>
        <w:tc>
          <w:tcPr>
            <w:tcW w:w="1567" w:type="dxa"/>
            <w:tcBorders/>
            <w:shd w:fill="auto" w:val="clear"/>
            <w:vAlign w:val="center"/>
          </w:tcPr>
          <w:p>
            <w:pPr>
              <w:pStyle w:val="TableContents"/>
              <w:spacing w:before="0" w:after="283"/>
              <w:rPr>
                <w:sz w:val="4"/>
                <w:szCs w:val="4"/>
              </w:rPr>
            </w:pPr>
            <w:r>
              <w:rPr>
                <w:sz w:val="4"/>
                <w:szCs w:val="4"/>
              </w:rPr>
            </w:r>
          </w:p>
        </w:tc>
        <w:tc>
          <w:tcPr>
            <w:tcW w:w="1380" w:type="dxa"/>
            <w:tcBorders/>
            <w:shd w:fill="auto" w:val="clear"/>
            <w:vAlign w:val="center"/>
          </w:tcPr>
          <w:p>
            <w:pPr>
              <w:pStyle w:val="TableContents"/>
              <w:spacing w:before="0" w:after="283"/>
              <w:rPr>
                <w:sz w:val="4"/>
                <w:szCs w:val="4"/>
              </w:rPr>
            </w:pPr>
            <w:r>
              <w:rPr>
                <w:sz w:val="4"/>
                <w:szCs w:val="4"/>
              </w:rPr>
            </w:r>
          </w:p>
        </w:tc>
        <w:tc>
          <w:tcPr>
            <w:tcW w:w="13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r>
      <w:tr>
        <w:trPr/>
        <w:tc>
          <w:tcPr>
            <w:tcW w:w="43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Per Share</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6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43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Public offering price</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4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3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Underwriting discounts and commissions</w:t>
            </w:r>
            <w:r>
              <w:rPr>
                <w:rFonts w:ascii="Times New Roman;sans-serif" w:hAnsi="Times New Roman;sans-serif"/>
                <w:b w:val="false"/>
                <w:color w:val="000000"/>
                <w:sz w:val="13"/>
              </w:rPr>
              <w:t>(1)</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to us, before expenses</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to the selling stockholder, before expenses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jc w:val="both"/>
        <w:rPr/>
      </w:pPr>
      <w:r>
        <w:rPr>
          <w:rFonts w:ascii="Times New Roman;sans-serif" w:hAnsi="Times New Roman;sans-serif"/>
          <w:b w:val="false"/>
          <w:color w:val="000000"/>
          <w:sz w:val="18"/>
        </w:rPr>
        <w:t xml:space="preserve">(1) See </w:t>
      </w:r>
      <w:r>
        <w:rPr>
          <w:color w:val="000000"/>
        </w:rPr>
        <w:t>“</w:t>
      </w:r>
      <w:r>
        <w:rPr>
          <w:rFonts w:ascii="Times New Roman;sans-serif" w:hAnsi="Times New Roman;sans-serif"/>
          <w:b w:val="false"/>
          <w:color w:val="000000"/>
          <w:sz w:val="18"/>
        </w:rPr>
        <w:t>Underwriting</w:t>
      </w:r>
      <w:r>
        <w:rPr>
          <w:color w:val="000000"/>
        </w:rPr>
        <w:t xml:space="preserve">” </w:t>
      </w:r>
      <w:r>
        <w:rPr>
          <w:rFonts w:ascii="Times New Roman;sans-serif" w:hAnsi="Times New Roman;sans-serif"/>
          <w:b w:val="false"/>
          <w:color w:val="000000"/>
          <w:sz w:val="18"/>
        </w:rPr>
        <w:t>for additional information regarding underwriting compensation payable by us and payable by the selling stockholder.</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have granted the underwriters an option for a period of 30 days from the date of this prospectus supplement to purchase up to 566,250 additional shares of our common stock.</w:t>
      </w:r>
    </w:p>
    <w:p>
      <w:pPr>
        <w:pStyle w:val="TextBody"/>
        <w:spacing w:lineRule="auto" w:line="288" w:before="12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underwriters expect to deliver the shares against payment in New York, New York on , 2023. </w:t>
      </w:r>
    </w:p>
    <w:p>
      <w:pPr>
        <w:pStyle w:val="TextBody"/>
        <w:spacing w:lineRule="auto" w:line="288" w:before="120" w:after="6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Neither the Securities and Exchange Commission nor any state securities commission has approved or disapproved of these securities or determined if this prospectus supplement or accompanying prospectus is truthful or complete. Any representation to the contrary is a criminal offense.</w:t>
      </w:r>
    </w:p>
    <w:tbl>
      <w:tblPr>
        <w:tblW w:w="6585" w:type="dxa"/>
        <w:jc w:val="center"/>
        <w:tblInd w:w="0" w:type="dxa"/>
        <w:tblCellMar>
          <w:top w:w="28" w:type="dxa"/>
          <w:left w:w="28" w:type="dxa"/>
          <w:bottom w:w="28" w:type="dxa"/>
          <w:right w:w="28" w:type="dxa"/>
        </w:tblCellMar>
      </w:tblPr>
      <w:tblGrid>
        <w:gridCol w:w="919"/>
        <w:gridCol w:w="807"/>
        <w:gridCol w:w="809"/>
        <w:gridCol w:w="859"/>
        <w:gridCol w:w="859"/>
        <w:gridCol w:w="861"/>
        <w:gridCol w:w="431"/>
        <w:gridCol w:w="431"/>
        <w:gridCol w:w="609"/>
      </w:tblGrid>
      <w:tr>
        <w:trPr/>
        <w:tc>
          <w:tcPr>
            <w:tcW w:w="919" w:type="dxa"/>
            <w:tcBorders/>
            <w:shd w:fill="auto" w:val="clear"/>
            <w:vAlign w:val="center"/>
          </w:tcPr>
          <w:p>
            <w:pPr>
              <w:pStyle w:val="TableContents"/>
              <w:spacing w:before="0" w:after="283"/>
              <w:rPr>
                <w:sz w:val="4"/>
                <w:szCs w:val="4"/>
              </w:rPr>
            </w:pPr>
            <w:r>
              <w:rPr>
                <w:sz w:val="4"/>
                <w:szCs w:val="4"/>
              </w:rPr>
            </w:r>
          </w:p>
        </w:tc>
        <w:tc>
          <w:tcPr>
            <w:tcW w:w="807" w:type="dxa"/>
            <w:tcBorders/>
            <w:shd w:fill="auto" w:val="clear"/>
            <w:vAlign w:val="center"/>
          </w:tcPr>
          <w:p>
            <w:pPr>
              <w:pStyle w:val="TableContents"/>
              <w:spacing w:before="0" w:after="283"/>
              <w:rPr>
                <w:sz w:val="4"/>
                <w:szCs w:val="4"/>
              </w:rPr>
            </w:pPr>
            <w:r>
              <w:rPr>
                <w:sz w:val="4"/>
                <w:szCs w:val="4"/>
              </w:rPr>
            </w:r>
          </w:p>
        </w:tc>
        <w:tc>
          <w:tcPr>
            <w:tcW w:w="809" w:type="dxa"/>
            <w:tcBorders/>
            <w:shd w:fill="auto" w:val="clear"/>
            <w:vAlign w:val="center"/>
          </w:tcPr>
          <w:p>
            <w:pPr>
              <w:pStyle w:val="TableContents"/>
              <w:spacing w:before="0" w:after="283"/>
              <w:rPr>
                <w:sz w:val="4"/>
                <w:szCs w:val="4"/>
              </w:rPr>
            </w:pPr>
            <w:r>
              <w:rPr>
                <w:sz w:val="4"/>
                <w:szCs w:val="4"/>
              </w:rPr>
            </w:r>
          </w:p>
        </w:tc>
        <w:tc>
          <w:tcPr>
            <w:tcW w:w="859" w:type="dxa"/>
            <w:tcBorders/>
            <w:shd w:fill="auto" w:val="clear"/>
            <w:vAlign w:val="center"/>
          </w:tcPr>
          <w:p>
            <w:pPr>
              <w:pStyle w:val="TableContents"/>
              <w:spacing w:before="0" w:after="283"/>
              <w:rPr>
                <w:sz w:val="4"/>
                <w:szCs w:val="4"/>
              </w:rPr>
            </w:pPr>
            <w:r>
              <w:rPr>
                <w:sz w:val="4"/>
                <w:szCs w:val="4"/>
              </w:rPr>
            </w:r>
          </w:p>
        </w:tc>
        <w:tc>
          <w:tcPr>
            <w:tcW w:w="859" w:type="dxa"/>
            <w:tcBorders/>
            <w:shd w:fill="auto" w:val="clear"/>
            <w:vAlign w:val="center"/>
          </w:tcPr>
          <w:p>
            <w:pPr>
              <w:pStyle w:val="TableContents"/>
              <w:spacing w:before="0" w:after="283"/>
              <w:rPr>
                <w:sz w:val="4"/>
                <w:szCs w:val="4"/>
              </w:rPr>
            </w:pPr>
            <w:r>
              <w:rPr>
                <w:sz w:val="4"/>
                <w:szCs w:val="4"/>
              </w:rPr>
            </w:r>
          </w:p>
        </w:tc>
        <w:tc>
          <w:tcPr>
            <w:tcW w:w="861"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c>
          <w:tcPr>
            <w:tcW w:w="609" w:type="dxa"/>
            <w:tcBorders/>
            <w:shd w:fill="auto" w:val="clear"/>
            <w:vAlign w:val="center"/>
          </w:tcPr>
          <w:p>
            <w:pPr>
              <w:pStyle w:val="TableContents"/>
              <w:spacing w:before="0" w:after="283"/>
              <w:rPr>
                <w:sz w:val="4"/>
                <w:szCs w:val="4"/>
              </w:rPr>
            </w:pPr>
            <w:r>
              <w:rPr>
                <w:sz w:val="4"/>
                <w:szCs w:val="4"/>
              </w:rPr>
            </w:r>
          </w:p>
        </w:tc>
      </w:tr>
      <w:tr>
        <w:trPr/>
        <w:tc>
          <w:tcPr>
            <w:tcW w:w="25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36"/>
              </w:rPr>
            </w:pPr>
            <w:r>
              <w:rPr>
                <w:rFonts w:ascii="Times New Roman;sans-serif" w:hAnsi="Times New Roman;sans-serif"/>
                <w:b/>
                <w:color w:val="000000"/>
                <w:sz w:val="36"/>
              </w:rPr>
              <w:t>BofA Securities</w:t>
            </w:r>
          </w:p>
        </w:tc>
        <w:tc>
          <w:tcPr>
            <w:tcW w:w="257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36"/>
              </w:rPr>
            </w:pPr>
            <w:r>
              <w:rPr>
                <w:rFonts w:ascii="Times New Roman;sans-serif" w:hAnsi="Times New Roman;sans-serif"/>
                <w:b/>
                <w:color w:val="000000"/>
                <w:sz w:val="36"/>
              </w:rPr>
              <w:t>Morgan Stanley</w:t>
            </w:r>
          </w:p>
        </w:tc>
        <w:tc>
          <w:tcPr>
            <w:tcW w:w="147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36"/>
              </w:rPr>
            </w:pPr>
            <w:r>
              <w:rPr>
                <w:rFonts w:ascii="Times New Roman;sans-serif" w:hAnsi="Times New Roman;sans-serif"/>
                <w:b/>
                <w:color w:val="000000"/>
                <w:sz w:val="36"/>
              </w:rPr>
              <w:t>Jefferies</w:t>
            </w:r>
          </w:p>
        </w:tc>
      </w:tr>
      <w:tr>
        <w:trPr/>
        <w:tc>
          <w:tcPr>
            <w:tcW w:w="253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8"/>
              </w:rPr>
            </w:pPr>
            <w:r>
              <w:rPr>
                <w:rFonts w:ascii="Times New Roman;sans-serif" w:hAnsi="Times New Roman;sans-serif"/>
                <w:b/>
                <w:color w:val="000000"/>
                <w:sz w:val="28"/>
              </w:rPr>
              <w:t>Canaccord Genuity</w:t>
            </w:r>
          </w:p>
        </w:tc>
        <w:tc>
          <w:tcPr>
            <w:tcW w:w="25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8"/>
              </w:rPr>
            </w:pPr>
            <w:r>
              <w:rPr>
                <w:rFonts w:ascii="Times New Roman;sans-serif" w:hAnsi="Times New Roman;sans-serif"/>
                <w:b/>
                <w:color w:val="000000"/>
                <w:sz w:val="28"/>
              </w:rPr>
              <w:t>Cantor</w:t>
            </w:r>
          </w:p>
        </w:tc>
      </w:tr>
    </w:tbl>
    <w:p>
      <w:pPr>
        <w:pStyle w:val="TextBody"/>
        <w:spacing w:lineRule="auto" w:line="288" w:before="14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200"/>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0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00"/>
                        <w:rPr/>
                      </w:pPr>
                      <w:r>
                        <w:rPr/>
                      </w:r>
                    </w:p>
                  </w:txbxContent>
                </v:textbox>
              </v:rect>
            </w:pict>
          </mc:Fallback>
        </mc:AlternateContent>
      </w:r>
    </w:p>
    <w:p>
      <w:pPr>
        <w:pStyle w:val="TextBody"/>
        <w:spacing w:lineRule="auto" w:line="331" w:before="0" w:after="24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170" w:type="dxa"/>
        <w:jc w:val="center"/>
        <w:tblInd w:w="0" w:type="dxa"/>
        <w:tblCellMar>
          <w:top w:w="28" w:type="dxa"/>
          <w:left w:w="28" w:type="dxa"/>
          <w:bottom w:w="28" w:type="dxa"/>
          <w:right w:w="28" w:type="dxa"/>
        </w:tblCellMar>
      </w:tblPr>
      <w:tblGrid>
        <w:gridCol w:w="3492"/>
        <w:gridCol w:w="3073"/>
        <w:gridCol w:w="3080"/>
        <w:gridCol w:w="153"/>
        <w:gridCol w:w="153"/>
        <w:gridCol w:w="219"/>
      </w:tblGrid>
      <w:tr>
        <w:trPr/>
        <w:tc>
          <w:tcPr>
            <w:tcW w:w="3492" w:type="dxa"/>
            <w:tcBorders/>
            <w:shd w:fill="auto" w:val="clear"/>
            <w:vAlign w:val="center"/>
          </w:tcPr>
          <w:p>
            <w:pPr>
              <w:pStyle w:val="TableContents"/>
              <w:spacing w:before="0" w:after="283"/>
              <w:rPr>
                <w:sz w:val="4"/>
                <w:szCs w:val="4"/>
              </w:rPr>
            </w:pPr>
            <w:r>
              <w:rPr>
                <w:sz w:val="4"/>
                <w:szCs w:val="4"/>
              </w:rPr>
            </w:r>
          </w:p>
        </w:tc>
        <w:tc>
          <w:tcPr>
            <w:tcW w:w="3073" w:type="dxa"/>
            <w:tcBorders/>
            <w:shd w:fill="auto" w:val="clear"/>
            <w:vAlign w:val="center"/>
          </w:tcPr>
          <w:p>
            <w:pPr>
              <w:pStyle w:val="TableContents"/>
              <w:spacing w:before="0" w:after="283"/>
              <w:rPr>
                <w:sz w:val="4"/>
                <w:szCs w:val="4"/>
              </w:rPr>
            </w:pPr>
            <w:r>
              <w:rPr>
                <w:sz w:val="4"/>
                <w:szCs w:val="4"/>
              </w:rPr>
            </w:r>
          </w:p>
        </w:tc>
        <w:tc>
          <w:tcPr>
            <w:tcW w:w="3080"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r>
      <w:tr>
        <w:trPr/>
        <w:tc>
          <w:tcPr>
            <w:tcW w:w="9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9645" w:type="dxa"/>
            <w:gridSpan w:val="3"/>
            <w:tcBorders/>
            <w:shd w:fill="auto" w:val="clear"/>
            <w:tcMar>
              <w:top w:w="0" w:type="dxa"/>
              <w:left w:w="0" w:type="dxa"/>
              <w:bottom w:w="0" w:type="dxa"/>
              <w:right w:w="0" w:type="dxa"/>
            </w:tcMar>
            <w:vAlign w:val="center"/>
          </w:tcPr>
          <w:p>
            <w:pPr>
              <w:pStyle w:val="TableContents"/>
              <w:spacing w:lineRule="auto" w:line="417" w:before="100" w:after="240"/>
              <w:jc w:val="left"/>
              <w:rPr>
                <w:rFonts w:ascii="Times New Roman;sans-serif" w:hAnsi="Times New Roman;sans-serif"/>
                <w:b/>
                <w:color w:val="000000"/>
                <w:sz w:val="20"/>
                <w:u w:val="single"/>
              </w:rPr>
            </w:pPr>
            <w:r>
              <w:rPr>
                <w:rFonts w:ascii="Times New Roman;sans-serif" w:hAnsi="Times New Roman;sans-serif"/>
                <w:b/>
                <w:color w:val="000000"/>
                <w:sz w:val="20"/>
                <w:u w:val="single"/>
              </w:rPr>
              <w:t>PROSPECTUS SUPPLEMENT</w:t>
            </w:r>
          </w:p>
        </w:tc>
        <w:tc>
          <w:tcPr>
            <w:tcW w:w="52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964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b669fbd98dd54195a8eb6e4f21f5f7c2_7">
              <w:r>
                <w:rPr>
                  <w:rStyle w:val="InternetLink"/>
                  <w:rFonts w:ascii="Times New Roman;sans-serif" w:hAnsi="Times New Roman;sans-serif"/>
                  <w:b w:val="false"/>
                  <w:color w:val="0000FF"/>
                  <w:sz w:val="20"/>
                  <w:u w:val="single"/>
                </w:rPr>
                <w:t>ABOUT THIS PROSPECTUS SUPPLEMENT</w:t>
              </w:r>
            </w:hyperlink>
          </w:p>
        </w:tc>
        <w:tc>
          <w:tcPr>
            <w:tcW w:w="525"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b669fbd98dd54195a8eb6e4f21f5f7c2_7">
              <w:r>
                <w:rPr>
                  <w:rStyle w:val="InternetLink"/>
                </w:rPr>
                <w:t>S-</w:t>
              </w:r>
            </w:hyperlink>
            <w:hyperlink w:anchor="ib669fbd98dd54195a8eb6e4f21f5f7c2_7">
              <w:r>
                <w:rPr>
                  <w:rStyle w:val="InternetLink"/>
                </w:rPr>
                <w:t>ii</w:t>
              </w:r>
            </w:hyperlink>
          </w:p>
        </w:tc>
      </w:tr>
      <w:tr>
        <w:trPr/>
        <w:tc>
          <w:tcPr>
            <w:tcW w:w="964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b669fbd98dd54195a8eb6e4f21f5f7c2_10">
              <w:r>
                <w:rPr>
                  <w:rStyle w:val="InternetLink"/>
                  <w:rFonts w:ascii="Times New Roman;sans-serif" w:hAnsi="Times New Roman;sans-serif"/>
                  <w:b w:val="false"/>
                  <w:color w:val="0000FF"/>
                  <w:sz w:val="20"/>
                  <w:u w:val="single"/>
                </w:rPr>
                <w:t>PROSPECTUS SUPPLEMENT SUMMARY</w:t>
              </w:r>
            </w:hyperlink>
          </w:p>
        </w:tc>
        <w:tc>
          <w:tcPr>
            <w:tcW w:w="525"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b669fbd98dd54195a8eb6e4f21f5f7c2_10">
              <w:r>
                <w:rPr>
                  <w:rStyle w:val="InternetLink"/>
                </w:rPr>
                <w:t>S-</w:t>
              </w:r>
            </w:hyperlink>
            <w:hyperlink w:anchor="ib669fbd98dd54195a8eb6e4f21f5f7c2_10">
              <w:r>
                <w:rPr>
                  <w:rStyle w:val="InternetLink"/>
                </w:rPr>
                <w:t>1</w:t>
              </w:r>
            </w:hyperlink>
          </w:p>
        </w:tc>
      </w:tr>
      <w:tr>
        <w:trPr/>
        <w:tc>
          <w:tcPr>
            <w:tcW w:w="964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b669fbd98dd54195a8eb6e4f21f5f7c2_13">
              <w:r>
                <w:rPr>
                  <w:rStyle w:val="InternetLink"/>
                  <w:rFonts w:ascii="Times New Roman;sans-serif" w:hAnsi="Times New Roman;sans-serif"/>
                  <w:b w:val="false"/>
                  <w:color w:val="0000FF"/>
                  <w:sz w:val="20"/>
                  <w:u w:val="single"/>
                </w:rPr>
                <w:t>RISK FACTORS</w:t>
              </w:r>
            </w:hyperlink>
          </w:p>
        </w:tc>
        <w:tc>
          <w:tcPr>
            <w:tcW w:w="525"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b669fbd98dd54195a8eb6e4f21f5f7c2_13">
              <w:r>
                <w:rPr>
                  <w:rStyle w:val="InternetLink"/>
                </w:rPr>
                <w:t>S-</w:t>
              </w:r>
            </w:hyperlink>
            <w:hyperlink w:anchor="ib669fbd98dd54195a8eb6e4f21f5f7c2_13">
              <w:r>
                <w:rPr>
                  <w:rStyle w:val="InternetLink"/>
                </w:rPr>
                <w:t>6</w:t>
              </w:r>
            </w:hyperlink>
          </w:p>
        </w:tc>
      </w:tr>
      <w:tr>
        <w:trPr/>
        <w:tc>
          <w:tcPr>
            <w:tcW w:w="964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b669fbd98dd54195a8eb6e4f21f5f7c2_16">
              <w:r>
                <w:rPr>
                  <w:rStyle w:val="InternetLink"/>
                  <w:rFonts w:ascii="Times New Roman;sans-serif" w:hAnsi="Times New Roman;sans-serif"/>
                  <w:b w:val="false"/>
                  <w:color w:val="0000FF"/>
                  <w:sz w:val="20"/>
                  <w:u w:val="single"/>
                </w:rPr>
                <w:t>SPECIAL NOTE REGARDING FORWARD-LOOKING STATEMENTS</w:t>
              </w:r>
            </w:hyperlink>
          </w:p>
        </w:tc>
        <w:tc>
          <w:tcPr>
            <w:tcW w:w="525"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b669fbd98dd54195a8eb6e4f21f5f7c2_16">
              <w:r>
                <w:rPr>
                  <w:rStyle w:val="InternetLink"/>
                </w:rPr>
                <w:t>S-</w:t>
              </w:r>
            </w:hyperlink>
            <w:hyperlink w:anchor="ib669fbd98dd54195a8eb6e4f21f5f7c2_16">
              <w:r>
                <w:rPr>
                  <w:rStyle w:val="InternetLink"/>
                </w:rPr>
                <w:t>8</w:t>
              </w:r>
            </w:hyperlink>
          </w:p>
        </w:tc>
      </w:tr>
      <w:tr>
        <w:trPr/>
        <w:tc>
          <w:tcPr>
            <w:tcW w:w="964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b669fbd98dd54195a8eb6e4f21f5f7c2_19">
              <w:r>
                <w:rPr>
                  <w:rStyle w:val="InternetLink"/>
                  <w:rFonts w:ascii="Times New Roman;sans-serif" w:hAnsi="Times New Roman;sans-serif"/>
                  <w:b w:val="false"/>
                  <w:color w:val="0000FF"/>
                  <w:sz w:val="20"/>
                  <w:u w:val="single"/>
                </w:rPr>
                <w:t>USE OF PROCEEDS</w:t>
              </w:r>
            </w:hyperlink>
          </w:p>
        </w:tc>
        <w:tc>
          <w:tcPr>
            <w:tcW w:w="525"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b669fbd98dd54195a8eb6e4f21f5f7c2_19">
              <w:r>
                <w:rPr>
                  <w:rStyle w:val="InternetLink"/>
                </w:rPr>
                <w:t>S-</w:t>
              </w:r>
            </w:hyperlink>
            <w:hyperlink w:anchor="ib669fbd98dd54195a8eb6e4f21f5f7c2_19">
              <w:r>
                <w:rPr>
                  <w:rStyle w:val="InternetLink"/>
                </w:rPr>
                <w:t>10</w:t>
              </w:r>
            </w:hyperlink>
          </w:p>
        </w:tc>
      </w:tr>
      <w:tr>
        <w:trPr/>
        <w:tc>
          <w:tcPr>
            <w:tcW w:w="964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b669fbd98dd54195a8eb6e4f21f5f7c2_22">
              <w:r>
                <w:rPr>
                  <w:rStyle w:val="InternetLink"/>
                  <w:rFonts w:ascii="Times New Roman;sans-serif" w:hAnsi="Times New Roman;sans-serif"/>
                  <w:b w:val="false"/>
                  <w:color w:val="0000FF"/>
                  <w:sz w:val="20"/>
                  <w:u w:val="single"/>
                </w:rPr>
                <w:t>CAPITALIZATION</w:t>
              </w:r>
            </w:hyperlink>
          </w:p>
        </w:tc>
        <w:tc>
          <w:tcPr>
            <w:tcW w:w="525"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b669fbd98dd54195a8eb6e4f21f5f7c2_22">
              <w:r>
                <w:rPr>
                  <w:rStyle w:val="InternetLink"/>
                </w:rPr>
                <w:t>S-</w:t>
              </w:r>
            </w:hyperlink>
            <w:hyperlink w:anchor="ib669fbd98dd54195a8eb6e4f21f5f7c2_22">
              <w:r>
                <w:rPr>
                  <w:rStyle w:val="InternetLink"/>
                </w:rPr>
                <w:t>11</w:t>
              </w:r>
            </w:hyperlink>
          </w:p>
        </w:tc>
      </w:tr>
      <w:tr>
        <w:trPr/>
        <w:tc>
          <w:tcPr>
            <w:tcW w:w="964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b669fbd98dd54195a8eb6e4f21f5f7c2_25">
              <w:r>
                <w:rPr>
                  <w:rStyle w:val="InternetLink"/>
                  <w:rFonts w:ascii="Times New Roman;sans-serif" w:hAnsi="Times New Roman;sans-serif"/>
                  <w:b w:val="false"/>
                  <w:color w:val="0000FF"/>
                  <w:sz w:val="20"/>
                  <w:u w:val="single"/>
                </w:rPr>
                <w:t>DILUTION</w:t>
              </w:r>
            </w:hyperlink>
          </w:p>
        </w:tc>
        <w:tc>
          <w:tcPr>
            <w:tcW w:w="525"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b669fbd98dd54195a8eb6e4f21f5f7c2_25">
              <w:r>
                <w:rPr>
                  <w:rStyle w:val="InternetLink"/>
                </w:rPr>
                <w:t>S-</w:t>
              </w:r>
            </w:hyperlink>
            <w:hyperlink w:anchor="ib669fbd98dd54195a8eb6e4f21f5f7c2_25">
              <w:r>
                <w:rPr>
                  <w:rStyle w:val="InternetLink"/>
                </w:rPr>
                <w:t>13</w:t>
              </w:r>
            </w:hyperlink>
          </w:p>
        </w:tc>
      </w:tr>
      <w:tr>
        <w:trPr/>
        <w:tc>
          <w:tcPr>
            <w:tcW w:w="964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b669fbd98dd54195a8eb6e4f21f5f7c2_28">
              <w:r>
                <w:rPr>
                  <w:rStyle w:val="InternetLink"/>
                  <w:rFonts w:ascii="Times New Roman;sans-serif" w:hAnsi="Times New Roman;sans-serif"/>
                  <w:b w:val="false"/>
                  <w:color w:val="0000FF"/>
                  <w:sz w:val="20"/>
                  <w:u w:val="single"/>
                </w:rPr>
                <w:t>SELLING STOCKHOLDER</w:t>
              </w:r>
            </w:hyperlink>
          </w:p>
        </w:tc>
        <w:tc>
          <w:tcPr>
            <w:tcW w:w="525"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b669fbd98dd54195a8eb6e4f21f5f7c2_28">
              <w:r>
                <w:rPr>
                  <w:rStyle w:val="InternetLink"/>
                </w:rPr>
                <w:t>S-</w:t>
              </w:r>
            </w:hyperlink>
            <w:hyperlink w:anchor="ib669fbd98dd54195a8eb6e4f21f5f7c2_28">
              <w:r>
                <w:rPr>
                  <w:rStyle w:val="InternetLink"/>
                </w:rPr>
                <w:t>14</w:t>
              </w:r>
            </w:hyperlink>
          </w:p>
        </w:tc>
      </w:tr>
      <w:tr>
        <w:trPr/>
        <w:tc>
          <w:tcPr>
            <w:tcW w:w="9645"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b669fbd98dd54195a8eb6e4f21f5f7c2_31">
              <w:r>
                <w:rPr>
                  <w:rStyle w:val="InternetLink"/>
                  <w:rFonts w:ascii="Times New Roman;sans-serif" w:hAnsi="Times New Roman;sans-serif"/>
                  <w:b w:val="false"/>
                  <w:color w:val="0000FF"/>
                  <w:sz w:val="20"/>
                  <w:u w:val="single"/>
                </w:rPr>
                <w:t>MATERIAL U.S. FEDERAL INCOME TAX CONSEQUENCES TO NON-U.S. HOLDERS OF OUR COMMON STOCK</w:t>
              </w:r>
            </w:hyperlink>
          </w:p>
        </w:tc>
        <w:tc>
          <w:tcPr>
            <w:tcW w:w="525"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b669fbd98dd54195a8eb6e4f21f5f7c2_31">
              <w:r>
                <w:rPr>
                  <w:rStyle w:val="InternetLink"/>
                </w:rPr>
                <w:t>S-</w:t>
              </w:r>
            </w:hyperlink>
            <w:hyperlink w:anchor="ib669fbd98dd54195a8eb6e4f21f5f7c2_31">
              <w:r>
                <w:rPr>
                  <w:rStyle w:val="InternetLink"/>
                </w:rPr>
                <w:t>15</w:t>
              </w:r>
            </w:hyperlink>
          </w:p>
        </w:tc>
      </w:tr>
      <w:tr>
        <w:trPr/>
        <w:tc>
          <w:tcPr>
            <w:tcW w:w="964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b669fbd98dd54195a8eb6e4f21f5f7c2_34">
              <w:r>
                <w:rPr>
                  <w:rStyle w:val="InternetLink"/>
                  <w:rFonts w:ascii="Times New Roman;sans-serif" w:hAnsi="Times New Roman;sans-serif"/>
                  <w:b w:val="false"/>
                  <w:color w:val="0000FF"/>
                  <w:sz w:val="20"/>
                  <w:u w:val="single"/>
                </w:rPr>
                <w:t>UNDERWRITING</w:t>
              </w:r>
            </w:hyperlink>
          </w:p>
        </w:tc>
        <w:tc>
          <w:tcPr>
            <w:tcW w:w="525"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b669fbd98dd54195a8eb6e4f21f5f7c2_34">
              <w:r>
                <w:rPr>
                  <w:rStyle w:val="InternetLink"/>
                </w:rPr>
                <w:t>S-</w:t>
              </w:r>
            </w:hyperlink>
            <w:hyperlink w:anchor="ib669fbd98dd54195a8eb6e4f21f5f7c2_34">
              <w:r>
                <w:rPr>
                  <w:rStyle w:val="InternetLink"/>
                </w:rPr>
                <w:t>19</w:t>
              </w:r>
            </w:hyperlink>
          </w:p>
        </w:tc>
      </w:tr>
      <w:tr>
        <w:trPr/>
        <w:tc>
          <w:tcPr>
            <w:tcW w:w="964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b669fbd98dd54195a8eb6e4f21f5f7c2_37">
              <w:r>
                <w:rPr>
                  <w:rStyle w:val="InternetLink"/>
                  <w:rFonts w:ascii="Times New Roman;sans-serif" w:hAnsi="Times New Roman;sans-serif"/>
                  <w:b w:val="false"/>
                  <w:color w:val="0000FF"/>
                  <w:sz w:val="20"/>
                  <w:u w:val="single"/>
                </w:rPr>
                <w:t>LEGAL MATTERS</w:t>
              </w:r>
            </w:hyperlink>
          </w:p>
        </w:tc>
        <w:tc>
          <w:tcPr>
            <w:tcW w:w="525"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b669fbd98dd54195a8eb6e4f21f5f7c2_37">
              <w:r>
                <w:rPr>
                  <w:rStyle w:val="InternetLink"/>
                </w:rPr>
                <w:t>S-</w:t>
              </w:r>
            </w:hyperlink>
            <w:hyperlink w:anchor="ib669fbd98dd54195a8eb6e4f21f5f7c2_37">
              <w:r>
                <w:rPr>
                  <w:rStyle w:val="InternetLink"/>
                </w:rPr>
                <w:t>27</w:t>
              </w:r>
            </w:hyperlink>
          </w:p>
        </w:tc>
      </w:tr>
      <w:tr>
        <w:trPr/>
        <w:tc>
          <w:tcPr>
            <w:tcW w:w="964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b669fbd98dd54195a8eb6e4f21f5f7c2_40">
              <w:r>
                <w:rPr>
                  <w:rStyle w:val="InternetLink"/>
                  <w:rFonts w:ascii="Times New Roman;sans-serif" w:hAnsi="Times New Roman;sans-serif"/>
                  <w:b w:val="false"/>
                  <w:color w:val="0000FF"/>
                  <w:sz w:val="20"/>
                  <w:u w:val="single"/>
                </w:rPr>
                <w:t>EXPERTS</w:t>
              </w:r>
            </w:hyperlink>
          </w:p>
        </w:tc>
        <w:tc>
          <w:tcPr>
            <w:tcW w:w="525"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b669fbd98dd54195a8eb6e4f21f5f7c2_40">
              <w:r>
                <w:rPr>
                  <w:rStyle w:val="InternetLink"/>
                </w:rPr>
                <w:t>S-</w:t>
              </w:r>
            </w:hyperlink>
            <w:hyperlink w:anchor="ib669fbd98dd54195a8eb6e4f21f5f7c2_40">
              <w:r>
                <w:rPr>
                  <w:rStyle w:val="InternetLink"/>
                </w:rPr>
                <w:t>27</w:t>
              </w:r>
            </w:hyperlink>
          </w:p>
        </w:tc>
      </w:tr>
      <w:tr>
        <w:trPr/>
        <w:tc>
          <w:tcPr>
            <w:tcW w:w="964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b669fbd98dd54195a8eb6e4f21f5f7c2_43">
              <w:r>
                <w:rPr>
                  <w:rStyle w:val="InternetLink"/>
                  <w:rFonts w:ascii="Times New Roman;sans-serif" w:hAnsi="Times New Roman;sans-serif"/>
                  <w:b w:val="false"/>
                  <w:color w:val="0000FF"/>
                  <w:sz w:val="20"/>
                  <w:u w:val="single"/>
                </w:rPr>
                <w:t>WHERE YOU CAN FIND ADDITIONAL INFORMATION</w:t>
              </w:r>
            </w:hyperlink>
          </w:p>
        </w:tc>
        <w:tc>
          <w:tcPr>
            <w:tcW w:w="525"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b669fbd98dd54195a8eb6e4f21f5f7c2_43">
              <w:r>
                <w:rPr>
                  <w:rStyle w:val="InternetLink"/>
                </w:rPr>
                <w:t>S-</w:t>
              </w:r>
            </w:hyperlink>
            <w:hyperlink w:anchor="ib669fbd98dd54195a8eb6e4f21f5f7c2_43">
              <w:r>
                <w:rPr>
                  <w:rStyle w:val="InternetLink"/>
                </w:rPr>
                <w:t>27</w:t>
              </w:r>
            </w:hyperlink>
          </w:p>
        </w:tc>
      </w:tr>
      <w:tr>
        <w:trPr/>
        <w:tc>
          <w:tcPr>
            <w:tcW w:w="964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b669fbd98dd54195a8eb6e4f21f5f7c2_46">
              <w:r>
                <w:rPr>
                  <w:rStyle w:val="InternetLink"/>
                  <w:rFonts w:ascii="Times New Roman;sans-serif" w:hAnsi="Times New Roman;sans-serif"/>
                  <w:b w:val="false"/>
                  <w:color w:val="0000FF"/>
                  <w:sz w:val="20"/>
                  <w:u w:val="single"/>
                </w:rPr>
                <w:t>INCORPORATION OF CERTAIN INFORMATION BY REFERENCE</w:t>
              </w:r>
            </w:hyperlink>
          </w:p>
        </w:tc>
        <w:tc>
          <w:tcPr>
            <w:tcW w:w="525"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b669fbd98dd54195a8eb6e4f21f5f7c2_46">
              <w:r>
                <w:rPr>
                  <w:rStyle w:val="InternetLink"/>
                </w:rPr>
                <w:t>S-</w:t>
              </w:r>
            </w:hyperlink>
            <w:hyperlink w:anchor="ib669fbd98dd54195a8eb6e4f21f5f7c2_46">
              <w:r>
                <w:rPr>
                  <w:rStyle w:val="InternetLink"/>
                </w:rPr>
                <w:t>28</w:t>
              </w:r>
            </w:hyperlink>
          </w:p>
        </w:tc>
      </w:tr>
    </w:tbl>
    <w:tbl>
      <w:tblPr>
        <w:tblW w:w="6221" w:type="dxa"/>
        <w:jc w:val="center"/>
        <w:tblInd w:w="0" w:type="dxa"/>
        <w:tblCellMar>
          <w:top w:w="28" w:type="dxa"/>
          <w:left w:w="28" w:type="dxa"/>
          <w:bottom w:w="28" w:type="dxa"/>
          <w:right w:w="28" w:type="dxa"/>
        </w:tblCellMar>
      </w:tblPr>
      <w:tblGrid>
        <w:gridCol w:w="2120"/>
        <w:gridCol w:w="1861"/>
        <w:gridCol w:w="1868"/>
        <w:gridCol w:w="109"/>
        <w:gridCol w:w="109"/>
        <w:gridCol w:w="154"/>
      </w:tblGrid>
      <w:tr>
        <w:trPr/>
        <w:tc>
          <w:tcPr>
            <w:tcW w:w="2120" w:type="dxa"/>
            <w:tcBorders/>
            <w:shd w:fill="auto" w:val="clear"/>
            <w:vAlign w:val="center"/>
          </w:tcPr>
          <w:p>
            <w:pPr>
              <w:pStyle w:val="TableContents"/>
              <w:spacing w:before="0" w:after="283"/>
              <w:rPr>
                <w:sz w:val="4"/>
                <w:szCs w:val="4"/>
              </w:rPr>
            </w:pPr>
            <w:r>
              <w:rPr>
                <w:sz w:val="4"/>
                <w:szCs w:val="4"/>
              </w:rPr>
            </w:r>
          </w:p>
        </w:tc>
        <w:tc>
          <w:tcPr>
            <w:tcW w:w="1861" w:type="dxa"/>
            <w:tcBorders/>
            <w:shd w:fill="auto" w:val="clear"/>
            <w:vAlign w:val="center"/>
          </w:tcPr>
          <w:p>
            <w:pPr>
              <w:pStyle w:val="TableContents"/>
              <w:spacing w:before="0" w:after="283"/>
              <w:rPr>
                <w:sz w:val="4"/>
                <w:szCs w:val="4"/>
              </w:rPr>
            </w:pPr>
            <w:r>
              <w:rPr>
                <w:sz w:val="4"/>
                <w:szCs w:val="4"/>
              </w:rPr>
            </w:r>
          </w:p>
        </w:tc>
        <w:tc>
          <w:tcPr>
            <w:tcW w:w="186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49" w:type="dxa"/>
            <w:gridSpan w:val="3"/>
            <w:tcBorders/>
            <w:shd w:fill="auto" w:val="clear"/>
            <w:tcMar>
              <w:top w:w="0" w:type="dxa"/>
              <w:left w:w="0" w:type="dxa"/>
              <w:bottom w:w="0" w:type="dxa"/>
              <w:right w:w="0" w:type="dxa"/>
            </w:tcMar>
            <w:vAlign w:val="center"/>
          </w:tcPr>
          <w:p>
            <w:pPr>
              <w:pStyle w:val="TableContents"/>
              <w:spacing w:lineRule="auto" w:line="417" w:before="100" w:after="240"/>
              <w:jc w:val="left"/>
              <w:rPr>
                <w:rFonts w:ascii="Times New Roman;sans-serif" w:hAnsi="Times New Roman;sans-serif"/>
                <w:b/>
                <w:color w:val="000000"/>
                <w:sz w:val="20"/>
                <w:u w:val="single"/>
              </w:rPr>
            </w:pPr>
            <w:r>
              <w:rPr>
                <w:rFonts w:ascii="Times New Roman;sans-serif" w:hAnsi="Times New Roman;sans-serif"/>
                <w:b/>
                <w:color w:val="000000"/>
                <w:sz w:val="20"/>
                <w:u w:val="single"/>
              </w:rPr>
              <w:t>PROSPECTUS</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4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b669fbd98dd54195a8eb6e4f21f5f7c2_55">
              <w:r>
                <w:rPr>
                  <w:rStyle w:val="InternetLink"/>
                  <w:rFonts w:ascii="Times New Roman;sans-serif" w:hAnsi="Times New Roman;sans-serif"/>
                  <w:b w:val="false"/>
                  <w:color w:val="0000FF"/>
                  <w:sz w:val="20"/>
                  <w:u w:val="single"/>
                </w:rPr>
                <w:t>ABOUT THIS PROSPECTUS</w:t>
              </w:r>
            </w:hyperlink>
          </w:p>
        </w:tc>
        <w:tc>
          <w:tcPr>
            <w:tcW w:w="372"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b669fbd98dd54195a8eb6e4f21f5f7c2_55">
              <w:r>
                <w:rPr>
                  <w:rStyle w:val="InternetLink"/>
                  <w:rFonts w:ascii="Times New Roman;sans-serif" w:hAnsi="Times New Roman;sans-serif"/>
                  <w:b w:val="false"/>
                  <w:color w:val="0000FF"/>
                  <w:sz w:val="20"/>
                  <w:u w:val="single"/>
                </w:rPr>
                <w:t>ii</w:t>
              </w:r>
            </w:hyperlink>
          </w:p>
        </w:tc>
      </w:tr>
      <w:tr>
        <w:trPr/>
        <w:tc>
          <w:tcPr>
            <w:tcW w:w="58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669fbd98dd54195a8eb6e4f21f5f7c2_58">
              <w:r>
                <w:rPr>
                  <w:rStyle w:val="InternetLink"/>
                  <w:rFonts w:ascii="Times New Roman;sans-serif" w:hAnsi="Times New Roman;sans-serif"/>
                  <w:b w:val="false"/>
                  <w:color w:val="0000FF"/>
                  <w:sz w:val="20"/>
                  <w:u w:val="single"/>
                </w:rPr>
                <w:t>PROSPECTUS SUMMARY</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b669fbd98dd54195a8eb6e4f21f5f7c2_58">
              <w:r>
                <w:rPr>
                  <w:rStyle w:val="InternetLink"/>
                  <w:rFonts w:ascii="Times New Roman;sans-serif" w:hAnsi="Times New Roman;sans-serif"/>
                  <w:b w:val="false"/>
                  <w:color w:val="0000FF"/>
                  <w:sz w:val="20"/>
                  <w:u w:val="single"/>
                </w:rPr>
                <w:t>1</w:t>
              </w:r>
            </w:hyperlink>
          </w:p>
        </w:tc>
      </w:tr>
      <w:tr>
        <w:trPr/>
        <w:tc>
          <w:tcPr>
            <w:tcW w:w="584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b669fbd98dd54195a8eb6e4f21f5f7c2_61">
              <w:r>
                <w:rPr>
                  <w:rStyle w:val="InternetLink"/>
                  <w:rFonts w:ascii="Times New Roman;sans-serif" w:hAnsi="Times New Roman;sans-serif"/>
                  <w:b w:val="false"/>
                  <w:color w:val="0000FF"/>
                  <w:sz w:val="20"/>
                  <w:u w:val="single"/>
                </w:rPr>
                <w:t>RISK FACTORS</w:t>
              </w:r>
            </w:hyperlink>
          </w:p>
        </w:tc>
        <w:tc>
          <w:tcPr>
            <w:tcW w:w="372"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b669fbd98dd54195a8eb6e4f21f5f7c2_61">
              <w:r>
                <w:rPr>
                  <w:rStyle w:val="InternetLink"/>
                  <w:rFonts w:ascii="Times New Roman;sans-serif" w:hAnsi="Times New Roman;sans-serif"/>
                  <w:b w:val="false"/>
                  <w:color w:val="0000FF"/>
                  <w:sz w:val="20"/>
                  <w:u w:val="single"/>
                </w:rPr>
                <w:t>5</w:t>
              </w:r>
            </w:hyperlink>
          </w:p>
        </w:tc>
      </w:tr>
      <w:tr>
        <w:trPr/>
        <w:tc>
          <w:tcPr>
            <w:tcW w:w="58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669fbd98dd54195a8eb6e4f21f5f7c2_64">
              <w:r>
                <w:rPr>
                  <w:rStyle w:val="InternetLink"/>
                  <w:rFonts w:ascii="Times New Roman;sans-serif" w:hAnsi="Times New Roman;sans-serif"/>
                  <w:b w:val="false"/>
                  <w:color w:val="0000FF"/>
                  <w:sz w:val="20"/>
                  <w:u w:val="single"/>
                </w:rPr>
                <w:t>SPECIAL NOTE REGARDING FORWARD-LOOKING STATEMENTS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b669fbd98dd54195a8eb6e4f21f5f7c2_64">
              <w:r>
                <w:rPr>
                  <w:rStyle w:val="InternetLink"/>
                  <w:rFonts w:ascii="Times New Roman;sans-serif" w:hAnsi="Times New Roman;sans-serif"/>
                  <w:b w:val="false"/>
                  <w:color w:val="0000FF"/>
                  <w:sz w:val="20"/>
                  <w:u w:val="single"/>
                </w:rPr>
                <w:t>6</w:t>
              </w:r>
            </w:hyperlink>
          </w:p>
        </w:tc>
      </w:tr>
      <w:tr>
        <w:trPr/>
        <w:tc>
          <w:tcPr>
            <w:tcW w:w="584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b669fbd98dd54195a8eb6e4f21f5f7c2_67">
              <w:r>
                <w:rPr>
                  <w:rStyle w:val="InternetLink"/>
                  <w:rFonts w:ascii="Times New Roman;sans-serif" w:hAnsi="Times New Roman;sans-serif"/>
                  <w:b w:val="false"/>
                  <w:color w:val="0000FF"/>
                  <w:sz w:val="20"/>
                  <w:u w:val="single"/>
                </w:rPr>
                <w:t>USE OF PROCEEDS</w:t>
              </w:r>
            </w:hyperlink>
          </w:p>
        </w:tc>
        <w:tc>
          <w:tcPr>
            <w:tcW w:w="372"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b669fbd98dd54195a8eb6e4f21f5f7c2_67">
              <w:r>
                <w:rPr>
                  <w:rStyle w:val="InternetLink"/>
                  <w:rFonts w:ascii="Times New Roman;sans-serif" w:hAnsi="Times New Roman;sans-serif"/>
                  <w:b w:val="false"/>
                  <w:color w:val="0000FF"/>
                  <w:sz w:val="20"/>
                  <w:u w:val="single"/>
                </w:rPr>
                <w:t>8</w:t>
              </w:r>
            </w:hyperlink>
          </w:p>
        </w:tc>
      </w:tr>
      <w:tr>
        <w:trPr/>
        <w:tc>
          <w:tcPr>
            <w:tcW w:w="58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669fbd98dd54195a8eb6e4f21f5f7c2_70">
              <w:r>
                <w:rPr>
                  <w:rStyle w:val="InternetLink"/>
                  <w:rFonts w:ascii="Times New Roman;sans-serif" w:hAnsi="Times New Roman;sans-serif"/>
                  <w:b w:val="false"/>
                  <w:color w:val="0000FF"/>
                  <w:sz w:val="20"/>
                  <w:u w:val="single"/>
                </w:rPr>
                <w:t>DESCRIPTION OF CAPITAL STOCK</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b669fbd98dd54195a8eb6e4f21f5f7c2_70">
              <w:r>
                <w:rPr>
                  <w:rStyle w:val="InternetLink"/>
                  <w:rFonts w:ascii="Times New Roman;sans-serif" w:hAnsi="Times New Roman;sans-serif"/>
                  <w:b w:val="false"/>
                  <w:color w:val="0000FF"/>
                  <w:sz w:val="20"/>
                  <w:u w:val="single"/>
                </w:rPr>
                <w:t>9</w:t>
              </w:r>
            </w:hyperlink>
          </w:p>
        </w:tc>
      </w:tr>
      <w:tr>
        <w:trPr/>
        <w:tc>
          <w:tcPr>
            <w:tcW w:w="584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b669fbd98dd54195a8eb6e4f21f5f7c2_73">
              <w:r>
                <w:rPr>
                  <w:rStyle w:val="InternetLink"/>
                  <w:rFonts w:ascii="Times New Roman;sans-serif" w:hAnsi="Times New Roman;sans-serif"/>
                  <w:b w:val="false"/>
                  <w:color w:val="0000FF"/>
                  <w:sz w:val="20"/>
                  <w:u w:val="single"/>
                </w:rPr>
                <w:t>DESCRIPTION OF DEBT SECURITIES</w:t>
              </w:r>
            </w:hyperlink>
          </w:p>
        </w:tc>
        <w:tc>
          <w:tcPr>
            <w:tcW w:w="372"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b669fbd98dd54195a8eb6e4f21f5f7c2_73">
              <w:r>
                <w:rPr>
                  <w:rStyle w:val="InternetLink"/>
                  <w:rFonts w:ascii="Times New Roman;sans-serif" w:hAnsi="Times New Roman;sans-serif"/>
                  <w:b w:val="false"/>
                  <w:color w:val="0000FF"/>
                  <w:sz w:val="20"/>
                  <w:u w:val="single"/>
                </w:rPr>
                <w:t>13</w:t>
              </w:r>
            </w:hyperlink>
          </w:p>
        </w:tc>
      </w:tr>
      <w:tr>
        <w:trPr/>
        <w:tc>
          <w:tcPr>
            <w:tcW w:w="58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669fbd98dd54195a8eb6e4f21f5f7c2_76">
              <w:r>
                <w:rPr>
                  <w:rStyle w:val="InternetLink"/>
                  <w:rFonts w:ascii="Times New Roman;sans-serif" w:hAnsi="Times New Roman;sans-serif"/>
                  <w:b w:val="false"/>
                  <w:color w:val="0000FF"/>
                  <w:sz w:val="20"/>
                  <w:u w:val="single"/>
                </w:rPr>
                <w:t>DESCRIPTION OF WARRANTS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b669fbd98dd54195a8eb6e4f21f5f7c2_76">
              <w:r>
                <w:rPr>
                  <w:rStyle w:val="InternetLink"/>
                  <w:rFonts w:ascii="Times New Roman;sans-serif" w:hAnsi="Times New Roman;sans-serif"/>
                  <w:b w:val="false"/>
                  <w:color w:val="0000FF"/>
                  <w:sz w:val="20"/>
                  <w:u w:val="single"/>
                </w:rPr>
                <w:t>20</w:t>
              </w:r>
            </w:hyperlink>
          </w:p>
        </w:tc>
      </w:tr>
      <w:tr>
        <w:trPr/>
        <w:tc>
          <w:tcPr>
            <w:tcW w:w="584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b669fbd98dd54195a8eb6e4f21f5f7c2_79">
              <w:r>
                <w:rPr>
                  <w:rStyle w:val="InternetLink"/>
                </w:rPr>
                <w:t xml:space="preserve">LEGAL OWNERSHIP </w:t>
              </w:r>
            </w:hyperlink>
            <w:hyperlink w:anchor="ib669fbd98dd54195a8eb6e4f21f5f7c2_79">
              <w:r>
                <w:rPr>
                  <w:rStyle w:val="InternetLink"/>
                </w:rPr>
                <w:t xml:space="preserve">OF </w:t>
              </w:r>
            </w:hyperlink>
            <w:hyperlink w:anchor="ib669fbd98dd54195a8eb6e4f21f5f7c2_79">
              <w:r>
                <w:rPr>
                  <w:rStyle w:val="InternetLink"/>
                </w:rPr>
                <w:t>SECURITIES</w:t>
              </w:r>
            </w:hyperlink>
          </w:p>
        </w:tc>
        <w:tc>
          <w:tcPr>
            <w:tcW w:w="372"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b669fbd98dd54195a8eb6e4f21f5f7c2_79">
              <w:r>
                <w:rPr>
                  <w:rStyle w:val="InternetLink"/>
                  <w:rFonts w:ascii="Times New Roman;sans-serif" w:hAnsi="Times New Roman;sans-serif"/>
                  <w:b w:val="false"/>
                  <w:color w:val="0000FF"/>
                  <w:sz w:val="20"/>
                  <w:u w:val="single"/>
                </w:rPr>
                <w:t>22</w:t>
              </w:r>
            </w:hyperlink>
          </w:p>
        </w:tc>
      </w:tr>
      <w:tr>
        <w:trPr/>
        <w:tc>
          <w:tcPr>
            <w:tcW w:w="58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669fbd98dd54195a8eb6e4f21f5f7c2_82">
              <w:r>
                <w:rPr>
                  <w:rStyle w:val="InternetLink"/>
                  <w:rFonts w:ascii="Times New Roman;sans-serif" w:hAnsi="Times New Roman;sans-serif"/>
                  <w:b w:val="false"/>
                  <w:color w:val="0000FF"/>
                  <w:sz w:val="20"/>
                  <w:u w:val="single"/>
                </w:rPr>
                <w:t>SELLING SECURITYHOLDERS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b669fbd98dd54195a8eb6e4f21f5f7c2_82">
              <w:r>
                <w:rPr>
                  <w:rStyle w:val="InternetLink"/>
                  <w:rFonts w:ascii="Times New Roman;sans-serif" w:hAnsi="Times New Roman;sans-serif"/>
                  <w:b w:val="false"/>
                  <w:color w:val="0000FF"/>
                  <w:sz w:val="20"/>
                  <w:u w:val="single"/>
                </w:rPr>
                <w:t>25</w:t>
              </w:r>
            </w:hyperlink>
          </w:p>
        </w:tc>
      </w:tr>
      <w:tr>
        <w:trPr/>
        <w:tc>
          <w:tcPr>
            <w:tcW w:w="584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b669fbd98dd54195a8eb6e4f21f5f7c2_85">
              <w:r>
                <w:rPr>
                  <w:rStyle w:val="InternetLink"/>
                  <w:rFonts w:ascii="Times New Roman;sans-serif" w:hAnsi="Times New Roman;sans-serif"/>
                  <w:b w:val="false"/>
                  <w:color w:val="0000FF"/>
                  <w:sz w:val="20"/>
                  <w:u w:val="single"/>
                </w:rPr>
                <w:t>PLAN OF DISTRIBUTION</w:t>
              </w:r>
            </w:hyperlink>
          </w:p>
        </w:tc>
        <w:tc>
          <w:tcPr>
            <w:tcW w:w="372"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b669fbd98dd54195a8eb6e4f21f5f7c2_85">
              <w:r>
                <w:rPr>
                  <w:rStyle w:val="InternetLink"/>
                  <w:rFonts w:ascii="Times New Roman;sans-serif" w:hAnsi="Times New Roman;sans-serif"/>
                  <w:b w:val="false"/>
                  <w:color w:val="0000FF"/>
                  <w:sz w:val="20"/>
                  <w:u w:val="single"/>
                </w:rPr>
                <w:t>25</w:t>
              </w:r>
            </w:hyperlink>
          </w:p>
        </w:tc>
      </w:tr>
      <w:tr>
        <w:trPr/>
        <w:tc>
          <w:tcPr>
            <w:tcW w:w="58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669fbd98dd54195a8eb6e4f21f5f7c2_88">
              <w:r>
                <w:rPr>
                  <w:rStyle w:val="InternetLink"/>
                  <w:rFonts w:ascii="Times New Roman;sans-serif" w:hAnsi="Times New Roman;sans-serif"/>
                  <w:b w:val="false"/>
                  <w:color w:val="0000FF"/>
                  <w:sz w:val="20"/>
                  <w:u w:val="single"/>
                </w:rPr>
                <w:t>LEGAL MATTERS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b669fbd98dd54195a8eb6e4f21f5f7c2_88">
              <w:r>
                <w:rPr>
                  <w:rStyle w:val="InternetLink"/>
                  <w:rFonts w:ascii="Times New Roman;sans-serif" w:hAnsi="Times New Roman;sans-serif"/>
                  <w:b w:val="false"/>
                  <w:color w:val="0000FF"/>
                  <w:sz w:val="20"/>
                  <w:u w:val="single"/>
                </w:rPr>
                <w:t>26</w:t>
              </w:r>
            </w:hyperlink>
          </w:p>
        </w:tc>
      </w:tr>
      <w:tr>
        <w:trPr/>
        <w:tc>
          <w:tcPr>
            <w:tcW w:w="584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b669fbd98dd54195a8eb6e4f21f5f7c2_91">
              <w:r>
                <w:rPr>
                  <w:rStyle w:val="InternetLink"/>
                  <w:rFonts w:ascii="Times New Roman;sans-serif" w:hAnsi="Times New Roman;sans-serif"/>
                  <w:b w:val="false"/>
                  <w:color w:val="0000FF"/>
                  <w:sz w:val="20"/>
                  <w:u w:val="single"/>
                </w:rPr>
                <w:t>EXPERTS</w:t>
              </w:r>
            </w:hyperlink>
          </w:p>
        </w:tc>
        <w:tc>
          <w:tcPr>
            <w:tcW w:w="372"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b669fbd98dd54195a8eb6e4f21f5f7c2_91">
              <w:r>
                <w:rPr>
                  <w:rStyle w:val="InternetLink"/>
                  <w:rFonts w:ascii="Times New Roman;sans-serif" w:hAnsi="Times New Roman;sans-serif"/>
                  <w:b w:val="false"/>
                  <w:color w:val="0000FF"/>
                  <w:sz w:val="20"/>
                  <w:u w:val="single"/>
                </w:rPr>
                <w:t>26</w:t>
              </w:r>
            </w:hyperlink>
          </w:p>
        </w:tc>
      </w:tr>
      <w:tr>
        <w:trPr/>
        <w:tc>
          <w:tcPr>
            <w:tcW w:w="58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669fbd98dd54195a8eb6e4f21f5f7c2_94">
              <w:r>
                <w:rPr>
                  <w:rStyle w:val="InternetLink"/>
                  <w:rFonts w:ascii="Times New Roman;sans-serif" w:hAnsi="Times New Roman;sans-serif"/>
                  <w:b w:val="false"/>
                  <w:color w:val="0000FF"/>
                  <w:sz w:val="20"/>
                  <w:u w:val="single"/>
                </w:rPr>
                <w:t>WHERE YOU CAN FIND ADDITIONAL INFORMATION</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b669fbd98dd54195a8eb6e4f21f5f7c2_94">
              <w:r>
                <w:rPr>
                  <w:rStyle w:val="InternetLink"/>
                  <w:rFonts w:ascii="Times New Roman;sans-serif" w:hAnsi="Times New Roman;sans-serif"/>
                  <w:b w:val="false"/>
                  <w:color w:val="0000FF"/>
                  <w:sz w:val="20"/>
                  <w:u w:val="single"/>
                </w:rPr>
                <w:t>27</w:t>
              </w:r>
            </w:hyperlink>
          </w:p>
        </w:tc>
      </w:tr>
      <w:tr>
        <w:trPr/>
        <w:tc>
          <w:tcPr>
            <w:tcW w:w="584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b669fbd98dd54195a8eb6e4f21f5f7c2_97">
              <w:r>
                <w:rPr>
                  <w:rStyle w:val="InternetLink"/>
                  <w:rFonts w:ascii="Times New Roman;sans-serif" w:hAnsi="Times New Roman;sans-serif"/>
                  <w:b w:val="false"/>
                  <w:color w:val="0000FF"/>
                  <w:sz w:val="20"/>
                  <w:u w:val="single"/>
                </w:rPr>
                <w:t>INCORPORATION OF CERTAIN INFORMATION BY REFERENCE</w:t>
              </w:r>
            </w:hyperlink>
          </w:p>
        </w:tc>
        <w:tc>
          <w:tcPr>
            <w:tcW w:w="372"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b669fbd98dd54195a8eb6e4f21f5f7c2_97">
              <w:r>
                <w:rPr>
                  <w:rStyle w:val="InternetLink"/>
                  <w:rFonts w:ascii="Times New Roman;sans-serif" w:hAnsi="Times New Roman;sans-serif"/>
                  <w:b w:val="false"/>
                  <w:color w:val="0000FF"/>
                  <w:sz w:val="20"/>
                  <w:u w:val="single"/>
                </w:rPr>
                <w:t>28</w:t>
              </w:r>
            </w:hyperlink>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200"/>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S-i</w:t>
                      </w:r>
                    </w:p>
                  </w:txbxContent>
                </v:textbox>
              </v:rect>
            </w:pict>
          </mc:Fallback>
        </mc:AlternateConten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ABOUT THIS PROSPECTUS SUPPLEMENT</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prospectus supplement and the accompanying prospectus are part of a “shelf” registration statement on Form S-3 (File No. 333-271635) that we initially filed with the Securities and Exchange Commission (SEC) on May 4, 2023, and that automatically became effective upon filing. This document is in two parts. The first part is this prospectus supplement, which describes the specific terms of this common stock offering and also adds to and updates information contained in the accompanying prospectus and the documents incorporated by reference herein. The second part, the accompanying prospectus, provides more general information. Generally, when we refer to this prospectus, we are referring to both parts of this document combined. To the extent there is a conflict between the information contained in this prospectus supplement and the information contained in the accompanying prospectus or any document incorporated by reference therein filed prior to the date of this prospectus supplement, you should rely on the information in this prospectus supplement; provided that if any statement in one of these documents is inconsistent with a statement in another document having a later date - for example, a document incorporated by reference in the accompanying prospectus - the statement in the document having the later date modifies or supersedes the earlier statement.</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and the selling stockholder have not, and the underwriters have not, authorized anyone to provide any information other than that contained or incorporated by reference in this prospectus supplement, the accompanying prospectus or in any free writing prospectus that we have authorized for use in connection with this offering. We, the selling stockholder and the underwriters take no responsibility for, and can provide no assurance as to the reliability of, any other information that others may give you. The information contained in this prospectus supplement, the accompanying prospectus, any free writing prospectus that we have authorized for use in connection with this offering, including the documents incorporated by reference herein or therein is accurate only as of the respective dates thereof, regardless of the time of delivery of this prospectus supplement and the accompanying prospectus or of any sale of our common stock. It is important for you to read and consider all information contained in this prospectus supplement, the accompanying prospectus and any free writing prospectus that we have authorized for use in connection with this offering, including the documents incorporated by reference herein and therein, in making your investment decision. You should also read and consider the information in the documents to which we have referred you in the sections entitled “Where You Can Find Additional Information” and “Incorporation of Certain Information by Reference” in this prospectus supplement and in the accompanying prospectus.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the selling stockholder and the underwriters are offering to sell, and seeking offers to buy, shares of our common stock only in jurisdictions where offers and sales are permitted. The distribution of this prospectus supplement and the accompanying prospectus and the offering of the common stock in certain jurisdictions may be restricted by law. Persons outside the United States who come into possession of this prospectus supplement and the accompanying prospectus must inform themselves about, and observe any restrictions relating to, the offering of the common stock and the distribution of this prospectus supplement and the accompanying prospectus outside the United States. This prospectus supplement and the accompanying prospectus do not constitute, and may not be used in connection with, an offer to sell, or a solicitation of an offer to buy, any securities offered by this prospectus supplement and the accompanying prospectus by any person in any jurisdiction in which it is unlawful for such person to make such an offer or solicitation.</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Except as otherwise indicated herein or as the context otherwise requires, references in this prospectus supplement and accompanying prospectus to “SI-BONE,” “the company,” “we,” “us,” “our” and similar references refer to SI-BONE, Inc., a corporation under the laws of the State of Delaware, and its wholly owned subsidiaries.</w:t>
      </w:r>
      <w:r>
        <w:br w:type="page"/>
      </w:r>
    </w:p>
    <w:p>
      <w:pPr>
        <w:pStyle w:val="TextBody"/>
        <w:spacing w:before="0" w:after="200"/>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S-ii</w:t>
                      </w:r>
                    </w:p>
                  </w:txbxContent>
                </v:textbox>
              </v:rect>
            </w:pict>
          </mc:Fallback>
        </mc:AlternateConten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 xml:space="preserve">Trademarks </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Unless the context indicates otherwise, as used in this prospectus supplement and accompanying prospectus, the terms “SI-BONE,” “iFuse Implant System,” “iFuse-TORQ,” “iFuse Bedrock Granite,” and/or “iFuse” and other iFuse-formative trademarks, as well as other trademarks or service marks of SI-BONE appearing in this prospectus supplement and accompanying prospectus, are the property of SI-BONE. This prospectus supplement and accompanying prospectus contain additional trade names, trademarks, and service marks of ours and of other companies. We do not intend our use or display of other companies’ trade names, trademarks or service marks to imply a relationship with, or endorsement or sponsorship of us by, these other companies.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200"/>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S-iii</w:t>
                      </w:r>
                    </w:p>
                  </w:txbxContent>
                </v:textbox>
              </v:rect>
            </w:pict>
          </mc:Fallback>
        </mc:AlternateContent>
      </w:r>
    </w:p>
    <w:p>
      <w:pPr>
        <w:pStyle w:val="TextBody"/>
        <w:spacing w:lineRule="auto" w:line="288" w:before="0" w:after="180"/>
        <w:jc w:val="center"/>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PROSPECTUS SUPPLEMENT SUMMARY</w:t>
      </w:r>
    </w:p>
    <w:p>
      <w:pPr>
        <w:pStyle w:val="TextBody"/>
        <w:spacing w:lineRule="auto" w:line="288" w:before="0" w:after="180"/>
        <w:ind w:left="0" w:right="0" w:firstLine="360"/>
        <w:jc w:val="both"/>
        <w:rPr>
          <w:rFonts w:ascii="Times New Roman;sans-serif" w:hAnsi="Times New Roman;sans-serif"/>
          <w:b w:val="false"/>
          <w:i/>
          <w:color w:val="000000"/>
          <w:sz w:val="20"/>
          <w:bdr w:val="single" w:sz="8" w:space="36" w:color="000000"/>
        </w:rPr>
      </w:pPr>
      <w:r>
        <w:rPr>
          <w:rFonts w:ascii="Times New Roman;sans-serif" w:hAnsi="Times New Roman;sans-serif"/>
          <w:b w:val="false"/>
          <w:i/>
          <w:color w:val="000000"/>
          <w:sz w:val="20"/>
          <w:bdr w:val="single" w:sz="8" w:space="36" w:color="000000"/>
        </w:rPr>
        <w:t xml:space="preserve">This summary highlights selected information appearing elsewhere in this prospectus supplement or accompanying prospectus or incorporated by reference in this prospectus supplement and accompanying prospectus, and does not contain all of the information that you need to consider in making your investment decision. You should carefully read the entire prospectus supplement, accompanying prospectus and any related free writing prospectus, including the risks of investing in our securities discussed under the heading “Risk Factors” contained in this prospectus supplement and any related free writing prospectus, and under similar headings in the other documents that are incorporated by reference into this prospectus supplement and accompanying prospectus. You should also carefully read the information incorporated by reference into this prospectus supplement and accompanying prospectus, including our financial statements, and the exhibits to the registration statement of which this prospectus supplement and accompanying prospectus are a part. </w:t>
      </w:r>
    </w:p>
    <w:p>
      <w:pPr>
        <w:pStyle w:val="TextBody"/>
        <w:spacing w:lineRule="auto" w:line="288" w:before="0" w:after="180"/>
        <w:jc w:val="center"/>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SI-BONE, Inc.</w:t>
      </w:r>
    </w:p>
    <w:p>
      <w:pPr>
        <w:pStyle w:val="TextBody"/>
        <w:spacing w:lineRule="auto" w:line="288" w:before="0" w:after="180"/>
        <w:jc w:val="both"/>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Overview</w:t>
      </w:r>
    </w:p>
    <w:p>
      <w:pPr>
        <w:pStyle w:val="TextBody"/>
        <w:spacing w:lineRule="auto" w:line="288" w:before="0" w:after="180"/>
        <w:ind w:left="0" w:right="0" w:firstLine="360"/>
        <w:jc w:val="both"/>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 xml:space="preserve">We are a medical device company dedicated to solving musculoskeletal disorders of the sacropelvic anatomy. Leveraging our knowledge of pelvic anatomy and biomechanics, we have pioneered proprietary minimally invasive surgical implant systems to address sacroiliac joint dysfunction as well as address unmet clinical needs in pelvic fixation and management of pelvic fractures. Our products include a series of patented titanium implants and the instruments used to implant them. Since launching our first generation iFuse in 2009, we have launched three new implant product lines, iFuse-3D in 2017, iFuse-TORQ in 2021 and iFuse Bedrock Granite in 2022. Within the United States, our products have clearances for applications across sacroiliac joint dysfunction and fusion, adult deformity and degeneration, and pelvic trauma. </w:t>
      </w:r>
    </w:p>
    <w:p>
      <w:pPr>
        <w:pStyle w:val="TextBody"/>
        <w:spacing w:lineRule="auto" w:line="288" w:before="0" w:after="180"/>
        <w:ind w:left="0" w:right="0" w:firstLine="450"/>
        <w:jc w:val="both"/>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 xml:space="preserve">We market our products primarily with a direct sales force as well as a number of third-party sales agents and resellers in the U.S., and with a combination of a direct sales force, sales agents and resellers in other countries. As of March 31, 2023, more than 80,000 procedures have been performed by over 3,000 surgeons in the United States and 38 other countries since we introduced iFuse in 2009. </w:t>
      </w:r>
    </w:p>
    <w:p>
      <w:pPr>
        <w:pStyle w:val="TextBody"/>
        <w:spacing w:lineRule="auto" w:line="288" w:before="0" w:after="180"/>
        <w:jc w:val="both"/>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Market Opportunity</w:t>
      </w:r>
    </w:p>
    <w:p>
      <w:pPr>
        <w:pStyle w:val="TextBody"/>
        <w:spacing w:lineRule="auto" w:line="276" w:before="0" w:after="0"/>
        <w:ind w:left="0" w:right="0" w:firstLine="450"/>
        <w:jc w:val="both"/>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As a sacropelvic solutions company, our products have applications across sacroiliac joint dysfunction and degeneration, spinopelvic fixation, and pelvic fractures. We estimate that our total addressable market in the United States includes up to 470,000 annual surgical procedures, representing a revenue opportunity of approximately $3.7 billion.</w:t>
      </w:r>
    </w:p>
    <w:p>
      <w:pPr>
        <w:pStyle w:val="TextBody"/>
        <w:spacing w:before="0" w:after="0"/>
        <w:ind w:left="0" w:right="0" w:firstLine="450"/>
        <w:jc w:val="both"/>
        <w:rPr/>
      </w:pPr>
      <w:r>
        <w:rPr/>
      </w:r>
    </w:p>
    <w:p>
      <w:pPr>
        <w:pStyle w:val="TextBody"/>
        <w:spacing w:lineRule="auto" w:line="288" w:before="0" w:after="180"/>
        <w:jc w:val="both"/>
        <w:rPr>
          <w:rFonts w:ascii="Times New Roman;sans-serif" w:hAnsi="Times New Roman;sans-serif"/>
          <w:b/>
          <w:i/>
          <w:color w:val="000000"/>
          <w:sz w:val="20"/>
          <w:bdr w:val="single" w:sz="8" w:space="36" w:color="000000"/>
        </w:rPr>
      </w:pPr>
      <w:r>
        <w:rPr>
          <w:rFonts w:ascii="Times New Roman;sans-serif" w:hAnsi="Times New Roman;sans-serif"/>
          <w:b/>
          <w:i/>
          <w:color w:val="000000"/>
          <w:sz w:val="20"/>
          <w:bdr w:val="single" w:sz="8" w:space="36" w:color="000000"/>
        </w:rPr>
        <w:t>Sacroiliac Joint Dysfunction and Degeneration</w:t>
      </w:r>
    </w:p>
    <w:p>
      <w:pPr>
        <w:pStyle w:val="TextBody"/>
        <w:spacing w:lineRule="auto" w:line="288" w:before="0" w:after="180"/>
        <w:ind w:left="0" w:right="0" w:firstLine="450"/>
        <w:jc w:val="both"/>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Over 30 million American adults are estimated to have chronic lower back pain. Studies indicate that 15% to 30% of patients with chronic low back pain may have symptoms originating with the sacroiliac joint. Our experience in both clinical trials and commercial settings indicates that at least 30% of these patients may be candidates for surgical treatment with our implants. Based on our market experience and internal estimates, and the assumption that the average person suffering from sacroiliac joint dysfunction has been in pain for five years, we estimate that the potential market for sacroiliac joint fusion in the United States could be approximately 279,000 patients for a potential annual market in the United States of approximately $2.4 billion. Minimally invasive sacroiliac fusion is currently reimbursed by healthcare payors representing more than 300 million covered lives in the U.S.</w:t>
      </w:r>
    </w:p>
    <w:p>
      <w:pPr>
        <w:pStyle w:val="TextBody"/>
        <w:spacing w:lineRule="auto" w:line="288" w:before="0" w:after="180"/>
        <w:ind w:left="0" w:right="0" w:firstLine="450"/>
        <w:jc w:val="both"/>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 xml:space="preserve">Sacroiliac joint patients may have experienced one or more events that have contributed to disruption and/or degeneration of the sacroiliac joint, such as pregnancy, falls, previous lumbar surgery, automobile accidents, and aging, which may cause degeneration of the cushioning in the joint much like other joints. Patients with sacroiliac joint dysfunction frequently experience significant pain simply from sitting, standing, or rolling over in bed. The pain can be exacerbated with activity - when a patient walks or runs. We believe that approximately 65% of people who suffer from sacroiliac pain are women. Although several non-surgical treatments exist for sacroiliac joint pain, including physical therapy, opiates and non-steroidal anti-inflammatory medications, intra-articular injection of </w:t>
      </w:r>
      <w:r>
        <w:br w:type="page"/>
      </w:r>
    </w:p>
    <w:p>
      <w:pPr>
        <w:pStyle w:val="TextBody"/>
        <w:spacing w:before="0" w:after="200"/>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S-1</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steroid medications and radio frequency ablation, these treatments did not provide long-term pain or disability relief in our randomized controlled clinical trials.</w:t>
      </w:r>
    </w:p>
    <w:p>
      <w:pPr>
        <w:pStyle w:val="TextBody"/>
        <w:spacing w:lineRule="auto" w:line="288" w:before="0" w:after="180"/>
        <w:jc w:val="both"/>
        <w:rPr>
          <w:rFonts w:ascii="Times New Roman;sans-serif" w:hAnsi="Times New Roman;sans-serif"/>
          <w:b/>
          <w:i/>
          <w:color w:val="000000"/>
          <w:sz w:val="20"/>
          <w:bdr w:val="single" w:sz="8" w:space="36" w:color="000000"/>
        </w:rPr>
      </w:pPr>
      <w:r>
        <w:rPr>
          <w:rFonts w:ascii="Times New Roman;sans-serif" w:hAnsi="Times New Roman;sans-serif"/>
          <w:b/>
          <w:i/>
          <w:color w:val="000000"/>
          <w:sz w:val="20"/>
          <w:bdr w:val="single" w:sz="8" w:space="36" w:color="000000"/>
        </w:rPr>
        <w:t>Adult Deformity and Degeneration</w:t>
      </w:r>
    </w:p>
    <w:p>
      <w:pPr>
        <w:pStyle w:val="TextBody"/>
        <w:spacing w:lineRule="auto" w:line="288" w:before="0" w:after="180"/>
        <w:ind w:left="0" w:right="0" w:firstLine="446"/>
        <w:jc w:val="both"/>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To strengthen the base of spinal constructs, spine surgeons have been using longer and larger diameter pedicle screws in iliac and sacro-alar iliac trajectories. Third party data has shown that the use of pedicle screws to anchor to the pelvis has delivered sub-optimal patient outcomes resulting in revision surgeries. Acute set screw failure of sacro-alar iliac screws has been reported in approximately 5% of cases. Screw loosening within the sacrum/ilium is another common failure, occurring in 4-27% of cases and screw fracture has been reported in up to 20% of cases. Building on our experience with the Bedrock technique which we introduced in 2019, we introduced iFuse Bedrock Granite, or Granite, a novel, patent-protected device designed for the specific demands of the sacropelvic anatomy at the end of spinal fusion constructs. We believe there are over 30,000 surgeries involving fixation of five or more spinal segments that involve fixation to the pelvis, which we estimate to be an approximately $250 million annual market opportunity.</w:t>
      </w:r>
    </w:p>
    <w:p>
      <w:pPr>
        <w:pStyle w:val="TextBody"/>
        <w:spacing w:lineRule="auto" w:line="288" w:before="0" w:after="180"/>
        <w:ind w:left="0" w:right="0" w:firstLine="450"/>
        <w:jc w:val="both"/>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In addition, we believe that there are approximately 400,000 multilevel thoracolumbar, or spinal, fusion procedures performed in the U.S. each year, of which approximately 100,000 involve the fusion of four or fewer segments and terminate at the sacrum. We have increasingly seen surgeons using Granite in these short-construct procedures, which are generally used to treat degenerative spine conditions. We have not previously targeted this market segment or considered it as part of our addressable market opportunity. However, we have already seen adoption in this segment, and we believe with additions to the Granite product family better targeted to this segment, we can more directly address an approximately $700 million market opportunity.</w:t>
      </w:r>
    </w:p>
    <w:p>
      <w:pPr>
        <w:pStyle w:val="TextBody"/>
        <w:spacing w:lineRule="auto" w:line="288" w:before="0" w:after="180"/>
        <w:jc w:val="both"/>
        <w:rPr>
          <w:rFonts w:ascii="Times New Roman;sans-serif" w:hAnsi="Times New Roman;sans-serif"/>
          <w:b/>
          <w:i/>
          <w:color w:val="000000"/>
          <w:sz w:val="20"/>
          <w:bdr w:val="single" w:sz="8" w:space="36" w:color="000000"/>
        </w:rPr>
      </w:pPr>
      <w:r>
        <w:rPr>
          <w:rFonts w:ascii="Times New Roman;sans-serif" w:hAnsi="Times New Roman;sans-serif"/>
          <w:b/>
          <w:i/>
          <w:color w:val="000000"/>
          <w:sz w:val="20"/>
          <w:bdr w:val="single" w:sz="8" w:space="36" w:color="000000"/>
        </w:rPr>
        <w:t>Pelvic Trauma</w:t>
      </w:r>
    </w:p>
    <w:p>
      <w:pPr>
        <w:pStyle w:val="TextBody"/>
        <w:spacing w:lineRule="auto" w:line="288" w:before="0" w:after="180"/>
        <w:ind w:left="0" w:right="0" w:firstLine="450"/>
        <w:jc w:val="both"/>
        <w:rPr>
          <w:bdr w:val="single" w:sz="8" w:space="36" w:color="000000"/>
        </w:rPr>
      </w:pPr>
      <w:r>
        <w:rPr>
          <w:rFonts w:ascii="Times New Roman;sans-serif" w:hAnsi="Times New Roman;sans-serif"/>
          <w:b w:val="false"/>
          <w:color w:val="000000"/>
          <w:sz w:val="20"/>
          <w:bdr w:val="single" w:sz="8" w:space="36" w:color="000000"/>
        </w:rPr>
        <w:t>Current treatment options for pelvic fragility fractures are sub-optimal. Sacroplasty has high rates of cement leakage and therefore lacks consistent coverage by payors. Traditional trauma screws do not integrate with bone and therefore loosen in more than 20% of the cases in which they are used. As a result, most patients are prescribed bed rest, involving significant capacity and financial burdens on the health care system, and a one-year mortality rate range of 14%-27%. With the introduction of iFuse-TORQ in 2021, we are specifically targeting the pelvic trauma market, which we estimate to be an approximately $350 million market opportunity</w:t>
      </w:r>
      <w:r>
        <w:rPr>
          <w:rFonts w:ascii="Times New Roman;sans-serif" w:hAnsi="Times New Roman;sans-serif"/>
          <w:b w:val="false"/>
          <w:color w:val="008080"/>
          <w:sz w:val="24"/>
          <w:bdr w:val="single" w:sz="8" w:space="36" w:color="000000"/>
        </w:rPr>
        <w:t>.</w:t>
      </w:r>
    </w:p>
    <w:p>
      <w:pPr>
        <w:pStyle w:val="TextBody"/>
        <w:spacing w:lineRule="auto" w:line="288" w:before="0" w:after="180"/>
        <w:jc w:val="both"/>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Our Strategy</w:t>
      </w:r>
    </w:p>
    <w:p>
      <w:pPr>
        <w:pStyle w:val="TextBody"/>
        <w:spacing w:lineRule="auto" w:line="288" w:before="0" w:after="180"/>
        <w:ind w:left="0" w:right="0" w:firstLine="340"/>
        <w:jc w:val="both"/>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Our business objective is to maintain and enhance our leadership position in the area of sacroiliac joint fusion by providing clinically proven products and procedure-related training to promote relief of pain and disability in affected patients. To accomplish this objective, we intend to:</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Continue to educate physicians and other healthcare providers, payors and patients globally about the growing body of evidence supporting the safety, durable clinical effectiveness, economic benefit and reduction in opioid use associated with the iFuse procedure;</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Educate and train the healthcare community on the prevalence, anatomy, diagnosis and treatment options for the sacroiliac joint, including minimally invasive surgical fusion, and work with and support medical societies to increase their education programs teaching the diagnosis of the sacroiliac joint as part of the differential diagnosis of lower back pain;</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Continue to educate spine surgeons on the importance of treatment of the sacroiliac joint and strong pelvic fixation as fundamental aspects of multi-level spinal fusion surgeries, and the role our products can play in these procedures;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Maintain our technological leadership by investing in the creation of new or improved products for surgical treatment of the sacropelvic anatomy, and obtain domestic and international regulatory clearance or approvals to market them in the United States and additional countries;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Continue to grow our existing intellectual property portfolio; and</w:t>
      </w:r>
      <w:r>
        <w:br w:type="page"/>
      </w:r>
    </w:p>
    <w:p>
      <w:pPr>
        <w:pStyle w:val="TextBody"/>
        <w:spacing w:before="0" w:after="200"/>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S-2</w:t>
                      </w:r>
                    </w:p>
                  </w:txbxContent>
                </v:textbox>
              </v:rect>
            </w:pict>
          </mc:Fallback>
        </mc:AlternateConten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Expand our surgical capacity, which includes building instrument tray and implant capacity and expanding our commercial infrastructure through a combination of direct sales force and agent infrastructure to support our large and expanded market opportunity. </w:t>
      </w:r>
    </w:p>
    <w:p>
      <w:pPr>
        <w:pStyle w:val="TextBody"/>
        <w:spacing w:lineRule="auto" w:line="288" w:before="0" w:after="180"/>
        <w:jc w:val="both"/>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 xml:space="preserve">Company History </w:t>
      </w:r>
    </w:p>
    <w:p>
      <w:pPr>
        <w:pStyle w:val="TextBody"/>
        <w:spacing w:lineRule="auto" w:line="288" w:before="0" w:after="180"/>
        <w:ind w:left="0" w:right="0" w:firstLine="450"/>
        <w:jc w:val="both"/>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SI-BONE was founded in 2008 by orthopedist Mark A. Reiley, M.D., the main inventor of iFuse and member of our board of directors, as well as our President, Chief Executive Officer and Chairman, Jeffrey W. Dunn, and orthopedic surgeon Leonard Rudolf, M.D. Dr. Reiley previously invented balloon kyphoplasty and founded Kyphon Inc., which was sold to Medtronic in 2007. He also invented the INBONE total ankle replacement system, which was sold to Wright Medical Technology, Inc. in 2008.</w:t>
      </w:r>
    </w:p>
    <w:p>
      <w:pPr>
        <w:pStyle w:val="TextBody"/>
        <w:spacing w:lineRule="auto" w:line="288" w:before="0" w:after="180"/>
        <w:ind w:left="0" w:right="0" w:firstLine="360"/>
        <w:jc w:val="both"/>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 xml:space="preserve">As of March 31, 2023, we had 334 employees, including sales and marketing, product development, general administrative and accounting, both domestically and internationally. As of March 31, 2023, we had a direct field sales organization of 154 in the United States and 12 in Europe. As of March 31, 2023, we had been issued 52 issued U.S. patents and had 29 pending U.S. patent applications, and we owned 16 issued foreign patents and had 18 pending foreign patent applications. </w:t>
      </w:r>
    </w:p>
    <w:p>
      <w:pPr>
        <w:pStyle w:val="TextBody"/>
        <w:spacing w:lineRule="auto" w:line="288" w:before="0" w:after="180"/>
        <w:jc w:val="both"/>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Risks Associated with our Business</w:t>
      </w:r>
    </w:p>
    <w:p>
      <w:pPr>
        <w:pStyle w:val="TextBody"/>
        <w:spacing w:lineRule="auto" w:line="288" w:before="0" w:after="180"/>
        <w:ind w:left="0" w:right="0" w:firstLine="360"/>
        <w:jc w:val="both"/>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Our business is subject to numerous risks. You should read these risks before you invest in our common stock. In particular, our risks include, but are not limited to, the following:</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We have incurred significant operating losses since inception, we expect to continue to incur operating losses in the future and we may not be able to achieve or sustain future profitability;</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Prolonged inflation and supply chain disruptions could result in delayed product launches, lost revenue, higher costs and decreased profit margins;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Disruptions in the supply of the materials and components used in manufacturing our products or the sterilization of our products by third-party suppliers could adversely affect our business, financial condition and results of operations;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If hospitals, surgeons and other healthcare providers are unable to obtain coverage and sufficient reimbursement from third-party payors for procedures performed using our products, or if payors reverse existing exclusive or non-exclusive coverage policies relating to our products, adoption and use of our products, or the prices paid for our implants, may decline;</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If healthcare payors reverse decisions to cover minimally invasive sacroiliac joint fusion exclusively when performed with iFuse and choose to reimburse for procedures performed with competitive products, our market share could decline, adversely affecting our revenues;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Epidemic diseases, or the perception of their effects, may continue to adversely affect our business, financial condition, results of operations, or cash flows;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We may not be able to convince physicians that iFuse is an attractive alternative to our competitors’ products and that our procedure is an attractive alternative to existing surgical and non-surgical treatments of the sacroiliac joint;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Surgeons and payors may not find our clinical evidence to be compelling, which could limit our sales revenue, and ongoing and future research may prove our products to be less safe and effective than initially anticipated; and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Pricing pressure from our competitors, changes in third-party coverage and reimbursement, healthcare provider consolidation, payor consolidation and the presence of “physician-owned distributorships” may impact our ability to sell our product at prices necessary to support our current business strategies.</w:t>
      </w:r>
      <w:r>
        <w:br w:type="page"/>
      </w:r>
    </w:p>
    <w:p>
      <w:pPr>
        <w:pStyle w:val="TextBody"/>
        <w:spacing w:before="0" w:after="200"/>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S-3</w:t>
                      </w:r>
                    </w:p>
                  </w:txbxContent>
                </v:textbox>
              </v:rect>
            </w:pict>
          </mc:Fallback>
        </mc:AlternateContent>
      </w:r>
    </w:p>
    <w:p>
      <w:pPr>
        <w:pStyle w:val="TextBody"/>
        <w:spacing w:lineRule="auto" w:line="288" w:before="0" w:after="180"/>
        <w:jc w:val="both"/>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Corporate Information</w:t>
      </w:r>
    </w:p>
    <w:p>
      <w:pPr>
        <w:pStyle w:val="TextBody"/>
        <w:spacing w:lineRule="auto" w:line="288" w:before="0" w:after="180"/>
        <w:ind w:left="0" w:right="0" w:firstLine="450"/>
        <w:jc w:val="both"/>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We were incorporated in March 2008 in Delaware. We completed the initial public offering of our common stock in October 2018. Our principal executive offices are located at 471 El Camino Real, Suite 101, Santa Clara, California 95050 and our telephone number is (408) 207-0700. Our website address is www.si-bone.com. The information on, or that can be accessed through, our website is not part of this prospectus supplement or accompanying prospectus. We have included our website address as an inactive textual reference only.</w:t>
      </w:r>
    </w:p>
    <w:p>
      <w:pPr>
        <w:pStyle w:val="TextBody"/>
        <w:spacing w:lineRule="auto" w:line="288" w:before="0" w:after="180"/>
        <w:ind w:left="0" w:right="0" w:firstLine="360"/>
        <w:jc w:val="both"/>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 xml:space="preserve">Our common stock is currently listed on the Nasdaq Global Market under the symbol “SIBN.” </w:t>
      </w:r>
    </w:p>
    <w:p>
      <w:pPr>
        <w:pStyle w:val="TextBody"/>
        <w:spacing w:lineRule="auto" w:line="288" w:before="0" w:after="180"/>
        <w:jc w:val="center"/>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The Offering</w:t>
      </w:r>
    </w:p>
    <w:tbl>
      <w:tblPr>
        <w:tblW w:w="10205" w:type="dxa"/>
        <w:jc w:val="center"/>
        <w:tblInd w:w="0" w:type="dxa"/>
        <w:tblCellMar>
          <w:top w:w="28" w:type="dxa"/>
          <w:left w:w="28" w:type="dxa"/>
          <w:bottom w:w="28" w:type="dxa"/>
          <w:right w:w="28" w:type="dxa"/>
        </w:tblCellMar>
      </w:tblPr>
      <w:tblGrid>
        <w:gridCol w:w="760"/>
        <w:gridCol w:w="462"/>
        <w:gridCol w:w="465"/>
        <w:gridCol w:w="2647"/>
        <w:gridCol w:w="2425"/>
        <w:gridCol w:w="3446"/>
      </w:tblGrid>
      <w:tr>
        <w:trPr/>
        <w:tc>
          <w:tcPr>
            <w:tcW w:w="760" w:type="dxa"/>
            <w:tcBorders/>
            <w:shd w:fill="auto" w:val="clear"/>
            <w:vAlign w:val="center"/>
          </w:tcPr>
          <w:p>
            <w:pPr>
              <w:pStyle w:val="TableContents"/>
              <w:spacing w:before="0" w:after="283"/>
              <w:rPr>
                <w:sz w:val="4"/>
                <w:szCs w:val="4"/>
              </w:rPr>
            </w:pPr>
            <w:r>
              <w:rPr>
                <w:sz w:val="4"/>
                <w:szCs w:val="4"/>
              </w:rPr>
            </w:r>
          </w:p>
        </w:tc>
        <w:tc>
          <w:tcPr>
            <w:tcW w:w="462" w:type="dxa"/>
            <w:tcBorders/>
            <w:shd w:fill="auto" w:val="clear"/>
            <w:vAlign w:val="center"/>
          </w:tcPr>
          <w:p>
            <w:pPr>
              <w:pStyle w:val="TableContents"/>
              <w:spacing w:before="0" w:after="283"/>
              <w:rPr>
                <w:sz w:val="4"/>
                <w:szCs w:val="4"/>
              </w:rPr>
            </w:pPr>
            <w:r>
              <w:rPr>
                <w:sz w:val="4"/>
                <w:szCs w:val="4"/>
              </w:rPr>
            </w:r>
          </w:p>
        </w:tc>
        <w:tc>
          <w:tcPr>
            <w:tcW w:w="465" w:type="dxa"/>
            <w:tcBorders/>
            <w:shd w:fill="auto" w:val="clear"/>
            <w:vAlign w:val="center"/>
          </w:tcPr>
          <w:p>
            <w:pPr>
              <w:pStyle w:val="TableContents"/>
              <w:spacing w:before="0" w:after="283"/>
              <w:rPr>
                <w:sz w:val="4"/>
                <w:szCs w:val="4"/>
              </w:rPr>
            </w:pPr>
            <w:r>
              <w:rPr>
                <w:sz w:val="4"/>
                <w:szCs w:val="4"/>
              </w:rPr>
            </w:r>
          </w:p>
        </w:tc>
        <w:tc>
          <w:tcPr>
            <w:tcW w:w="2647" w:type="dxa"/>
            <w:tcBorders/>
            <w:shd w:fill="auto" w:val="clear"/>
            <w:vAlign w:val="center"/>
          </w:tcPr>
          <w:p>
            <w:pPr>
              <w:pStyle w:val="TableContents"/>
              <w:spacing w:before="0" w:after="283"/>
              <w:rPr>
                <w:sz w:val="4"/>
                <w:szCs w:val="4"/>
              </w:rPr>
            </w:pPr>
            <w:r>
              <w:rPr>
                <w:sz w:val="4"/>
                <w:szCs w:val="4"/>
              </w:rPr>
            </w:r>
          </w:p>
        </w:tc>
        <w:tc>
          <w:tcPr>
            <w:tcW w:w="2425" w:type="dxa"/>
            <w:tcBorders/>
            <w:shd w:fill="auto" w:val="clear"/>
            <w:vAlign w:val="center"/>
          </w:tcPr>
          <w:p>
            <w:pPr>
              <w:pStyle w:val="TableContents"/>
              <w:spacing w:before="0" w:after="283"/>
              <w:rPr>
                <w:sz w:val="4"/>
                <w:szCs w:val="4"/>
              </w:rPr>
            </w:pPr>
            <w:r>
              <w:rPr>
                <w:sz w:val="4"/>
                <w:szCs w:val="4"/>
              </w:rPr>
            </w:r>
          </w:p>
        </w:tc>
        <w:tc>
          <w:tcPr>
            <w:tcW w:w="3446" w:type="dxa"/>
            <w:tcBorders/>
            <w:shd w:fill="auto" w:val="clear"/>
            <w:vAlign w:val="center"/>
          </w:tcPr>
          <w:p>
            <w:pPr>
              <w:pStyle w:val="TableContents"/>
              <w:spacing w:before="0" w:after="283"/>
              <w:rPr>
                <w:sz w:val="4"/>
                <w:szCs w:val="4"/>
              </w:rPr>
            </w:pPr>
            <w:r>
              <w:rPr>
                <w:sz w:val="4"/>
                <w:szCs w:val="4"/>
              </w:rPr>
            </w:r>
          </w:p>
        </w:tc>
      </w:tr>
      <w:tr>
        <w:trPr/>
        <w:tc>
          <w:tcPr>
            <w:tcW w:w="168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offered by us</w:t>
            </w:r>
          </w:p>
        </w:tc>
        <w:tc>
          <w:tcPr>
            <w:tcW w:w="8518"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3,502,247 shares (4,068,497 shares of common stock if the underwriters exercise their option to purchase additional shares in full).</w:t>
            </w:r>
          </w:p>
        </w:tc>
      </w:tr>
      <w:tr>
        <w:trPr/>
        <w:tc>
          <w:tcPr>
            <w:tcW w:w="16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Common stock offered by the selling stockholder </w:t>
            </w:r>
          </w:p>
        </w:tc>
        <w:tc>
          <w:tcPr>
            <w:tcW w:w="8518"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272,753 shares of common stock.</w:t>
            </w:r>
          </w:p>
        </w:tc>
      </w:tr>
      <w:tr>
        <w:trPr/>
        <w:tc>
          <w:tcPr>
            <w:tcW w:w="16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to be outstanding immediately after this offering</w:t>
            </w:r>
          </w:p>
        </w:tc>
        <w:tc>
          <w:tcPr>
            <w:tcW w:w="8518"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38,881,163 shares of common stock (or 39,447,413 shares if the underwriters exercise in full their option to purchase additional shares of common stock from us), including the 272,753 shares of common stock to be issued to the selling stockholder and sold in this offering upon exercise of a stock option held by selling stockholder.</w:t>
            </w:r>
          </w:p>
        </w:tc>
      </w:tr>
      <w:tr>
        <w:trPr/>
        <w:tc>
          <w:tcPr>
            <w:tcW w:w="168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518"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 </w:t>
            </w:r>
          </w:p>
        </w:tc>
      </w:tr>
      <w:tr>
        <w:trPr/>
        <w:tc>
          <w:tcPr>
            <w:tcW w:w="168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 to purchase additional common stock</w:t>
            </w:r>
          </w:p>
        </w:tc>
        <w:tc>
          <w:tcPr>
            <w:tcW w:w="8518"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granted the underwriters an option for a period of 30 days from the date of this prospectus supplement to purchase up to 566,250 of additional shares of common stock.</w:t>
            </w:r>
          </w:p>
        </w:tc>
      </w:tr>
      <w:tr>
        <w:trPr/>
        <w:tc>
          <w:tcPr>
            <w:tcW w:w="16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 of proceeds</w:t>
            </w:r>
          </w:p>
        </w:tc>
        <w:tc>
          <w:tcPr>
            <w:tcW w:w="8518" w:type="dxa"/>
            <w:gridSpan w:val="3"/>
            <w:tcBorders/>
            <w:shd w:fill="auto" w:val="clear"/>
            <w:tcMar>
              <w:top w:w="0" w:type="dxa"/>
              <w:left w:w="0" w:type="dxa"/>
              <w:bottom w:w="0" w:type="dxa"/>
              <w:right w:w="0" w:type="dxa"/>
            </w:tcMar>
            <w:vAlign w:val="center"/>
          </w:tcPr>
          <w:p>
            <w:pPr>
              <w:pStyle w:val="TableContents"/>
              <w:spacing w:lineRule="auto" w:line="240"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estimate that the net proceeds to us from this offering, after deducting estimated underwriting discounts and commissions and estimated offering expenses payable by us, will be $ million (or $ million if the underwriters exercise in full their option to purchase additional shares of common stock from us). We will not receive any net proceeds from this offering from the sales of common stock by the selling stockholder.</w:t>
            </w:r>
          </w:p>
          <w:p>
            <w:pPr>
              <w:pStyle w:val="TableContents"/>
              <w:spacing w:lineRule="auto" w:line="240" w:before="0" w:after="0"/>
              <w:jc w:val="both"/>
              <w:rPr/>
            </w:pPr>
            <w:r>
              <w:rPr>
                <w:rFonts w:ascii="Times New Roman;sans-serif" w:hAnsi="Times New Roman;sans-serif"/>
                <w:b w:val="false"/>
                <w:color w:val="000000"/>
                <w:sz w:val="20"/>
              </w:rPr>
              <w:t xml:space="preserve">We currently intend to use the net proceeds from this offering to invest in product innovation, clinical evidence and build implants and surgical instrument systems with uses and indications closely related to our current product portfolio and allowing us to address additional market opportunities; support our continued commercial expansion; as well as working capital and general corporate purposes. We may also use a portion of our net proceeds to acquire or invest in complementary products, technologies, or businesses; however, we currently have no agreements or commitments to complete any such transactions. See “Use of Proceeds” on page </w:t>
            </w:r>
            <w:hyperlink w:anchor="ib669fbd98dd54195a8eb6e4f21f5f7c2_19">
              <w:r>
                <w:rPr>
                  <w:rStyle w:val="InternetLink"/>
                </w:rPr>
                <w:t>S-</w:t>
              </w:r>
            </w:hyperlink>
            <w:hyperlink w:anchor="ib669fbd98dd54195a8eb6e4f21f5f7c2_19">
              <w:r>
                <w:rPr>
                  <w:rStyle w:val="InternetLink"/>
                </w:rPr>
                <w:t>10</w:t>
              </w:r>
            </w:hyperlink>
            <w:r>
              <w:rPr>
                <w:color w:val="000000"/>
              </w:rPr>
              <w:t xml:space="preserve"> </w:t>
            </w:r>
            <w:r>
              <w:rPr>
                <w:rFonts w:ascii="Times New Roman;sans-serif" w:hAnsi="Times New Roman;sans-serif"/>
                <w:b w:val="false"/>
                <w:color w:val="000000"/>
                <w:sz w:val="20"/>
              </w:rPr>
              <w:t>of this prospectus supplement.</w:t>
            </w:r>
          </w:p>
        </w:tc>
      </w:tr>
      <w:tr>
        <w:trPr/>
        <w:tc>
          <w:tcPr>
            <w:tcW w:w="16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Risk factors</w:t>
            </w:r>
          </w:p>
        </w:tc>
        <w:tc>
          <w:tcPr>
            <w:tcW w:w="851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See “Risk Factors” and the other information included in this prospectus supplement and accompanying prospectus for a discussion of factors you should consider carefully before deciding to invest in our common stock.</w:t>
            </w:r>
          </w:p>
        </w:tc>
      </w:tr>
      <w:tr>
        <w:trPr/>
        <w:tc>
          <w:tcPr>
            <w:tcW w:w="16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Nasdaq Global Market trading symbol</w:t>
            </w:r>
          </w:p>
        </w:tc>
        <w:tc>
          <w:tcPr>
            <w:tcW w:w="851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r>
              <w:rPr>
                <w:rFonts w:ascii="Times New Roman;sans-serif" w:hAnsi="Times New Roman;sans-serif"/>
                <w:b w:val="false"/>
                <w:color w:val="000000"/>
                <w:sz w:val="20"/>
              </w:rPr>
              <w:t>SIBN”.</w:t>
            </w:r>
          </w:p>
        </w:tc>
      </w:tr>
    </w:tbl>
    <w:p>
      <w:pPr>
        <w:pStyle w:val="TextBody"/>
        <w:spacing w:lineRule="auto" w:line="288" w:before="0" w:after="180"/>
        <w:ind w:left="0" w:right="0" w:firstLine="360"/>
        <w:jc w:val="both"/>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 xml:space="preserve">The number of shares of common stock to be outstanding after the offering is based on 35,106,163 shares outstanding as of March 31, 2023, and excludes: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1,495,038</w:t>
      </w:r>
      <w:r>
        <w:rPr>
          <w:color w:val="000000"/>
        </w:rPr>
        <w:t xml:space="preserve"> </w:t>
      </w:r>
      <w:r>
        <w:rPr>
          <w:rFonts w:ascii="Times New Roman;sans-serif" w:hAnsi="Times New Roman;sans-serif"/>
          <w:b w:val="false"/>
          <w:color w:val="000000"/>
          <w:sz w:val="20"/>
        </w:rPr>
        <w:t>shares of common stock underlying options outstanding at a weighted average exercise price of $11.47</w:t>
      </w:r>
      <w:r>
        <w:rPr>
          <w:color w:val="000000"/>
        </w:rPr>
        <w:t xml:space="preserve"> </w:t>
      </w:r>
      <w:r>
        <w:rPr>
          <w:rFonts w:ascii="Times New Roman;sans-serif" w:hAnsi="Times New Roman;sans-serif"/>
          <w:b w:val="false"/>
          <w:color w:val="000000"/>
          <w:sz w:val="20"/>
        </w:rPr>
        <w:t>per share;</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2,524,777</w:t>
      </w:r>
      <w:r>
        <w:rPr>
          <w:color w:val="000000"/>
        </w:rPr>
        <w:t xml:space="preserve"> </w:t>
      </w:r>
      <w:r>
        <w:rPr>
          <w:rFonts w:ascii="Times New Roman;sans-serif" w:hAnsi="Times New Roman;sans-serif"/>
          <w:b w:val="false"/>
          <w:color w:val="000000"/>
          <w:sz w:val="20"/>
        </w:rPr>
        <w:t>shares of common stock underlying restricted stock units outstanding;</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385,122 shares of common stock underlying performance-based restricted stock units outstanding;</w:t>
      </w:r>
      <w:r>
        <w:br w:type="page"/>
      </w:r>
    </w:p>
    <w:p>
      <w:pPr>
        <w:pStyle w:val="TextBody"/>
        <w:spacing w:before="0" w:after="200"/>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S-4</w:t>
                      </w:r>
                    </w:p>
                  </w:txbxContent>
                </v:textbox>
              </v:rect>
            </w:pict>
          </mc:Fallback>
        </mc:AlternateConten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118,122</w:t>
      </w:r>
      <w:r>
        <w:rPr>
          <w:color w:val="000000"/>
        </w:rPr>
        <w:t xml:space="preserve"> </w:t>
      </w:r>
      <w:r>
        <w:rPr>
          <w:rFonts w:ascii="Times New Roman;sans-serif" w:hAnsi="Times New Roman;sans-serif"/>
          <w:b w:val="false"/>
          <w:color w:val="000000"/>
          <w:sz w:val="20"/>
        </w:rPr>
        <w:t>shares of common stock underlying warrants outstanding at a weighted average exercise price of $13.76</w:t>
      </w:r>
      <w:r>
        <w:rPr>
          <w:color w:val="000000"/>
        </w:rPr>
        <w:t xml:space="preserve"> </w:t>
      </w:r>
      <w:r>
        <w:rPr>
          <w:rFonts w:ascii="Times New Roman;sans-serif" w:hAnsi="Times New Roman;sans-serif"/>
          <w:b w:val="false"/>
          <w:color w:val="000000"/>
          <w:sz w:val="20"/>
        </w:rPr>
        <w:t>per share; and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5,617,659 shares of common stock available for future grant under our equity incentive plans, including our employee stock purchase plan.</w:t>
      </w:r>
    </w:p>
    <w:p>
      <w:pPr>
        <w:pStyle w:val="TextBody"/>
        <w:spacing w:lineRule="auto" w:line="288" w:before="0" w:after="180"/>
        <w:ind w:left="0" w:right="0" w:firstLine="360"/>
        <w:jc w:val="both"/>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 xml:space="preserve">Unless otherwise indicated, all information in this prospectus supplement assumes: </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 xml:space="preserve">No exercise of outstanding options and warrants other than the exercise by the selling stockholder of an option to purchase the 272,753 shares of common stock to be sold by the selling stockholder in this offering; </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No vesting of outstanding restricted stock units;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No exercise by the underwriters of their option to purchase up additional shares of our common stock.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200"/>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S-5</w:t>
                      </w:r>
                    </w:p>
                  </w:txbxContent>
                </v:textbox>
              </v:rect>
            </w:pict>
          </mc:Fallback>
        </mc:AlternateConten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RISK FACTORS</w:t>
      </w:r>
    </w:p>
    <w:p>
      <w:pPr>
        <w:pStyle w:val="TextBody"/>
        <w:spacing w:lineRule="auto" w:line="288" w:before="0" w:after="18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Investing in our common stock involves a high degree of risk. You should carefully consider the risk factors described below and the risk factors incorporated by reference from our Quarterly Report on Form 10-Q for the quarterly period ended March 31, 2023, and all other information contained or incorporated by reference in this prospectus supplement and accompanying prospectus, including our financial statements and the related notes, as may be updated by our subsequent filings under the Securities Exchange Act of 1934, as amended (“Exchange Act”) and in any free writing prospectus that we have authorized for use in connection with this offering before acquiring shares of our common stock. These risks could have a material and adverse impact on our business, results of operations, financial condition and growth prospects, which may cause the trading price of our common stock to decline and you could lose all or part of your investment.</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Risks related to this offering and the ownership of our common stock</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Management will have broad discretion as to the use of the proceeds from this offering, and we may not use the proceeds effectively.</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cannot specify with certainty the particular uses of the net proceeds we will receive from this offering. Our management will have broad discretion in the application of the net proceeds from this offering, and could spend the proceeds in ways that do not improve our results of operations or enhance the value of our common stock. Our failure to apply these funds effectively could have a material adverse effect on our business and cause the price of our common stock to decline.</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 xml:space="preserve">If you purchase shares of common stock in this offering, you will experience immediate dilution in your investment. You will experience further dilution if we issue additional equity securities in future fundraising transactions. </w:t>
      </w:r>
    </w:p>
    <w:p>
      <w:pPr>
        <w:pStyle w:val="TextBody"/>
        <w:spacing w:lineRule="auto" w:line="28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Purchasers of common stock in this offering will pay a price per share in this offering that exceeds the net tangible book value per share of our common stock. Assuming that an aggregate of 3,502,247 shares of common stock are being sold by us at a public offering price of $ per share for aggregate net proceeds to us of approximately $ million and after deducting underwriting discounts and commissions and estimated offering expenses payable by us, if you purchase shares of our common stock in this offering, you will experience immediate dilution of $ per share, representing the difference between the public offering price and our as adjusted net tangible book value per share as of March 31, 2023, after giving effect to this offering. See the section below titled “Dilution” for a more detailed illustration of the dilution you would incur if you purchase common stock in this offering.</w:t>
      </w:r>
    </w:p>
    <w:p>
      <w:pPr>
        <w:pStyle w:val="TextBody"/>
        <w:spacing w:before="0" w:after="0"/>
        <w:ind w:left="0" w:right="0" w:firstLine="360"/>
        <w:rPr/>
      </w:pPr>
      <w:r>
        <w:rPr/>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You may experience further dilution if we issue additional equity securities in future fundraising transactions.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To raise additional capital, we may in the future offer additional shares of our common stock or other securities convertible into or exchangeable for our common stock at prices that may not be the same as the price per share in this offering. We may sell shares or other securities in any other offering at a price per share that is less than the price per share paid by investors in this offering, and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investors in this offering. Further, we have a significant number of stock options, restricted stock units and performance-based restricted stock units outstanding. The exercise of outstanding stock options or vesting of restricted stock units and performance-based restricted stock units may result in further dilution of your investment.</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Because we have no current plans to pay cash dividends on our common stock, you may not receive any return on your investment unless you sell your common stock for a price greater than that which you paid for it.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no current plans to pay cash dividends on our common stock. The declaration, amount, and payment of any future dividends will be at the sole discretion of our board of directors. Our board of directors may take into account general and economic conditions, our financial condition and results of operations, our available cash and </w:t>
      </w:r>
      <w:r>
        <w:br w:type="page"/>
      </w:r>
    </w:p>
    <w:p>
      <w:pPr>
        <w:pStyle w:val="TextBody"/>
        <w:spacing w:before="0" w:after="200"/>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S-6</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current and anticipated cash needs, capital requirements, contractual, legal, tax and regulatory restrictions and other such factors as our board of directors may deem relevant.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200"/>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S-7</w:t>
                      </w:r>
                    </w:p>
                  </w:txbxContent>
                </v:textbox>
              </v:rect>
            </w:pict>
          </mc:Fallback>
        </mc:AlternateConten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SPECIAL NOTE REGARDING FORWARD-LOOKING STATEMENTS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prospectus supplement and accompanying prospectus and the documents we have filed with the SEC that are incorporated by reference contain “forward-looking statements” within the meaning of Section 27A of the Securities Act of 1933, as amended, or the Securities Act, and Section 21E of the Securities Exchange Act of 1934, or the Exchange Act. These statements relate to future events or to our future operating or financial performance and involve known and unknown risks, uncertainties and other factors which may cause our actual results, performance or achievements to be materially different from any future results, performances or achievements expressed or implied by the forward-looking statements. Forward-looking statements may include, but are not limited to, statements about:</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our ability to continue to diversify our product mix, including identification of new opportunities and access the capital required to fund adequate new inventory of instruments and implants to address these opportunities;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our expectation that a significant portion of our revenues will be derived from sales from a small family of products and a single family of procedures;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our ability to develop and commercialize additional revenue opportunities, including new indications for use and new devices;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our ability to retain and grow our sales team based on the demand for our products;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our ability to identify, train, and retain surgeons to perform procedures using our products;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our ability to obtain and maintain favorable coverage and reimbursement determinations from third-party payors;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our estimates of our market opportunities;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our expectations regarding the scope of protection from intellectual property rights covering our products;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developments or disputes concerning our intellectual property or other proprietary rights;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timing of and results from clinical and other trials;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marketing clearances and authorization from the FDA and regulators in other jurisdictions;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timing of regulatory filings and feedback;</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competition in the markets we serve;</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our expectations of the reliability and performance of our products;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our expectations of the benefits to patients, providers, and payors of our products;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factors impacting the supply chains we rely on, including the availability of raw materials and skilled labor serving our suppliers, and the cost of these factors of production which may in turn impact the prices we pay for our devices;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our reliance on a limited number of suppliers, including sole source suppliers, which may impact the availability of instruments and materials;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our ability to sustain or increase demand for our products;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our estimates regarding our costs and risks associated with our international operations and expansion;</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our expectations regarding our ability to retain and recruit key personnel;</w:t>
      </w:r>
      <w:r>
        <w:br w:type="page"/>
      </w:r>
    </w:p>
    <w:p>
      <w:pPr>
        <w:pStyle w:val="TextBody"/>
        <w:spacing w:before="0" w:after="200"/>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S-8</w:t>
                      </w:r>
                    </w:p>
                  </w:txbxContent>
                </v:textbox>
              </v:rect>
            </w:pict>
          </mc:Fallback>
        </mc:AlternateConten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our ability to attract and retain employees, including those with specialized skills and experience;</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our ability to successfully manage the supply chain and operational challenges, as well as governmental responses or mandates, associated with a disease outbreak, including epidemics, pandemics or similar widespread public health concerns;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continuing impact of COVID-19 or other disease outbreaks on the demand for, and timing of, our procedures;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our ability to attract and retain a force of third party sales agents who sell our products in the U.S;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our expectations regarding acquisitions and strategic operations;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our ability to access capital markets;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our ability to fund our working capital requirements;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our compliance with, and the cost of, federal, state, and foreign regulatory requirements;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factors that may impact our financial results; and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anticipated trends and challenges in our business and the markets in which we operate.</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some cases, you can identify forward-looking statements by terms such as “may,” “will,” “should,” “could,” “would,” “expects,” “plans,” “anticipates,” “believes,” “estimates,” “projects,” “predicts,” “potential” and similar expressions intended to identify forward-looking statements. These statements reflect our current views with respect to future events and are based on assumptions and are subject to risks and uncertainties. Given these uncertainties, you should not place undue reliance on these forward-looking statements. We discuss in greater detail many of these risks under the heading “Risk Factors” contained in this prospectus supplement, in any free writing prospectuses we may authorize for use in connection with this offering, and in our Quarterly Report on Form 10-Q for the quarter ended March 31, 2023, which are incorporated by reference into this prospectus supplement and accompanying prospectus in their entirety. Also, these forward-looking statements represent our estimates and assumptions only as of the date of the document containing the applicable statement. Unless required by law, we undertake no obligation to update or revise any forward-looking statements to reflect new information or future events or developments. Thus, you should not assume that our silence over time means that actual events are bearing out as expressed or implied in such forward-looking statements. You should read this prospectus supplement and accompanying prospectus together with the documents we have filed with the SEC that are incorporated by reference and any free writing prospectus that we may authorize for use in connection with this offering completely and with the understanding that our actual future results may be materially different from what we expect. We qualify all of the forward-looking statements in the foregoing documents by these cautionary statements.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statements that “we believe” and similar statements reflect our beliefs and opinions on the relevant subject. These statements are based upon information available to us as of the date of this prospectus supplement,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200"/>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S-9</w:t>
                      </w:r>
                    </w:p>
                  </w:txbxContent>
                </v:textbox>
              </v:rect>
            </w:pict>
          </mc:Fallback>
        </mc:AlternateContent>
      </w:r>
    </w:p>
    <w:p>
      <w:pPr>
        <w:pStyle w:val="TextBody"/>
        <w:spacing w:lineRule="auto" w:line="331" w:before="0" w:after="180"/>
        <w:jc w:val="center"/>
        <w:rPr>
          <w:rFonts w:ascii="Times New Roman;sans-serif" w:hAnsi="Times New Roman;sans-serif"/>
          <w:b/>
          <w:color w:val="000000"/>
          <w:sz w:val="20"/>
        </w:rPr>
      </w:pPr>
      <w:r>
        <w:rPr>
          <w:rFonts w:ascii="Times New Roman;sans-serif" w:hAnsi="Times New Roman;sans-serif"/>
          <w:b/>
          <w:color w:val="000000"/>
          <w:sz w:val="20"/>
        </w:rPr>
        <w:t>USE OF PROCEEDS</w:t>
      </w:r>
    </w:p>
    <w:p>
      <w:pPr>
        <w:pStyle w:val="TextBody"/>
        <w:spacing w:lineRule="auto" w:line="26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estimate that we will receive net proceeds from the sale of common stock by us in this offering of approximately $ million, after deducting underwriting discounts and commissions and estimated offering expenses payable by us. If the underwriters exercise in full their option to purchase additional common stock from us, we estimate that the net proceeds to us will be approximately $ million, after deducting underwriting discounts and commissions and estimated offering expenses payable by us. We will not receive any proceeds from this offering from the sales of common stock by the selling stockholder.</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intend to use the net proceeds from this offering to invest in product innovation, clinical evidence and build implants and surgical instrument systems with uses and indications closely related to our current product portfolio and allowing us to address additional market opportunities; support our continued commercial expansion; as well as working capital and general corporate purposes. We may also use a portion of our net proceeds to acquire or invest in complementary products, technologies, or businesses; however, we currently have no agreements or commitments to complete any such transactions.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Pending their use, we plan to invest the net proceeds from this offering in short- and intermediate-term, interest-bearing obligations, investment-grade instruments, certificates of deposit or direct or guaranteed obligations of the U.S. government.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200"/>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S-10</w:t>
                      </w:r>
                    </w:p>
                  </w:txbxContent>
                </v:textbox>
              </v:rect>
            </w:pict>
          </mc:Fallback>
        </mc:AlternateConten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CAPITALIZATION</w:t>
      </w:r>
    </w:p>
    <w:p>
      <w:pPr>
        <w:pStyle w:val="TextBody"/>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our cash, cash equivalents and investments, long-term borrowings and capitalization as of March 31, 2023:</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on an actual basis; and</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 xml:space="preserve">on an as adjusted basis to give effect to the sale by us of 3,502,247 shares of our common stock in this offering at a public offering price of $ per share, after deducting the underwriting discount and estimated offering expenses payable by us as described under "Use of Proceeds," and the exercise by the selling stockholder of an option to purchase the 272,753 shares of common stock to be sold by the selling stockholder in this offering. </w:t>
      </w:r>
    </w:p>
    <w:p>
      <w:pPr>
        <w:pStyle w:val="TextBody"/>
        <w:spacing w:before="0" w:after="0"/>
        <w:rPr/>
      </w:pPr>
      <w:r>
        <w:rPr/>
      </w:r>
    </w:p>
    <w:p>
      <w:pPr>
        <w:pStyle w:val="TextBody"/>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You should read the data set forth in the table below in conjunction with (a) our consolidated financial statements, including the related notes, and “Management’s Discussion and Analysis of Financial Condition and Results of Operations” from our Annual Report on Form 10-K for the fiscal year ended December 31, 2022, and (b) our condensed consolidated financial statements, including the related notes, and “Management’s Discussion and Analysis of Financial Condition and Results of Operations” from our Quarterly Report on Form 10-Q for the quarterly period ended March 31, 2023, which are incorporated by reference into this prospectus supplement and accompanying prospectus. </w:t>
      </w:r>
    </w:p>
    <w:tbl>
      <w:tblPr>
        <w:tblW w:w="10205" w:type="dxa"/>
        <w:jc w:val="left"/>
        <w:tblInd w:w="0" w:type="dxa"/>
        <w:tblCellMar>
          <w:top w:w="28" w:type="dxa"/>
          <w:left w:w="28" w:type="dxa"/>
          <w:bottom w:w="28" w:type="dxa"/>
          <w:right w:w="28" w:type="dxa"/>
        </w:tblCellMar>
      </w:tblPr>
      <w:tblGrid>
        <w:gridCol w:w="2937"/>
        <w:gridCol w:w="2425"/>
        <w:gridCol w:w="2435"/>
        <w:gridCol w:w="211"/>
        <w:gridCol w:w="826"/>
        <w:gridCol w:w="109"/>
        <w:gridCol w:w="109"/>
        <w:gridCol w:w="109"/>
        <w:gridCol w:w="109"/>
        <w:gridCol w:w="273"/>
        <w:gridCol w:w="273"/>
        <w:gridCol w:w="389"/>
      </w:tblGrid>
      <w:tr>
        <w:trPr/>
        <w:tc>
          <w:tcPr>
            <w:tcW w:w="2937" w:type="dxa"/>
            <w:tcBorders/>
            <w:shd w:fill="auto" w:val="clear"/>
            <w:vAlign w:val="center"/>
          </w:tcPr>
          <w:p>
            <w:pPr>
              <w:pStyle w:val="TableContents"/>
              <w:spacing w:before="0" w:after="283"/>
              <w:rPr>
                <w:sz w:val="4"/>
                <w:szCs w:val="4"/>
              </w:rPr>
            </w:pPr>
            <w:r>
              <w:rPr>
                <w:sz w:val="4"/>
                <w:szCs w:val="4"/>
              </w:rPr>
            </w:r>
          </w:p>
        </w:tc>
        <w:tc>
          <w:tcPr>
            <w:tcW w:w="2425" w:type="dxa"/>
            <w:tcBorders/>
            <w:shd w:fill="auto" w:val="clear"/>
            <w:vAlign w:val="center"/>
          </w:tcPr>
          <w:p>
            <w:pPr>
              <w:pStyle w:val="TableContents"/>
              <w:spacing w:before="0" w:after="283"/>
              <w:rPr>
                <w:sz w:val="4"/>
                <w:szCs w:val="4"/>
              </w:rPr>
            </w:pPr>
            <w:r>
              <w:rPr>
                <w:sz w:val="4"/>
                <w:szCs w:val="4"/>
              </w:rPr>
            </w:r>
          </w:p>
        </w:tc>
        <w:tc>
          <w:tcPr>
            <w:tcW w:w="243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r>
      <w:tr>
        <w:trPr/>
        <w:tc>
          <w:tcPr>
            <w:tcW w:w="77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408"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As of March 31, 2023</w:t>
            </w:r>
          </w:p>
        </w:tc>
      </w:tr>
      <w:tr>
        <w:trPr/>
        <w:tc>
          <w:tcPr>
            <w:tcW w:w="77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(In thousands, except share and per share amounts) </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Actual</w:t>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9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As Adjusted </w:t>
            </w:r>
          </w:p>
        </w:tc>
      </w:tr>
      <w:tr>
        <w:trPr/>
        <w:tc>
          <w:tcPr>
            <w:tcW w:w="77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investments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7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7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borrowings</w:t>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35,938 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79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Stockholders’ equity:</w:t>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$0.0001 par value, 5,000,000 shares authorized; 0 shares issued and outstanding, actual and as adjusted</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9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$0.0001 par value, 100,000,000 shares authorized; 35,106,163 shares issued and outstanding, actual, 38,881,163 shares issued and outstanding as adjusted</w:t>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461,886 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w:t>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Accumulated deficit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(368,230)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Total stockholders' equity</w:t>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93,959 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3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7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7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Total capitalization</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129,897 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35" w:type="dxa"/>
            <w:gridSpan w:val="3"/>
            <w:tcBorders>
              <w:bottom w:val="doub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number of shares of common stock to be outstanding after the offering is based on 35,106,163 shares outstanding as of March 31, 2023, and excludes: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1,767,791</w:t>
      </w:r>
      <w:r>
        <w:rPr>
          <w:color w:val="000000"/>
        </w:rPr>
        <w:t xml:space="preserve"> </w:t>
      </w:r>
      <w:r>
        <w:rPr>
          <w:rFonts w:ascii="Times New Roman;sans-serif" w:hAnsi="Times New Roman;sans-serif"/>
          <w:b w:val="false"/>
          <w:color w:val="000000"/>
          <w:sz w:val="20"/>
        </w:rPr>
        <w:t>shares of common stock underlying options outstanding at a weighted average exercise price of $10.23</w:t>
      </w:r>
      <w:r>
        <w:rPr>
          <w:color w:val="000000"/>
        </w:rPr>
        <w:t xml:space="preserve"> </w:t>
      </w:r>
      <w:r>
        <w:rPr>
          <w:rFonts w:ascii="Times New Roman;sans-serif" w:hAnsi="Times New Roman;sans-serif"/>
          <w:b w:val="false"/>
          <w:color w:val="000000"/>
          <w:sz w:val="20"/>
        </w:rPr>
        <w:t>per share;</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2,524,777</w:t>
      </w:r>
      <w:r>
        <w:rPr>
          <w:color w:val="000000"/>
        </w:rPr>
        <w:t xml:space="preserve"> </w:t>
      </w:r>
      <w:r>
        <w:rPr>
          <w:rFonts w:ascii="Times New Roman;sans-serif" w:hAnsi="Times New Roman;sans-serif"/>
          <w:b w:val="false"/>
          <w:color w:val="000000"/>
          <w:sz w:val="20"/>
        </w:rPr>
        <w:t>shares of common stock underlying restricted stock units outstanding;</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385,122 shares of common stock underlying performance-based restricted stock units outstanding;</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118,122</w:t>
      </w:r>
      <w:r>
        <w:rPr>
          <w:color w:val="000000"/>
        </w:rPr>
        <w:t xml:space="preserve"> </w:t>
      </w:r>
      <w:r>
        <w:rPr>
          <w:rFonts w:ascii="Times New Roman;sans-serif" w:hAnsi="Times New Roman;sans-serif"/>
          <w:b w:val="false"/>
          <w:color w:val="000000"/>
          <w:sz w:val="20"/>
        </w:rPr>
        <w:t>shares of common stock underlying warrants outstanding at a weighted average exercise price of $13.76</w:t>
      </w:r>
      <w:r>
        <w:rPr>
          <w:color w:val="000000"/>
        </w:rPr>
        <w:t xml:space="preserve"> </w:t>
      </w:r>
      <w:r>
        <w:rPr>
          <w:rFonts w:ascii="Times New Roman;sans-serif" w:hAnsi="Times New Roman;sans-serif"/>
          <w:b w:val="false"/>
          <w:color w:val="000000"/>
          <w:sz w:val="20"/>
        </w:rPr>
        <w:t>per share; and</w:t>
      </w:r>
      <w:r>
        <w:br w:type="page"/>
      </w:r>
    </w:p>
    <w:p>
      <w:pPr>
        <w:pStyle w:val="TextBody"/>
        <w:spacing w:before="0" w:after="200"/>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S-11</w:t>
                      </w:r>
                    </w:p>
                  </w:txbxContent>
                </v:textbox>
              </v:rect>
            </w:pict>
          </mc:Fallback>
        </mc:AlternateConten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5,617,659 shares of common stock available for future grant under our equity incentive plans, including our employee stock purchase plan. </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above discussion assumes no exercise by the underwriters of their option to purchase additional shares of our common stock from us.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200"/>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S-12</w:t>
                      </w:r>
                    </w:p>
                  </w:txbxContent>
                </v:textbox>
              </v:rect>
            </w:pict>
          </mc:Fallback>
        </mc:AlternateConten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DILUTION</w:t>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you invest in our common stock, your interest will be diluted immediately to the extent of the difference between the public offering price and the adjusted net tangible book value per share of our common stock after this offering. Net tangible book value on March 31, 2023, was approximately $94.0 million, or $2.68 per share. “Net tangible book value” is total assets minus the sum of liabilities, goodwill and intangible assets. “Net tangible book value per share” is net tangible book value divided by the total number of shares outstanding. Net tangible book value per share after this offering gives effect to the sale by us of 3,502,247 shares of our common stock in this offering at the public offering price of $ per share, after deducting the underwriting discount and estimated offering expenses payable by us, and the exercise by the selling stockholder of an option to purchase the 272,753 shares of common stock to be sold by the selling stockholder in this offering. Our as adjusted net tangible book value as of March 31, 2023, after giving effect to this offering as described above, would have been approximately $ million, or $ per share of common stock. This represents an immediate increase in net tangible book value of $ per share to our existing stockholders and an immediate dilution in net tangible book value of $ per share to investors participating in this offering. The following table illustrates this dilution per share to investors participating in this offering: </w:t>
      </w:r>
    </w:p>
    <w:tbl>
      <w:tblPr>
        <w:tblW w:w="8520" w:type="dxa"/>
        <w:jc w:val="center"/>
        <w:tblInd w:w="0" w:type="dxa"/>
        <w:tblCellMar>
          <w:top w:w="28" w:type="dxa"/>
          <w:left w:w="28" w:type="dxa"/>
          <w:bottom w:w="28" w:type="dxa"/>
          <w:right w:w="28" w:type="dxa"/>
        </w:tblCellMar>
      </w:tblPr>
      <w:tblGrid>
        <w:gridCol w:w="2529"/>
        <w:gridCol w:w="2227"/>
        <w:gridCol w:w="2234"/>
        <w:gridCol w:w="211"/>
        <w:gridCol w:w="511"/>
        <w:gridCol w:w="109"/>
        <w:gridCol w:w="109"/>
        <w:gridCol w:w="109"/>
        <w:gridCol w:w="109"/>
        <w:gridCol w:w="109"/>
        <w:gridCol w:w="109"/>
        <w:gridCol w:w="154"/>
      </w:tblGrid>
      <w:tr>
        <w:trPr/>
        <w:tc>
          <w:tcPr>
            <w:tcW w:w="2529" w:type="dxa"/>
            <w:tcBorders/>
            <w:shd w:fill="auto" w:val="clear"/>
            <w:vAlign w:val="center"/>
          </w:tcPr>
          <w:p>
            <w:pPr>
              <w:pStyle w:val="TableContents"/>
              <w:spacing w:before="0" w:after="283"/>
              <w:rPr>
                <w:sz w:val="4"/>
                <w:szCs w:val="4"/>
              </w:rPr>
            </w:pPr>
            <w:r>
              <w:rPr>
                <w:sz w:val="4"/>
                <w:szCs w:val="4"/>
              </w:rPr>
            </w:r>
          </w:p>
        </w:tc>
        <w:tc>
          <w:tcPr>
            <w:tcW w:w="2227" w:type="dxa"/>
            <w:tcBorders/>
            <w:shd w:fill="auto" w:val="clear"/>
            <w:vAlign w:val="center"/>
          </w:tcPr>
          <w:p>
            <w:pPr>
              <w:pStyle w:val="TableContents"/>
              <w:spacing w:before="0" w:after="283"/>
              <w:rPr>
                <w:sz w:val="4"/>
                <w:szCs w:val="4"/>
              </w:rPr>
            </w:pPr>
            <w:r>
              <w:rPr>
                <w:sz w:val="4"/>
                <w:szCs w:val="4"/>
              </w:rPr>
            </w:r>
          </w:p>
        </w:tc>
        <w:tc>
          <w:tcPr>
            <w:tcW w:w="223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Public offering price per share</w:t>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0"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Net tangible book value per share as of March 31, 2023</w:t>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 </w:t>
            </w:r>
          </w:p>
        </w:tc>
        <w:tc>
          <w:tcPr>
            <w:tcW w:w="372" w:type="dxa"/>
            <w:gridSpan w:val="3"/>
            <w:tcBorders/>
            <w:shd w:fill="auto"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net tangible book value per share attributable to new investors in offering</w:t>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 </w:t>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adjusted net tangible book value per share after giving effect to the offering</w:t>
            </w:r>
          </w:p>
        </w:tc>
        <w:tc>
          <w:tcPr>
            <w:tcW w:w="83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Dilution per share to new investors</w:t>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bottom w:val="doub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the underwriters’ option to purchase additional shares in this offering from us is exercised in full, the as adjusted net tangible book value would be $ per share, and the dilution to new investors participating in this offering would be $ per share.</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number of shares of common stock to be outstanding after the offering is based on 35,106,163 shares outstanding as of March 31, 2023, and excludes: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1,767,791</w:t>
      </w:r>
      <w:r>
        <w:rPr>
          <w:color w:val="000000"/>
        </w:rPr>
        <w:t xml:space="preserve"> </w:t>
      </w:r>
      <w:r>
        <w:rPr>
          <w:rFonts w:ascii="Times New Roman;sans-serif" w:hAnsi="Times New Roman;sans-serif"/>
          <w:b w:val="false"/>
          <w:color w:val="000000"/>
          <w:sz w:val="20"/>
        </w:rPr>
        <w:t>shares of common stock underlying options outstanding at a weighted average exercise price of $10.23</w:t>
      </w:r>
      <w:r>
        <w:rPr>
          <w:color w:val="000000"/>
        </w:rPr>
        <w:t xml:space="preserve"> </w:t>
      </w:r>
      <w:r>
        <w:rPr>
          <w:rFonts w:ascii="Times New Roman;sans-serif" w:hAnsi="Times New Roman;sans-serif"/>
          <w:b w:val="false"/>
          <w:color w:val="000000"/>
          <w:sz w:val="20"/>
        </w:rPr>
        <w:t>per share;</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2,524,777</w:t>
      </w:r>
      <w:r>
        <w:rPr>
          <w:color w:val="000000"/>
        </w:rPr>
        <w:t xml:space="preserve"> </w:t>
      </w:r>
      <w:r>
        <w:rPr>
          <w:rFonts w:ascii="Times New Roman;sans-serif" w:hAnsi="Times New Roman;sans-serif"/>
          <w:b w:val="false"/>
          <w:color w:val="000000"/>
          <w:sz w:val="20"/>
        </w:rPr>
        <w:t>shares of common stock underlying restricted stock units outstanding;</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385,122 shares of common stock underlying performance-based restricted stock units outstanding;</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118,122</w:t>
      </w:r>
      <w:r>
        <w:rPr>
          <w:color w:val="000000"/>
        </w:rPr>
        <w:t xml:space="preserve"> </w:t>
      </w:r>
      <w:r>
        <w:rPr>
          <w:rFonts w:ascii="Times New Roman;sans-serif" w:hAnsi="Times New Roman;sans-serif"/>
          <w:b w:val="false"/>
          <w:color w:val="000000"/>
          <w:sz w:val="20"/>
        </w:rPr>
        <w:t>shares of common stock underlying warrants outstanding at a weighted average exercise price of $13.76</w:t>
      </w:r>
      <w:r>
        <w:rPr>
          <w:color w:val="000000"/>
        </w:rPr>
        <w:t xml:space="preserve"> </w:t>
      </w:r>
      <w:r>
        <w:rPr>
          <w:rFonts w:ascii="Times New Roman;sans-serif" w:hAnsi="Times New Roman;sans-serif"/>
          <w:b w:val="false"/>
          <w:color w:val="000000"/>
          <w:sz w:val="20"/>
        </w:rPr>
        <w:t>per share; and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5,617,659 shares of common stock available for future grant under our equity incentive plans, including our employee stock purchase plan.</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above discussion assumes no exercise by the underwriters of their option to purchase additional shares of common stock from us.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 the extent that any outstanding options are exercised or restricted stock units vest, there will be further dilution to new investors.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these securities could result in further dilution to our stockholders.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200"/>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S-13</w:t>
                      </w:r>
                    </w:p>
                  </w:txbxContent>
                </v:textbox>
              </v:rect>
            </w:pict>
          </mc:Fallback>
        </mc:AlternateConten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 xml:space="preserve">SELLING STOCKHOLDER </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information regarding the number of shares of our common stock as of March 31, 2023, held for the account of, and the numbers of shares being sold, by the selling stockholder. Percentage ownership is based on 35,106,163 shares of our common stock outstanding on March 31, 2023.</w:t>
      </w:r>
    </w:p>
    <w:tbl>
      <w:tblPr>
        <w:tblW w:w="10205" w:type="dxa"/>
        <w:jc w:val="center"/>
        <w:tblInd w:w="0" w:type="dxa"/>
        <w:tblCellMar>
          <w:top w:w="28" w:type="dxa"/>
          <w:left w:w="28" w:type="dxa"/>
          <w:bottom w:w="28" w:type="dxa"/>
          <w:right w:w="28" w:type="dxa"/>
        </w:tblCellMar>
      </w:tblPr>
      <w:tblGrid>
        <w:gridCol w:w="651"/>
        <w:gridCol w:w="570"/>
        <w:gridCol w:w="574"/>
        <w:gridCol w:w="109"/>
        <w:gridCol w:w="109"/>
        <w:gridCol w:w="109"/>
        <w:gridCol w:w="1034"/>
        <w:gridCol w:w="1034"/>
        <w:gridCol w:w="1036"/>
        <w:gridCol w:w="109"/>
        <w:gridCol w:w="109"/>
        <w:gridCol w:w="109"/>
        <w:gridCol w:w="370"/>
        <w:gridCol w:w="370"/>
        <w:gridCol w:w="371"/>
        <w:gridCol w:w="109"/>
        <w:gridCol w:w="109"/>
        <w:gridCol w:w="109"/>
        <w:gridCol w:w="355"/>
        <w:gridCol w:w="321"/>
        <w:gridCol w:w="321"/>
        <w:gridCol w:w="321"/>
        <w:gridCol w:w="321"/>
        <w:gridCol w:w="321"/>
        <w:gridCol w:w="382"/>
        <w:gridCol w:w="382"/>
        <w:gridCol w:w="490"/>
      </w:tblGrid>
      <w:tr>
        <w:trPr/>
        <w:tc>
          <w:tcPr>
            <w:tcW w:w="651"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4" w:type="dxa"/>
            <w:tcBorders/>
            <w:shd w:fill="auto" w:val="clear"/>
            <w:vAlign w:val="center"/>
          </w:tcPr>
          <w:p>
            <w:pPr>
              <w:pStyle w:val="TableContents"/>
              <w:spacing w:before="0" w:after="283"/>
              <w:rPr>
                <w:sz w:val="4"/>
                <w:szCs w:val="4"/>
              </w:rPr>
            </w:pPr>
            <w:r>
              <w:rPr>
                <w:sz w:val="4"/>
                <w:szCs w:val="4"/>
              </w:rPr>
            </w:r>
          </w:p>
        </w:tc>
        <w:tc>
          <w:tcPr>
            <w:tcW w:w="1034"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490" w:type="dxa"/>
            <w:tcBorders/>
            <w:shd w:fill="auto" w:val="clear"/>
            <w:vAlign w:val="center"/>
          </w:tcPr>
          <w:p>
            <w:pPr>
              <w:pStyle w:val="TableContents"/>
              <w:spacing w:before="0" w:after="283"/>
              <w:rPr>
                <w:sz w:val="4"/>
                <w:szCs w:val="4"/>
              </w:rPr>
            </w:pPr>
            <w:r>
              <w:rPr>
                <w:sz w:val="4"/>
                <w:szCs w:val="4"/>
              </w:rPr>
            </w:r>
          </w:p>
        </w:tc>
      </w:tr>
      <w:tr>
        <w:trPr/>
        <w:tc>
          <w:tcPr>
            <w:tcW w:w="1795"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Name of Selling Stockholder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1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 Beneficially Owned Prior to the Offering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 Being</w:t>
              <w:br/>
              <w:t>Offered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 Beneficially Owned After the Offering</w:t>
            </w:r>
          </w:p>
        </w:tc>
      </w:tr>
      <w:tr>
        <w:trPr/>
        <w:tc>
          <w:tcPr>
            <w:tcW w:w="1795"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1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w:t>
            </w:r>
          </w:p>
        </w:tc>
        <w:tc>
          <w:tcPr>
            <w:tcW w:w="96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color w:val="000000"/>
                <w:sz w:val="18"/>
              </w:rPr>
              <w:t>Percent    </w:t>
            </w:r>
          </w:p>
        </w:tc>
      </w:tr>
      <w:tr>
        <w:trPr/>
        <w:tc>
          <w:tcPr>
            <w:tcW w:w="179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Jeffrey W. Dunn</w:t>
            </w:r>
            <w:r>
              <w:rPr>
                <w:color w:val="000000"/>
              </w:rPr>
              <w:t xml:space="preserve">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0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836,672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272,753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563,919</w:t>
            </w:r>
          </w:p>
        </w:tc>
        <w:tc>
          <w:tcPr>
            <w:tcW w:w="9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c>
      </w:tr>
      <w:tr>
        <w:trPr/>
        <w:tc>
          <w:tcPr>
            <w:tcW w:w="17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1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7" w:type="dxa"/>
            <w:gridSpan w:val="3"/>
            <w:tcBorders/>
            <w:shd w:fill="auto" w:val="clear"/>
            <w:vAlign w:val="center"/>
          </w:tcPr>
          <w:p>
            <w:pPr>
              <w:pStyle w:val="TableContents"/>
              <w:spacing w:before="0" w:after="283"/>
              <w:rPr>
                <w:sz w:val="4"/>
                <w:szCs w:val="4"/>
              </w:rPr>
            </w:pPr>
            <w:r>
              <w:rPr>
                <w:sz w:val="4"/>
                <w:szCs w:val="4"/>
              </w:rPr>
            </w:r>
          </w:p>
        </w:tc>
        <w:tc>
          <w:tcPr>
            <w:tcW w:w="963" w:type="dxa"/>
            <w:gridSpan w:val="3"/>
            <w:tcBorders/>
            <w:shd w:fill="auto" w:val="clear"/>
            <w:vAlign w:val="center"/>
          </w:tcPr>
          <w:p>
            <w:pPr>
              <w:pStyle w:val="TableContents"/>
              <w:spacing w:before="0" w:after="283"/>
              <w:rPr>
                <w:sz w:val="4"/>
                <w:szCs w:val="4"/>
              </w:rPr>
            </w:pPr>
            <w:r>
              <w:rPr>
                <w:sz w:val="4"/>
                <w:szCs w:val="4"/>
              </w:rPr>
            </w:r>
          </w:p>
        </w:tc>
        <w:tc>
          <w:tcPr>
            <w:tcW w:w="1254" w:type="dxa"/>
            <w:gridSpan w:val="3"/>
            <w:tcBorders/>
            <w:shd w:fill="auto" w:val="clear"/>
            <w:vAlign w:val="center"/>
          </w:tcPr>
          <w:p>
            <w:pPr>
              <w:pStyle w:val="TableContents"/>
              <w:spacing w:before="0" w:after="283"/>
              <w:rPr>
                <w:sz w:val="4"/>
                <w:szCs w:val="4"/>
              </w:rPr>
            </w:pPr>
            <w:r>
              <w:rPr>
                <w:sz w:val="4"/>
                <w:szCs w:val="4"/>
              </w:rPr>
            </w:r>
          </w:p>
        </w:tc>
      </w:tr>
      <w:tr>
        <w:trPr/>
        <w:tc>
          <w:tcPr>
            <w:tcW w:w="17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1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7" w:type="dxa"/>
            <w:gridSpan w:val="3"/>
            <w:tcBorders/>
            <w:shd w:fill="auto" w:val="clear"/>
            <w:vAlign w:val="center"/>
          </w:tcPr>
          <w:p>
            <w:pPr>
              <w:pStyle w:val="TableContents"/>
              <w:spacing w:before="0" w:after="283"/>
              <w:rPr>
                <w:sz w:val="4"/>
                <w:szCs w:val="4"/>
              </w:rPr>
            </w:pPr>
            <w:r>
              <w:rPr>
                <w:sz w:val="4"/>
                <w:szCs w:val="4"/>
              </w:rPr>
            </w:r>
          </w:p>
        </w:tc>
        <w:tc>
          <w:tcPr>
            <w:tcW w:w="963" w:type="dxa"/>
            <w:gridSpan w:val="3"/>
            <w:tcBorders/>
            <w:shd w:fill="auto" w:val="clear"/>
            <w:vAlign w:val="center"/>
          </w:tcPr>
          <w:p>
            <w:pPr>
              <w:pStyle w:val="TableContents"/>
              <w:spacing w:before="0" w:after="283"/>
              <w:rPr>
                <w:sz w:val="4"/>
                <w:szCs w:val="4"/>
              </w:rPr>
            </w:pPr>
            <w:r>
              <w:rPr>
                <w:sz w:val="4"/>
                <w:szCs w:val="4"/>
              </w:rPr>
            </w:r>
          </w:p>
        </w:tc>
        <w:tc>
          <w:tcPr>
            <w:tcW w:w="1254"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spacing w:lineRule="auto" w:line="288" w:before="0" w:after="18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(1)Jeffrey W. Dunn is Chairman of our Board of Directors. Mr. Dunn served as our Executive Chairman from April 19, 2021 through May 1, 2023, as Chairman of our Board of Directors since our inception in April 2008 until April 2021, and as our President and Chief Executive Officer from April 2008 until April 2021. The shares to be sold by Mr. Dunn will be issued upon exercise of a stock option held by Mr. Dunn. Shares beneficially owned include shares Mr. Dunn has the right to acquire within 60 days.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200"/>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S-14</w:t>
                      </w:r>
                    </w:p>
                  </w:txbxContent>
                </v:textbox>
              </v:rect>
            </w:pict>
          </mc:Fallback>
        </mc:AlternateConten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MATERIAL U.S. FEDERAL INCOME TAX CONSEQUENCES TO NON-U.S. HOLDERS OF OUR COMMON STOCK</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material U.S. federal income tax consequences to non-U.S. holders (as defined below) of the ownership, and disposition of our common stock issued pursuant to this offering. This discussion is not a complete analysis of all potential U.S. federal income tax consequences relating thereto, does not address the potential application of the Medicare contribution tax on net investment income, the alternative minimum tax or the application of special tax accounting rules pursuant to Section 451(b) of the Code to accrual method taxpayers, and does not address any estate or gift tax consequences or any tax consequences arising under any state, local, or foreign tax laws, or any other U.S. federal tax laws. This discussion is based on the Code and applicable Treasury Regulations promulgated thereunder, judicial decisions and published rulings and administrative pronouncements of the Internal Revenue Service, or IRS, all as in effect as of the date hereof. These authorities are subject to differing interpretations and may change, possibly retroactively, resulting in U.S. federal income tax consequences different from those discussed below. We have not requested a ruling from the IRS with respect to the statements made and the conclusions reached in the following summary, and there can be no assurance that the IRS or a court will agree with such statements and conclusions.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discussion is limited to non-U.S. holders who purchase our common stock pursuant to this offering and who hold our common stock as a “capital asset” within the meaning of Section 1221 of the Code (generally, property held for investment). This discussion does not address all of the U.S. federal income tax consequences that may be relevant to a particular holder in light of such holder’s particular circumstances. This discussion also does not consider any specific facts or circumstances that may be relevant to holders subject to special rules under the U.S. federal income tax laws, including:</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U.S. expatriates and former citizens or long-term residents of the United States;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 xml:space="preserve">partnerships or other entities or arrangements treated as pass-through or disregarded entities for U.S. federal income tax purposes (and investors therein); </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 xml:space="preserve">controlled foreign corporations;” </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passive foreign investment companies;”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regulated investment companies;”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real estate investment trusts;”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corporations that accumulate earnings to avoid U.S. federal income tax;</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banks, financial institutions, investment funds, insurance companies, brokers, dealers, or traders in securities;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tax-exempt organizations and governmental organizations;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tax-qualified retirement plans;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persons that have a functional currency other than the U.S. dollar for U.S. federal income tax purposes;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persons deemed to sell our common stock under the constructive sale provisions of the Code;</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 xml:space="preserve">persons that own, or have owned, actually or constructively, more than 5% of our outstanding common stock; </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persons who acquire our common stock through the exercise of a compensatory option or otherwise as compensation;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persons who have elected to or are required to mark securities to market; and</w:t>
      </w:r>
      <w:r>
        <w:br w:type="page"/>
      </w:r>
    </w:p>
    <w:p>
      <w:pPr>
        <w:pStyle w:val="TextBody"/>
        <w:spacing w:before="0" w:after="200"/>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S-15</w:t>
                      </w:r>
                    </w:p>
                  </w:txbxContent>
                </v:textbox>
              </v:rect>
            </w:pict>
          </mc:Fallback>
        </mc:AlternateConten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persons holding our common stock as part of a hedging or conversion transaction or straddle, or synthetic security, or a constructive sale, or other risk reduction strategy or integrated investment.</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an entity or arrangement that is classified as a partnership for U.S. federal income tax purposes holds our common stock, the U.S. federal income tax treatment of a partner in the partnership will generally depend on the status of the partner and the activities of the partnership. Partnerships holding our common stock and the partners in such partnerships are urged to consult their tax advisors about the particular U.S. federal income tax consequences to them of holding and disposing of our common stock.</w:t>
      </w:r>
    </w:p>
    <w:p>
      <w:pPr>
        <w:pStyle w:val="TextBody"/>
        <w:spacing w:lineRule="auto" w:line="288" w:before="0" w:after="18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 xml:space="preserve">THIS DISCUSSION IS FOR INFORMATIONAL PURPOSES ONLY AND IS NOT TAX ADVICE. PROSPECTIVE INVESTORS SHOULD CONSULT THEIR TAX ADVISORS REGARDING THE PARTICULAR U.S. FEDERAL INCOME TAX CONSEQUENCES TO THEM OF ACQUIRING, OWNING AND DISPOSING OF OUR COMMON STOCK, AS WELL AS ANY TAX CONSEQUENCES ARISING UNDER ANY STATE, LOCAL OR FOREIGN TAX LAWS AND ANY OTHER U.S. FEDERAL TAX LAWS, INCLUDING ANY RECENT OR PROPOSED CHANGE IN APPLICABLE LAWS. </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Definition of Non-U.S. Holder</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purposes of this discussion, a non-U.S. holder is any beneficial owner of our common stock that is not a “U.S. person” or a partnership (including any entity or arrangement treated as a partnership) for U.S. federal income tax purposes. A U.S. person is any person that, for U.S. federal income tax purposes, is or is treated as any of the following:</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 xml:space="preserve">an individual who is a citizen or resident of the United States; </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 corporation (or entity treated as a corporation for U.S. federal income tax purposes) created or organized in or under the laws of the United States, any state thereof or the District of Columbia;</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 xml:space="preserve">an estate, the income of which is subject to U.S. federal income tax regardless of its source; or </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 xml:space="preserve">a trust if (1) its administration is subject to the primary supervision of a U.S. court and one or more U.S. persons have the authority to control all substantial decisions of the trust or (2) that has a valid election in effect under applicable U.S. Treasury Regulations to be treated as a U.S. person. </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Distributions on Our Common Stock</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not paid and do not anticipate paying dividends. However, if we make cash or other property distributions on our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will first be applied against and reduce a holder’s tax basis in our common stock, but not below zero. Any excess will be treated as gain realized on the sale or other disposition of our common stock and will be treated as described under the section titled “-Gain on Disposition of Our Common Stock” below.</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Subject to the discussions below regarding effectively connected income, backup withholding and Sections 1471 through 1474 of the Code (commonly referred to as FATCA), dividends paid to a non-U.S. holder of our common stock generally will be subject to U.S. federal withholding tax at a rate of 30% of the gross amount of the dividends or such lower rate specified by an applicable income tax treaty. To receive the benefit of a reduced treaty rate, a non-U.S. holder must furnish us or our paying agent with a valid IRS Form W-8BEN or IRS Form W-8BEN-E (or applicable successor form) and certifying such holder’s qualification for the reduced rate. This certification must be provided to us or our paying agent before the payment of dividends and must be updated periodically. If the non-U.S. holder holds the stock through a financial institution or other agent acting on the non-U.S. holder’s behalf, the non-U.S. holder will be required to provide appropriate documentation to the agent, which then will be required to provide certification to us or our paying agent, either directly or through other intermediaries.</w:t>
      </w:r>
      <w:r>
        <w:br w:type="page"/>
      </w:r>
    </w:p>
    <w:p>
      <w:pPr>
        <w:pStyle w:val="TextBody"/>
        <w:spacing w:before="0" w:after="200"/>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S-16</w:t>
                      </w:r>
                    </w:p>
                  </w:txbxContent>
                </v:textbox>
              </v:rect>
            </w:pict>
          </mc:Fallback>
        </mc:AlternateConten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Non-U.S. holders that do not provide the required certification on a timely basis, but that qualify for a reduced treaty rate, may obtain a refund of any excess amounts withheld by timely filing an appropriate claim for refund with the IRS.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a non-U.S. holder holds our common stock in connection with the conduct of a trade or business in the United States, and dividends paid on our common stock are effectively connected with such non-U.S. holder’s U.S. trade or business (and are attributable to such non-U.S. holder’s permanent establishment or fixed base in the United States if required by an applicable tax treaty), the non-U.S. holder will be exempt from U.S. federal withholding tax. To claim the exemption, the non-U.S. holder must generally furnish a valid IRS Form W-8ECI (or applicable successor form) to the applicable withholding agent. However, any such effectively connected dividends paid on our common stock generally will be subject to U.S. federal income tax on a net income basis at the regular U.S. federal income tax rates in the same manner as if such non-U.S.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 Non-U.S. holders should consult their tax advisors regarding any applicable income tax treaties that may provide for different rules.</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Gain on Disposition of Our Common Stock</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Subject to the discussions below regarding backup withholding and FATCA, a non-U.S. holder generally will not be subject to U.S. federal income tax on any gain realized on the sale or other disposition of our common stock, unless: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the gain is effectively connected with the non-U.S. holder’s conduct of a trade or business in the United States, and if required by an applicable income tax treaty, is attributable to a permanent establishment or fixed base maintained by the non-U.S. holder in the United States;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the non-U.S. holder is a nonresident alien individual who is present in the United States for 183 days or more during the taxable year of the disposition, and certain other requirements are met; or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our common stock constitutes a “United States real property interest” by reason of our status as a United States real property holding corporation, or USRPHC, for U.S. federal income tax purposes at any time within the shorter of the five-year period preceding the disposition or the non-U.S. holder’s holding period for our common stock, and our common stock is not regularly traded on an established securities market during the calendar year in which the sale or other disposition occurs.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Determining whether we are a USRPHC depends on the fair market value of our U.S. real property interests relative to the fair market value of our worldwide real property interests and our other assets used or held for use in a trade or business. We believe that we are not currently and do not anticipate becoming a USRPHC for U.S. federal income tax purposes, although there can be no assurance we will not in the future become a USRPHC. </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Gain described in the first bullet point above generally will be subject to U.S. federal income tax on a net income basis at the regular U.S. federal income tax rates in the same manner as if such non-U.S.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 Gain described in the second bullet point above will be subject to U.S. federal income tax at a flat 30% rate, but may be offset by certain U.S.-source capital losses (even though the individual is not considered a resident of the United States), provided that the non-U.S. holder has timely filed U.S. federal income tax returns with respect to such losses. Non-U.S. holders should consult their tax advisors regarding any applicable income tax treaties that may provide for different rules.</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Information Reporting and Backup Withholding</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Annual reports are required to be filed with the IRS and provided to each non-U.S. holder indicating the amount of distributions on our common stock paid to such non-U.S. holder, the name and address of the recipient, and the amount of any tax withheld with respect to those distributions. These information reporting requirements apply even </w:t>
      </w:r>
      <w:r>
        <w:br w:type="page"/>
      </w:r>
    </w:p>
    <w:p>
      <w:pPr>
        <w:pStyle w:val="TextBody"/>
        <w:spacing w:before="0" w:after="200"/>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S-17</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if no withholding was required because the distributions were effectively connected with the non-U.S. holder’s conduct of a U.S. trade or business, or withholding was reduced or eliminated by an applicable income tax treaty. This information also may be made available under a specific treaty or agreement with the tax authorities in the country in which the non-U.S. holder resides or is established. Distributions paid by us (or our paying agents) to a non-U.S. holder may also be subject to U.S. federal backup withholding, currently imposed at a rate of 24%. Backup withholding (and for gross proceeds of a disposition of our common stock, information reporting) generally will not apply to payments to a non-U.S. holder of distributions on or the gross proceeds of a disposition of our common stock provided the non-U.S. holder furnishes the required certification for its non-U.S. status, such as by providing a valid IRS Form W-8BEN, IRS Form W-8BEN-E, or IRS Form W-8ECI, or otherwise establishes an exemption. Backup withholding may apply if the payor has actual knowledge, or reason to know, that the non-U.S. holder is a U.S. person who is not an exempt recipient.</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Backup withholding is not an additional tax. If any amount is withheld under the backup withholding rules, the non-U.S. holder should consult with a U.S. tax advisor regarding the possibility of and procedure for obtaining a refund or a credit against the non-U.S. holder’s U.S. federal income tax liability, if any.</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Foreign Accounts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FATCA imposes a U.S. federal withholding tax of 30% on certain payments made to a “foreign financial institution” (as specially defined under these rules) unless such institution enters into an agreement with the U.S. government to withhold on certain payments and to collect and provide to the U.S. tax authorities substantial information regarding certain U.S. account holders of such institution (which includes certain equity and debt holders of such institution, as well as certain account holders that are foreign entities with U.S. owners) or an exemption applies. FATCA also generally imposes a U.S. federal withholding tax of 30% on certain payments made to a non-financial foreign entity unless such entity provides the withholding agent a certification identifying certain direct and indirect U.S. owners of the entity or an exemption applies. An intergovernmental agreement between the United States and an applicable foreign country may modify these requirements. Under certain circumstances, a non-U.S. holder might be eligible for refunds or credits of such taxes. Non-U.S. holders should consult their own tax advisors regarding the possible implications of FATCA on their investment in our common stock.</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Withholding under FATCA applies to payments of dividends on our common stock. The U.S. Treasury released proposed Treasury Regulations which, if finalized in their present form, would eliminate the federal withholding tax of 30% applicable to the gross proceeds of a sale or other disposition of our common stock. In its preamble to such proposed Treasury Regulations, the U.S. Treasury stated that taxpayers may generally rely on the proposed regulations until final regulations are issued.</w:t>
      </w:r>
    </w:p>
    <w:p>
      <w:pPr>
        <w:pStyle w:val="TextBody"/>
        <w:spacing w:lineRule="auto" w:line="288" w:before="0" w:after="180"/>
        <w:ind w:left="0" w:right="0" w:firstLine="495"/>
        <w:rPr>
          <w:rFonts w:ascii="Times New Roman;sans-serif" w:hAnsi="Times New Roman;sans-serif"/>
          <w:b/>
          <w:color w:val="000000"/>
          <w:sz w:val="20"/>
        </w:rPr>
      </w:pPr>
      <w:r>
        <w:rPr>
          <w:rFonts w:ascii="Times New Roman;sans-serif" w:hAnsi="Times New Roman;sans-serif"/>
          <w:b/>
          <w:color w:val="000000"/>
          <w:sz w:val="20"/>
        </w:rPr>
        <w:t>EACH PROSPECTIVE INVESTOR SHOULD CONSULT ITS OWN TAX ADVISOR REGARDING THE TAX CONSEQUENCES OF PURCHASING, HOLDING AND DISPOSING OF OUR COMMON STOCK, INCLUDING THE CONSEQUENCES OF ANY RECENT OR PROPOSED CHANGE IN APPLICABLE LAW.</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200"/>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S-18</w:t>
                      </w:r>
                    </w:p>
                  </w:txbxContent>
                </v:textbox>
              </v:rect>
            </w:pict>
          </mc:Fallback>
        </mc:AlternateConten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UNDERWRITING</w:t>
      </w:r>
    </w:p>
    <w:p>
      <w:pPr>
        <w:pStyle w:val="TextBody"/>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BofA Securities, Inc., Morgan Stanley &amp; Co. LLC and Jefferies LLC are acting as representatives of each of the underwriters named below. Subject to the terms and conditions set forth in an underwriting agreement among us, the selling stockholder and the underwriters, we and the selling stockholder have agreed to sell to the underwriters, and each of the underwriters has agreed, severally and not jointly, to purchase from us and the selling stockholder the number of shares of common stock set forth opposite its name below.</w:t>
      </w:r>
    </w:p>
    <w:tbl>
      <w:tblPr>
        <w:tblW w:w="4320" w:type="dxa"/>
        <w:jc w:val="center"/>
        <w:tblInd w:w="0" w:type="dxa"/>
        <w:tblCellMar>
          <w:top w:w="28" w:type="dxa"/>
          <w:left w:w="28" w:type="dxa"/>
          <w:bottom w:w="28" w:type="dxa"/>
          <w:right w:w="28" w:type="dxa"/>
        </w:tblCellMar>
      </w:tblPr>
      <w:tblGrid>
        <w:gridCol w:w="859"/>
        <w:gridCol w:w="754"/>
        <w:gridCol w:w="757"/>
        <w:gridCol w:w="109"/>
        <w:gridCol w:w="109"/>
        <w:gridCol w:w="109"/>
        <w:gridCol w:w="488"/>
        <w:gridCol w:w="488"/>
        <w:gridCol w:w="647"/>
      </w:tblGrid>
      <w:tr>
        <w:trPr/>
        <w:tc>
          <w:tcPr>
            <w:tcW w:w="859" w:type="dxa"/>
            <w:tcBorders/>
            <w:shd w:fill="auto" w:val="clear"/>
            <w:vAlign w:val="center"/>
          </w:tcPr>
          <w:p>
            <w:pPr>
              <w:pStyle w:val="TableContents"/>
              <w:spacing w:before="0" w:after="283"/>
              <w:rPr>
                <w:sz w:val="4"/>
                <w:szCs w:val="4"/>
              </w:rPr>
            </w:pPr>
            <w:r>
              <w:rPr>
                <w:sz w:val="4"/>
                <w:szCs w:val="4"/>
              </w:rPr>
            </w:r>
          </w:p>
        </w:tc>
        <w:tc>
          <w:tcPr>
            <w:tcW w:w="754" w:type="dxa"/>
            <w:tcBorders/>
            <w:shd w:fill="auto" w:val="clear"/>
            <w:vAlign w:val="center"/>
          </w:tcPr>
          <w:p>
            <w:pPr>
              <w:pStyle w:val="TableContents"/>
              <w:spacing w:before="0" w:after="283"/>
              <w:rPr>
                <w:sz w:val="4"/>
                <w:szCs w:val="4"/>
              </w:rPr>
            </w:pPr>
            <w:r>
              <w:rPr>
                <w:sz w:val="4"/>
                <w:szCs w:val="4"/>
              </w:rPr>
            </w:r>
          </w:p>
        </w:tc>
        <w:tc>
          <w:tcPr>
            <w:tcW w:w="7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647" w:type="dxa"/>
            <w:tcBorders/>
            <w:shd w:fill="auto" w:val="clear"/>
            <w:vAlign w:val="center"/>
          </w:tcPr>
          <w:p>
            <w:pPr>
              <w:pStyle w:val="TableContents"/>
              <w:spacing w:before="0" w:after="283"/>
              <w:rPr>
                <w:sz w:val="4"/>
                <w:szCs w:val="4"/>
              </w:rPr>
            </w:pPr>
            <w:r>
              <w:rPr>
                <w:sz w:val="4"/>
                <w:szCs w:val="4"/>
              </w:rPr>
            </w:r>
          </w:p>
        </w:tc>
      </w:tr>
      <w:tr>
        <w:trPr/>
        <w:tc>
          <w:tcPr>
            <w:tcW w:w="23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Underwriters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Shares</w:t>
            </w:r>
          </w:p>
        </w:tc>
      </w:tr>
      <w:tr>
        <w:trPr/>
        <w:tc>
          <w:tcPr>
            <w:tcW w:w="237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BofA Securities, Inc.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Morgan Stanley &amp; Co.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Jefferies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Canaccord Genuity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Cantor Fitzgerald &amp; Co.</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3,775,000 </w:t>
            </w:r>
          </w:p>
        </w:tc>
        <w:tc>
          <w:tcPr>
            <w:tcW w:w="6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Subject to the terms and conditions set forth in the underwriting agreement, the underwriters have agreed, severally and not jointly, to purchase all of the shares sold under the underwriting agreement if any of these shares are purchased. If an underwriter defaults, the underwriting agreement provides that the purchase commitments of the nondefaulting underwriters may be increased or the underwriting agreement may be terminated.</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and the selling stockholder have agreed to indemnify the underwriters against certain liabilities, including liabilities under the Securities Act, or to contribute to payments the underwriters may be required to make in respect of those liabilities.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underwriters are offering the shares, subject to prior sale, when, as and if sold to and accepted by them, subject to approval of legal matters by their counsel, including the validity of the shares,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pStyle w:val="TextBody"/>
        <w:spacing w:lineRule="auto" w:line="288" w:before="0" w:after="180"/>
        <w:rPr/>
      </w:pPr>
      <w:r>
        <w:rPr>
          <w:rFonts w:ascii="Times New Roman;sans-serif" w:hAnsi="Times New Roman;sans-serif"/>
          <w:b/>
          <w:color w:val="231F20"/>
          <w:sz w:val="20"/>
        </w:rPr>
        <w:t>Commissions</w:t>
      </w:r>
      <w:r>
        <w:rPr>
          <w:color w:val="231F20"/>
        </w:rPr>
        <w:t xml:space="preserve"> </w:t>
      </w:r>
      <w:r>
        <w:rPr>
          <w:rFonts w:ascii="Times New Roman;sans-serif" w:hAnsi="Times New Roman;sans-serif"/>
          <w:b/>
          <w:color w:val="231F20"/>
          <w:sz w:val="20"/>
        </w:rPr>
        <w:t>and Discounts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representatives have advised us that the underwriters propose initially to offer the shares to the public at the public offering price set forth on the cover page of this prospectus supplement and to dealers at that price less a concession not in excess of $                    per share. After the initial offering, the public offering price, concession or any other term of this offering may be changed.</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public offering price, underwriting discount and proceeds before expenses to us and the selling stockholder. The information assumes either no exercise or full exercise by the underwriters of their option to purchase additional shares.</w:t>
      </w:r>
    </w:p>
    <w:tbl>
      <w:tblPr>
        <w:tblW w:w="8931" w:type="dxa"/>
        <w:jc w:val="left"/>
        <w:tblInd w:w="0" w:type="dxa"/>
        <w:tblCellMar>
          <w:top w:w="28" w:type="dxa"/>
          <w:left w:w="28" w:type="dxa"/>
          <w:bottom w:w="28" w:type="dxa"/>
          <w:right w:w="28" w:type="dxa"/>
        </w:tblCellMar>
      </w:tblPr>
      <w:tblGrid>
        <w:gridCol w:w="1795"/>
        <w:gridCol w:w="1581"/>
        <w:gridCol w:w="1588"/>
        <w:gridCol w:w="284"/>
        <w:gridCol w:w="284"/>
        <w:gridCol w:w="286"/>
        <w:gridCol w:w="109"/>
        <w:gridCol w:w="109"/>
        <w:gridCol w:w="109"/>
        <w:gridCol w:w="444"/>
        <w:gridCol w:w="444"/>
        <w:gridCol w:w="446"/>
        <w:gridCol w:w="109"/>
        <w:gridCol w:w="109"/>
        <w:gridCol w:w="109"/>
        <w:gridCol w:w="329"/>
        <w:gridCol w:w="329"/>
        <w:gridCol w:w="467"/>
      </w:tblGrid>
      <w:tr>
        <w:trPr/>
        <w:tc>
          <w:tcPr>
            <w:tcW w:w="1795" w:type="dxa"/>
            <w:tcBorders/>
            <w:shd w:fill="auto" w:val="clear"/>
            <w:vAlign w:val="center"/>
          </w:tcPr>
          <w:p>
            <w:pPr>
              <w:pStyle w:val="TableContents"/>
              <w:spacing w:before="0" w:after="283"/>
              <w:rPr>
                <w:sz w:val="4"/>
                <w:szCs w:val="4"/>
              </w:rPr>
            </w:pPr>
            <w:r>
              <w:rPr>
                <w:sz w:val="4"/>
                <w:szCs w:val="4"/>
              </w:rPr>
            </w:r>
          </w:p>
        </w:tc>
        <w:tc>
          <w:tcPr>
            <w:tcW w:w="1581" w:type="dxa"/>
            <w:tcBorders/>
            <w:shd w:fill="auto" w:val="clear"/>
            <w:vAlign w:val="center"/>
          </w:tcPr>
          <w:p>
            <w:pPr>
              <w:pStyle w:val="TableContents"/>
              <w:spacing w:before="0" w:after="283"/>
              <w:rPr>
                <w:sz w:val="4"/>
                <w:szCs w:val="4"/>
              </w:rPr>
            </w:pPr>
            <w:r>
              <w:rPr>
                <w:sz w:val="4"/>
                <w:szCs w:val="4"/>
              </w:rPr>
            </w:r>
          </w:p>
        </w:tc>
        <w:tc>
          <w:tcPr>
            <w:tcW w:w="1588"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center"/>
          </w:tcPr>
          <w:p>
            <w:pPr>
              <w:pStyle w:val="TableContents"/>
              <w:spacing w:before="0" w:after="283"/>
              <w:rPr>
                <w:sz w:val="4"/>
                <w:szCs w:val="4"/>
              </w:rPr>
            </w:pPr>
            <w:r>
              <w:rPr>
                <w:sz w:val="4"/>
                <w:szCs w:val="4"/>
              </w:rPr>
            </w:r>
          </w:p>
        </w:tc>
      </w:tr>
      <w:tr>
        <w:trPr/>
        <w:tc>
          <w:tcPr>
            <w:tcW w:w="49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Without Option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With Option</w:t>
            </w:r>
          </w:p>
        </w:tc>
      </w:tr>
      <w:tr>
        <w:trPr/>
        <w:tc>
          <w:tcPr>
            <w:tcW w:w="4964"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Public offering price</w:t>
            </w:r>
          </w:p>
        </w:tc>
        <w:tc>
          <w:tcPr>
            <w:tcW w:w="85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64"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Underwriting discount to be paid by us</w:t>
            </w:r>
          </w:p>
        </w:tc>
        <w:tc>
          <w:tcPr>
            <w:tcW w:w="854"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64"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Underwriting discount to be paid by the selling stockholder</w:t>
            </w:r>
          </w:p>
        </w:tc>
        <w:tc>
          <w:tcPr>
            <w:tcW w:w="854"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64"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Proceeds, before expenses, to us</w:t>
            </w:r>
          </w:p>
        </w:tc>
        <w:tc>
          <w:tcPr>
            <w:tcW w:w="854"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64"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Proceeds, before expenses, to the selling stockholder</w:t>
            </w:r>
          </w:p>
        </w:tc>
        <w:tc>
          <w:tcPr>
            <w:tcW w:w="854"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64" w:type="dxa"/>
            <w:gridSpan w:val="3"/>
            <w:tcBorders/>
            <w:shd w:fill="auto" w:val="clear"/>
            <w:vAlign w:val="center"/>
          </w:tcPr>
          <w:p>
            <w:pPr>
              <w:pStyle w:val="TableContents"/>
              <w:spacing w:before="0" w:after="283"/>
              <w:rPr>
                <w:sz w:val="4"/>
                <w:szCs w:val="4"/>
              </w:rPr>
            </w:pPr>
            <w:r>
              <w:rPr>
                <w:sz w:val="4"/>
                <w:szCs w:val="4"/>
              </w:rPr>
            </w:r>
          </w:p>
        </w:tc>
        <w:tc>
          <w:tcPr>
            <w:tcW w:w="8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5" w:type="dxa"/>
            <w:gridSpan w:val="3"/>
            <w:tcBorders/>
            <w:shd w:fill="auto" w:val="clear"/>
            <w:vAlign w:val="center"/>
          </w:tcPr>
          <w:p>
            <w:pPr>
              <w:pStyle w:val="TableContents"/>
              <w:spacing w:before="0" w:after="283"/>
              <w:rPr>
                <w:sz w:val="4"/>
                <w:szCs w:val="4"/>
              </w:rPr>
            </w:pPr>
            <w:r>
              <w:rPr>
                <w:sz w:val="4"/>
                <w:szCs w:val="4"/>
              </w:rPr>
            </w:r>
          </w:p>
        </w:tc>
      </w:tr>
      <w:tr>
        <w:trPr/>
        <w:tc>
          <w:tcPr>
            <w:tcW w:w="4964" w:type="dxa"/>
            <w:gridSpan w:val="3"/>
            <w:tcBorders/>
            <w:shd w:fill="auto" w:val="clear"/>
            <w:vAlign w:val="center"/>
          </w:tcPr>
          <w:p>
            <w:pPr>
              <w:pStyle w:val="TableContents"/>
              <w:spacing w:before="0" w:after="283"/>
              <w:rPr>
                <w:sz w:val="4"/>
                <w:szCs w:val="4"/>
              </w:rPr>
            </w:pPr>
            <w:r>
              <w:rPr>
                <w:sz w:val="4"/>
                <w:szCs w:val="4"/>
              </w:rPr>
            </w:r>
          </w:p>
        </w:tc>
        <w:tc>
          <w:tcPr>
            <w:tcW w:w="8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5" w:type="dxa"/>
            <w:gridSpan w:val="3"/>
            <w:tcBorders/>
            <w:shd w:fill="auto" w:val="clear"/>
            <w:vAlign w:val="center"/>
          </w:tcPr>
          <w:p>
            <w:pPr>
              <w:pStyle w:val="TableContents"/>
              <w:spacing w:before="0" w:after="283"/>
              <w:rPr>
                <w:sz w:val="4"/>
                <w:szCs w:val="4"/>
              </w:rPr>
            </w:pPr>
            <w:r>
              <w:rPr>
                <w:sz w:val="4"/>
                <w:szCs w:val="4"/>
              </w:rPr>
            </w:r>
          </w:p>
        </w:tc>
      </w:tr>
      <w:tr>
        <w:trPr/>
        <w:tc>
          <w:tcPr>
            <w:tcW w:w="4964" w:type="dxa"/>
            <w:gridSpan w:val="3"/>
            <w:tcBorders/>
            <w:shd w:fill="auto" w:val="clear"/>
            <w:vAlign w:val="center"/>
          </w:tcPr>
          <w:p>
            <w:pPr>
              <w:pStyle w:val="TableContents"/>
              <w:spacing w:before="0" w:after="283"/>
              <w:rPr>
                <w:sz w:val="4"/>
                <w:szCs w:val="4"/>
              </w:rPr>
            </w:pPr>
            <w:r>
              <w:rPr>
                <w:sz w:val="4"/>
                <w:szCs w:val="4"/>
              </w:rPr>
            </w:r>
          </w:p>
        </w:tc>
        <w:tc>
          <w:tcPr>
            <w:tcW w:w="8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5" w:type="dxa"/>
            <w:gridSpan w:val="3"/>
            <w:tcBorders/>
            <w:shd w:fill="auto" w:val="clear"/>
            <w:vAlign w:val="center"/>
          </w:tcPr>
          <w:p>
            <w:pPr>
              <w:pStyle w:val="TableContents"/>
              <w:spacing w:before="0" w:after="283"/>
              <w:rPr>
                <w:sz w:val="4"/>
                <w:szCs w:val="4"/>
              </w:rPr>
            </w:pPr>
            <w:r>
              <w:rPr>
                <w:sz w:val="4"/>
                <w:szCs w:val="4"/>
              </w:rPr>
            </w:r>
          </w:p>
        </w:tc>
      </w:tr>
      <w:tr>
        <w:trPr/>
        <w:tc>
          <w:tcPr>
            <w:tcW w:w="4964" w:type="dxa"/>
            <w:gridSpan w:val="3"/>
            <w:tcBorders/>
            <w:shd w:fill="auto" w:val="clear"/>
            <w:vAlign w:val="center"/>
          </w:tcPr>
          <w:p>
            <w:pPr>
              <w:pStyle w:val="TableContents"/>
              <w:spacing w:before="0" w:after="283"/>
              <w:rPr>
                <w:sz w:val="4"/>
                <w:szCs w:val="4"/>
              </w:rPr>
            </w:pPr>
            <w:r>
              <w:rPr>
                <w:sz w:val="4"/>
                <w:szCs w:val="4"/>
              </w:rPr>
            </w:r>
          </w:p>
        </w:tc>
        <w:tc>
          <w:tcPr>
            <w:tcW w:w="8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5"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200"/>
        <w:rPr/>
      </w:pPr>
      <w:r>
        <w:br w:type="page"/>
      </w: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S-19</w:t>
                      </w:r>
                    </w:p>
                  </w:txbxContent>
                </v:textbox>
              </v:rect>
            </w:pict>
          </mc:Fallback>
        </mc:AlternateContent>
      </w:r>
    </w:p>
    <w:p>
      <w:pPr>
        <w:pStyle w:val="TextBody"/>
        <w:spacing w:lineRule="auto" w:line="288" w:before="0" w:after="180"/>
        <w:ind w:left="0" w:right="0" w:firstLine="450"/>
        <w:jc w:val="both"/>
        <w:rPr/>
      </w:pPr>
      <w:r>
        <w:rPr>
          <w:rFonts w:ascii="Times New Roman;sans-serif" w:hAnsi="Times New Roman;sans-serif"/>
          <w:b w:val="false"/>
          <w:color w:val="000000"/>
          <w:sz w:val="20"/>
        </w:rPr>
        <w:t>Our offering</w:t>
      </w:r>
      <w:r>
        <w:rPr>
          <w:color w:val="000000"/>
        </w:rPr>
        <w:t xml:space="preserve"> </w:t>
      </w:r>
      <w:r>
        <w:rPr>
          <w:rFonts w:ascii="Times New Roman;sans-serif" w:hAnsi="Times New Roman;sans-serif"/>
          <w:b w:val="false"/>
          <w:color w:val="000000"/>
          <w:sz w:val="20"/>
        </w:rPr>
        <w:t>expenses,</w:t>
      </w:r>
      <w:r>
        <w:rPr>
          <w:color w:val="000000"/>
        </w:rPr>
        <w:t xml:space="preserve"> </w:t>
      </w:r>
      <w:r>
        <w:rPr>
          <w:rFonts w:ascii="Times New Roman;sans-serif" w:hAnsi="Times New Roman;sans-serif"/>
          <w:b w:val="false"/>
          <w:color w:val="000000"/>
          <w:sz w:val="20"/>
        </w:rPr>
        <w:t>not including</w:t>
      </w:r>
      <w:r>
        <w:rPr>
          <w:color w:val="000000"/>
        </w:rPr>
        <w:t xml:space="preserve"> </w:t>
      </w:r>
      <w:r>
        <w:rPr>
          <w:rFonts w:ascii="Times New Roman;sans-serif" w:hAnsi="Times New Roman;sans-serif"/>
          <w:b w:val="false"/>
          <w:color w:val="000000"/>
          <w:sz w:val="20"/>
        </w:rPr>
        <w:t>the</w:t>
      </w:r>
      <w:r>
        <w:rPr>
          <w:color w:val="000000"/>
        </w:rPr>
        <w:t xml:space="preserve"> </w:t>
      </w:r>
      <w:r>
        <w:rPr>
          <w:rFonts w:ascii="Times New Roman;sans-serif" w:hAnsi="Times New Roman;sans-serif"/>
          <w:b w:val="false"/>
          <w:color w:val="000000"/>
          <w:sz w:val="20"/>
        </w:rPr>
        <w:t>underwriting</w:t>
      </w:r>
      <w:r>
        <w:rPr>
          <w:color w:val="000000"/>
        </w:rPr>
        <w:t xml:space="preserve"> </w:t>
      </w:r>
      <w:r>
        <w:rPr>
          <w:rFonts w:ascii="Times New Roman;sans-serif" w:hAnsi="Times New Roman;sans-serif"/>
          <w:b w:val="false"/>
          <w:color w:val="000000"/>
          <w:sz w:val="20"/>
        </w:rPr>
        <w:t>discount,</w:t>
      </w:r>
      <w:r>
        <w:rPr>
          <w:color w:val="000000"/>
        </w:rPr>
        <w:t xml:space="preserve"> </w:t>
      </w:r>
      <w:r>
        <w:rPr>
          <w:rFonts w:ascii="Times New Roman;sans-serif" w:hAnsi="Times New Roman;sans-serif"/>
          <w:b w:val="false"/>
          <w:color w:val="000000"/>
          <w:sz w:val="20"/>
        </w:rPr>
        <w:t>are</w:t>
      </w:r>
      <w:r>
        <w:rPr>
          <w:color w:val="000000"/>
        </w:rPr>
        <w:t xml:space="preserve"> </w:t>
      </w:r>
      <w:r>
        <w:rPr>
          <w:rFonts w:ascii="Times New Roman;sans-serif" w:hAnsi="Times New Roman;sans-serif"/>
          <w:b w:val="false"/>
          <w:color w:val="000000"/>
          <w:sz w:val="20"/>
        </w:rPr>
        <w:t>estimated</w:t>
      </w:r>
      <w:r>
        <w:rPr>
          <w:color w:val="000000"/>
        </w:rPr>
        <w:t xml:space="preserve"> </w:t>
      </w:r>
      <w:r>
        <w:rPr>
          <w:rFonts w:ascii="Times New Roman;sans-serif" w:hAnsi="Times New Roman;sans-serif"/>
          <w:b w:val="false"/>
          <w:color w:val="000000"/>
          <w:sz w:val="20"/>
        </w:rPr>
        <w:t>at</w:t>
      </w:r>
      <w:r>
        <w:rPr>
          <w:color w:val="000000"/>
        </w:rPr>
        <w:t xml:space="preserve"> </w:t>
      </w:r>
      <w:r>
        <w:rPr>
          <w:rFonts w:ascii="Times New Roman;sans-serif" w:hAnsi="Times New Roman;sans-serif"/>
          <w:b w:val="false"/>
          <w:color w:val="000000"/>
          <w:sz w:val="20"/>
        </w:rPr>
        <w:t>$470,000.</w:t>
      </w:r>
      <w:r>
        <w:rPr>
          <w:color w:val="000000"/>
        </w:rPr>
        <w:t xml:space="preserve"> </w:t>
      </w:r>
      <w:r>
        <w:rPr>
          <w:rFonts w:ascii="Times New Roman;sans-serif" w:hAnsi="Times New Roman;sans-serif"/>
          <w:b w:val="false"/>
          <w:color w:val="000000"/>
          <w:sz w:val="20"/>
        </w:rPr>
        <w:t>We have agreed</w:t>
      </w:r>
      <w:r>
        <w:rPr>
          <w:color w:val="000000"/>
        </w:rPr>
        <w:t xml:space="preserve"> </w:t>
      </w:r>
      <w:r>
        <w:rPr>
          <w:rFonts w:ascii="Times New Roman;sans-serif" w:hAnsi="Times New Roman;sans-serif"/>
          <w:b w:val="false"/>
          <w:color w:val="000000"/>
          <w:sz w:val="20"/>
        </w:rPr>
        <w:t>to reimburse</w:t>
      </w:r>
      <w:r>
        <w:rPr>
          <w:color w:val="000000"/>
        </w:rPr>
        <w:t xml:space="preserve"> </w:t>
      </w:r>
      <w:r>
        <w:rPr>
          <w:rFonts w:ascii="Times New Roman;sans-serif" w:hAnsi="Times New Roman;sans-serif"/>
          <w:b w:val="false"/>
          <w:color w:val="000000"/>
          <w:sz w:val="20"/>
        </w:rPr>
        <w:t>the</w:t>
      </w:r>
      <w:r>
        <w:rPr>
          <w:color w:val="000000"/>
        </w:rPr>
        <w:t xml:space="preserve"> </w:t>
      </w:r>
      <w:r>
        <w:rPr>
          <w:rFonts w:ascii="Times New Roman;sans-serif" w:hAnsi="Times New Roman;sans-serif"/>
          <w:b w:val="false"/>
          <w:color w:val="000000"/>
          <w:sz w:val="20"/>
        </w:rPr>
        <w:t>underwriters</w:t>
      </w:r>
      <w:r>
        <w:rPr>
          <w:color w:val="000000"/>
        </w:rPr>
        <w:t xml:space="preserve"> </w:t>
      </w:r>
      <w:r>
        <w:rPr>
          <w:rFonts w:ascii="Times New Roman;sans-serif" w:hAnsi="Times New Roman;sans-serif"/>
          <w:b w:val="false"/>
          <w:color w:val="000000"/>
          <w:sz w:val="20"/>
        </w:rPr>
        <w:t>for</w:t>
      </w:r>
      <w:r>
        <w:rPr>
          <w:color w:val="000000"/>
        </w:rPr>
        <w:t xml:space="preserve"> </w:t>
      </w:r>
      <w:r>
        <w:rPr>
          <w:rFonts w:ascii="Times New Roman;sans-serif" w:hAnsi="Times New Roman;sans-serif"/>
          <w:b w:val="false"/>
          <w:color w:val="000000"/>
          <w:sz w:val="20"/>
        </w:rPr>
        <w:t>FINRA expenses</w:t>
      </w:r>
      <w:r>
        <w:rPr>
          <w:color w:val="000000"/>
        </w:rPr>
        <w:t xml:space="preserve"> </w:t>
      </w:r>
      <w:r>
        <w:rPr>
          <w:rFonts w:ascii="Times New Roman;sans-serif" w:hAnsi="Times New Roman;sans-serif"/>
          <w:b w:val="false"/>
          <w:color w:val="000000"/>
          <w:sz w:val="20"/>
        </w:rPr>
        <w:t>in an amount</w:t>
      </w:r>
      <w:r>
        <w:rPr>
          <w:color w:val="000000"/>
        </w:rPr>
        <w:t xml:space="preserve"> </w:t>
      </w:r>
      <w:r>
        <w:rPr>
          <w:rFonts w:ascii="Times New Roman;sans-serif" w:hAnsi="Times New Roman;sans-serif"/>
          <w:b w:val="false"/>
          <w:color w:val="000000"/>
          <w:sz w:val="20"/>
        </w:rPr>
        <w:t>not to exceed</w:t>
      </w:r>
      <w:r>
        <w:rPr>
          <w:color w:val="000000"/>
        </w:rPr>
        <w:t xml:space="preserve"> </w:t>
      </w:r>
      <w:r>
        <w:rPr>
          <w:rFonts w:ascii="Times New Roman;sans-serif" w:hAnsi="Times New Roman;sans-serif"/>
          <w:b w:val="false"/>
          <w:color w:val="000000"/>
          <w:sz w:val="20"/>
        </w:rPr>
        <w:t>$30,000.</w:t>
      </w:r>
    </w:p>
    <w:p>
      <w:pPr>
        <w:pStyle w:val="TextBody"/>
        <w:spacing w:lineRule="auto" w:line="288" w:before="0" w:after="180"/>
        <w:rPr/>
      </w:pPr>
      <w:r>
        <w:rPr>
          <w:rFonts w:ascii="Times New Roman;sans-serif" w:hAnsi="Times New Roman;sans-serif"/>
          <w:b/>
          <w:color w:val="231F20"/>
          <w:sz w:val="20"/>
        </w:rPr>
        <w:t>Option</w:t>
      </w:r>
      <w:r>
        <w:rPr>
          <w:color w:val="231F20"/>
        </w:rPr>
        <w:t xml:space="preserve"> </w:t>
      </w:r>
      <w:r>
        <w:rPr>
          <w:rFonts w:ascii="Times New Roman;sans-serif" w:hAnsi="Times New Roman;sans-serif"/>
          <w:b/>
          <w:color w:val="231F20"/>
          <w:sz w:val="20"/>
        </w:rPr>
        <w:t>to Purchase Additional</w:t>
      </w:r>
      <w:r>
        <w:rPr>
          <w:color w:val="231F20"/>
        </w:rPr>
        <w:t xml:space="preserve"> </w:t>
      </w:r>
      <w:r>
        <w:rPr>
          <w:rFonts w:ascii="Times New Roman;sans-serif" w:hAnsi="Times New Roman;sans-serif"/>
          <w:b/>
          <w:color w:val="231F20"/>
          <w:sz w:val="20"/>
        </w:rPr>
        <w:t>Shares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granted an option to the underwriters, exercisable for 30 days after the date of this prospectus supplement, to purchase up to 566,250 additional shares of our common stock at the public offering price, less the underwriting discount. This option is exercisable, in whole or in part, for a period of 30 days from the date of the underwriting agreement. If the underwriters exercise this option, each will be obligated, subject to conditions contained in the underwriting agreement, to purchase a number of additional shares proportionate to that underwriter’s initial amount reflected in the above table.</w:t>
      </w:r>
    </w:p>
    <w:p>
      <w:pPr>
        <w:pStyle w:val="TextBody"/>
        <w:spacing w:lineRule="auto" w:line="288" w:before="0" w:after="180"/>
        <w:rPr/>
      </w:pPr>
      <w:r>
        <w:rPr>
          <w:rFonts w:ascii="Times New Roman;sans-serif" w:hAnsi="Times New Roman;sans-serif"/>
          <w:b/>
          <w:color w:val="231F20"/>
          <w:sz w:val="20"/>
        </w:rPr>
        <w:t>No Sales</w:t>
      </w:r>
      <w:r>
        <w:rPr>
          <w:color w:val="231F20"/>
        </w:rPr>
        <w:t xml:space="preserve"> </w:t>
      </w:r>
      <w:r>
        <w:rPr>
          <w:rFonts w:ascii="Times New Roman;sans-serif" w:hAnsi="Times New Roman;sans-serif"/>
          <w:b/>
          <w:color w:val="231F20"/>
          <w:sz w:val="20"/>
        </w:rPr>
        <w:t>of Similar</w:t>
      </w:r>
      <w:r>
        <w:rPr>
          <w:color w:val="231F20"/>
        </w:rPr>
        <w:t xml:space="preserve"> </w:t>
      </w:r>
      <w:r>
        <w:rPr>
          <w:rFonts w:ascii="Times New Roman;sans-serif" w:hAnsi="Times New Roman;sans-serif"/>
          <w:b/>
          <w:color w:val="231F20"/>
          <w:sz w:val="20"/>
        </w:rPr>
        <w:t>Securities</w:t>
      </w:r>
    </w:p>
    <w:p>
      <w:pPr>
        <w:pStyle w:val="TextBody"/>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our directors, officers and the selling stockholder have agreed that, without the prior written consent of BofA Securities, Inc. and Morgan Stanley &amp; Co. LLC on behalf of the underwriters, we will not and they will not publicly disclose an intention to, during the period ending 60 days after the date of this prospectus (the “restricted period”):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 or</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enter into any swap or other arrangement that transfers to another, in whole or in part, any of the economic consequences of ownership of the common stock; whether any such transaction described above is to be settled by delivery of common stock or such other securities, in cash or otherwise. In addition, we have agreed that we will not file any registration statement with the Securities and Exchange Commission relating to the offering of any shares of common stock or any securities convertible into or exercisable or exchangeable for common stock, subject to certain exceptions, and each such other person agrees that, without the prior written consent of BofA Securities, Inc. and Morgan Stanley &amp; Co. LLC, on behalf of the underwriters, such other person will not, during the restricted period, make any demand for, or exercise any right with respect to, the registration of any shares of common stock or any security convertible into or exercisable or exchangeable for common stock.</w:t>
      </w:r>
    </w:p>
    <w:p>
      <w:pPr>
        <w:pStyle w:val="TextBody"/>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restrictions described in the immediately preceding paragraph with respect to our directors, officers and the selling stockholder do not apply to:</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transactions by a security holder relating to shares of common stock or other securities acquired in open market transactions after the closing of this offering; provided that no filing under Section 16(a) of the Exchange Act is required or voluntarily made during the restricted period in connection with subsequent sales of common stock or other securities acquired in such open market transactions;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transfers of shares of common stock or any security convertible into or exercisable or exchangeable for common stock (i) as a bona fide gift, (ii) to an immediate family member or a trust for the direct or indirect benefit of the transferor or such immediate family member of the transferor, (iii) to any corporation, partnership, limited liability company, investment fund, or other entity controlled or managed, or under common control or management by the transferor or the immediate family of the transferor, or (iv) by will, other testamentary document or intestate succession to the legal representative, heir, beneficiary, or a member of the immediate family of the transferor, provided in each case that (a) each distributee or transferee signs and delivers a lock-up letter and (b) no filing under Section 16(a) of the Exchange Act reporting a reduction in beneficial ownership of shares shall be required or voluntarily made during the restricted period (other than a filing on a Form 5);</w:t>
      </w:r>
      <w:r>
        <w:br w:type="page"/>
      </w:r>
    </w:p>
    <w:p>
      <w:pPr>
        <w:pStyle w:val="TextBody"/>
        <w:spacing w:before="0" w:after="200"/>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S-20</w:t>
                      </w:r>
                    </w:p>
                  </w:txbxContent>
                </v:textbox>
              </v:rect>
            </w:pict>
          </mc:Fallback>
        </mc:AlternateConten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distributions or transfers of shares of common stock or any security convertible into or exercisable or exchangeable for common stock to general or limited partners, members, or stockholders of the transferor, provided that (i) each distributee or transferee shall sign and deliver a lock-up letter and (ii) no filing under Section 16(a) of the Exchange Act, reporting a reduction in beneficial ownership of shares of common stock, shall be required or shall be voluntarily made during the restricted period (other than a filing on a Form 5);</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establishment of a trading plan pursuant to Rule 10b5-1 under the Exchange Act for the transfer of shares of common stock, provided that (i) such plan does not provide for the transfer of common stock during the restricted period and (ii) to the extent a public announcement or filing under the Exchange Act, if any, is required of or voluntarily made by or on behalf of the person or us regarding the establishment of such plan, such announcement or filing shall include a statement to the effect that no transfer of common stock may be made under such plan during the restricted period;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exercise of options to purchase shares of common stock granted under any stock incentive plan or stock purchase plan described in this prospectus, provided that (i) the underlying shares shall continue to be subject to the restrictions on transfer set forth in the lock-up agreement and (ii) any filing under Section 16 of the Exchange Act made during the restricted period shall clearly indicate that (A) the filing relates to the circumstances described above and (B) no securities were sold by the person, and (iii) the person does not otherwise voluntarily effect any other public filing or report regarding such transfers during the restricted period;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receipt from us of shares of common stock upon (A) the exercise or settlement of options or restricted stock units granted under a stock incentive plan or other equity award plan, which plan is described in this prospectus or (B) the exercise of warrants outstanding and which are described in the this prospectus, or (ii) the transfer of shares of common stock or any securities convertible into common stock to us upon a vesting or settlement event of our securities or upon the exercise of options or warrants to purchase our securities on a “cashless” or “net exercise” basis to the extent permitted by the instruments representing such options or warrants (and any transfer to us necessary to generate such amount of cash needed for the payment of taxes, including estimated taxes, due as a result of such vesting or exercise whether by means of a “net settlement” or otherwise) so long as such “cashless exercise” or “net exercise” is effected solely by the surrender of outstanding options or warrants (or the common stock issuable upon the exercise thereof) to us and our cancellation of all or a portion thereof to pay the exercise price and/or withholding tax and remittance obligations, provided that (1) in the case of (i), the shares received upon exercise or settlement of the option, restricted stock unit, or warrant are subject to the terms of the lock-up agreement and (2) to the extent a filing under Section 16 of the Exchange Act is required to be made during the restricted period as a result of transfers, it shall clearly indicate that (A) the filing relates to the circumstances described above and (B) no securities were sold by the transferor in the open market, and (3) the transferor does not otherwise voluntarily effect any other public filing or report regarding such transfers during the restricted period;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transfer of shares of common stock or any security convertible into or exercisable or exchangeable for common stock to us pursuant to agreements under which we have the option to repurchase such shares or a right of first refusal with respect to transfers of such shares, provided that (1) to the extent a filing under Section 16 of the Exchange Act is required to be made during the restricted period as a result of such transfers, it shall clearly indicate that (A) the filing relates to the circumstances described above and (B) no securities were sold by the transferor in the open market, and (2) the transferor does not otherwise voluntarily effect any other public filing or report regarding such transfers during the restricted period;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the transfer of shares of common stock or any security convertible into or exercisable or exchangeable for common stock that occurs pursuant to a qualified domestic order or in connection with a divorce settlement, provided that (i) each transferee shall sign and deliver a lock-up agreement, (ii) any filing under Section 16 of the Exchange Act made during the restricted period shall clearly indicate in the footnotes thereto that (A) the filing relates to the circumstances described above and (B) no securities were </w:t>
      </w:r>
      <w:r>
        <w:br w:type="page"/>
      </w:r>
    </w:p>
    <w:p>
      <w:pPr>
        <w:pStyle w:val="TextBody"/>
        <w:spacing w:before="0" w:after="200"/>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S-21</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sold by the transferor, and (iii) the transferor does not otherwise voluntarily effect any other public filing or report regarding such transfers during the restricted period;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sale or transfer of shares of common stock under a plan established pursuant to Rule 10b5-1 under the Exchange Act (a “10b5-1 Plan”) that is existing prior to this offering; provided, that, to the extent a public report, filing or announcement under the Exchange Act, if any, is required by, or voluntarily made by or on behalf of, such person or us regarding such transfer, such report, filing or announcement shall include a statement that such transfer is in accordance with an established 10b5-1 Plan;</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sale of shares of common stock solely in connection with the payment of taxes due with respect to the vesting of restricted stock or restricted stock units granted under a stock incentive plan or pursuant to a contractual employment arrangement described or incorporated by reference in this prospectus, insofar as such restricted stock or restricted stock units are outstanding as of the date of the prospectus, </w:t>
      </w:r>
      <w:r>
        <w:rPr>
          <w:rFonts w:ascii="Times New Roman;sans-serif" w:hAnsi="Times New Roman;sans-serif"/>
          <w:b w:val="false"/>
          <w:i/>
          <w:color w:val="000000"/>
          <w:sz w:val="20"/>
        </w:rPr>
        <w:t>provided</w:t>
      </w:r>
      <w:r>
        <w:rPr>
          <w:color w:val="000000"/>
        </w:rPr>
        <w:t> </w:t>
      </w:r>
      <w:r>
        <w:rPr>
          <w:rFonts w:ascii="Times New Roman;sans-serif" w:hAnsi="Times New Roman;sans-serif"/>
          <w:b w:val="false"/>
          <w:color w:val="000000"/>
          <w:sz w:val="20"/>
        </w:rPr>
        <w:t>that no filing under Section 16(a) of the Exchange Act shall be voluntarily made during the restricted period and any filing under Section 16(a) of the Exchange Act that is required to be made shall include a note indicating that such sale was solely in connection with the payment of taxes due with respect to the vesting of such restricted stock or restricted stock units; or</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any sale of shares of our common stock to the underwriters by the transferor pursuant to the underwriting agreement.</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 xml:space="preserve">Notwithstanding the foregoing, we may the sell or issue shares of our common stock not to exceed 5% of our outstanding common stock in connection with our acquisition of one or more businesses, products or technologies (whether by means of merger, stock purchase, asset purchase or otherwise) or in connection with joint ventures, commercial relationships or other strategic transactions, </w:t>
      </w:r>
      <w:r>
        <w:rPr>
          <w:rFonts w:ascii="Times New Roman;sans-serif" w:hAnsi="Times New Roman;sans-serif"/>
          <w:b w:val="false"/>
          <w:i/>
          <w:color w:val="000000"/>
          <w:sz w:val="20"/>
        </w:rPr>
        <w:t>provided</w:t>
      </w:r>
      <w:r>
        <w:rPr>
          <w:rFonts w:ascii="Times New Roman;sans-serif" w:hAnsi="Times New Roman;sans-serif"/>
          <w:b w:val="false"/>
          <w:color w:val="000000"/>
          <w:sz w:val="20"/>
        </w:rPr>
        <w:t>, that the recipient agrees to enter into a lockup agreement similar to the lockup agreements entered into by our directors and officers.</w:t>
      </w:r>
    </w:p>
    <w:p>
      <w:pPr>
        <w:pStyle w:val="TextBody"/>
        <w:spacing w:before="0" w:after="0"/>
        <w:jc w:val="both"/>
        <w:rPr/>
      </w:pPr>
      <w:r>
        <w:rPr/>
      </w:r>
    </w:p>
    <w:p>
      <w:pPr>
        <w:pStyle w:val="TextBody"/>
        <w:spacing w:lineRule="auto" w:line="268" w:before="0" w:after="0"/>
        <w:ind w:left="0" w:right="0" w:firstLine="360"/>
        <w:rPr/>
      </w:pPr>
      <w:r>
        <w:rPr>
          <w:rFonts w:ascii="Times New Roman;sans-serif" w:hAnsi="Times New Roman;sans-serif"/>
          <w:b w:val="false"/>
          <w:color w:val="000000"/>
          <w:sz w:val="20"/>
        </w:rPr>
        <w:t>BofA Securities,</w:t>
      </w:r>
      <w:r>
        <w:rPr>
          <w:color w:val="000000"/>
        </w:rPr>
        <w:t xml:space="preserve"> </w:t>
      </w:r>
      <w:r>
        <w:rPr>
          <w:rFonts w:ascii="Times New Roman;sans-serif" w:hAnsi="Times New Roman;sans-serif"/>
          <w:b w:val="false"/>
          <w:color w:val="000000"/>
          <w:sz w:val="20"/>
        </w:rPr>
        <w:t>Inc. and Morgan Stanley &amp; Co. LLC, acting together in their sole</w:t>
      </w:r>
      <w:r>
        <w:rPr>
          <w:color w:val="000000"/>
        </w:rPr>
        <w:t xml:space="preserve"> </w:t>
      </w:r>
      <w:r>
        <w:rPr>
          <w:rFonts w:ascii="Times New Roman;sans-serif" w:hAnsi="Times New Roman;sans-serif"/>
          <w:b w:val="false"/>
          <w:color w:val="000000"/>
          <w:sz w:val="20"/>
        </w:rPr>
        <w:t>discretion,</w:t>
      </w:r>
      <w:r>
        <w:rPr>
          <w:color w:val="000000"/>
        </w:rPr>
        <w:t xml:space="preserve"> </w:t>
      </w:r>
      <w:r>
        <w:rPr>
          <w:rFonts w:ascii="Times New Roman;sans-serif" w:hAnsi="Times New Roman;sans-serif"/>
          <w:b w:val="false"/>
          <w:color w:val="000000"/>
          <w:sz w:val="20"/>
        </w:rPr>
        <w:t>may</w:t>
      </w:r>
      <w:r>
        <w:rPr>
          <w:color w:val="000000"/>
        </w:rPr>
        <w:t xml:space="preserve"> </w:t>
      </w:r>
      <w:r>
        <w:rPr>
          <w:rFonts w:ascii="Times New Roman;sans-serif" w:hAnsi="Times New Roman;sans-serif"/>
          <w:b w:val="false"/>
          <w:color w:val="000000"/>
          <w:sz w:val="20"/>
        </w:rPr>
        <w:t>release</w:t>
      </w:r>
      <w:r>
        <w:rPr>
          <w:color w:val="000000"/>
        </w:rPr>
        <w:t xml:space="preserve"> </w:t>
      </w:r>
      <w:r>
        <w:rPr>
          <w:rFonts w:ascii="Times New Roman;sans-serif" w:hAnsi="Times New Roman;sans-serif"/>
          <w:b w:val="false"/>
          <w:color w:val="000000"/>
          <w:sz w:val="20"/>
        </w:rPr>
        <w:t>the</w:t>
      </w:r>
      <w:r>
        <w:rPr>
          <w:color w:val="000000"/>
        </w:rPr>
        <w:t xml:space="preserve"> </w:t>
      </w:r>
      <w:r>
        <w:rPr>
          <w:rFonts w:ascii="Times New Roman;sans-serif" w:hAnsi="Times New Roman;sans-serif"/>
          <w:b w:val="false"/>
          <w:color w:val="000000"/>
          <w:sz w:val="20"/>
        </w:rPr>
        <w:t>shares of common stock</w:t>
      </w:r>
      <w:r>
        <w:rPr>
          <w:color w:val="000000"/>
        </w:rPr>
        <w:t xml:space="preserve"> </w:t>
      </w:r>
      <w:r>
        <w:rPr>
          <w:rFonts w:ascii="Times New Roman;sans-serif" w:hAnsi="Times New Roman;sans-serif"/>
          <w:b w:val="false"/>
          <w:color w:val="000000"/>
          <w:sz w:val="20"/>
        </w:rPr>
        <w:t>subject</w:t>
      </w:r>
      <w:r>
        <w:rPr>
          <w:color w:val="000000"/>
        </w:rPr>
        <w:t xml:space="preserve"> </w:t>
      </w:r>
      <w:r>
        <w:rPr>
          <w:rFonts w:ascii="Times New Roman;sans-serif" w:hAnsi="Times New Roman;sans-serif"/>
          <w:b w:val="false"/>
          <w:color w:val="000000"/>
          <w:sz w:val="20"/>
        </w:rPr>
        <w:t>to the lock-up</w:t>
      </w:r>
      <w:r>
        <w:rPr>
          <w:color w:val="000000"/>
        </w:rPr>
        <w:t xml:space="preserve"> </w:t>
      </w:r>
      <w:r>
        <w:rPr>
          <w:rFonts w:ascii="Times New Roman;sans-serif" w:hAnsi="Times New Roman;sans-serif"/>
          <w:b w:val="false"/>
          <w:color w:val="000000"/>
          <w:sz w:val="20"/>
        </w:rPr>
        <w:t>agreement</w:t>
      </w:r>
      <w:r>
        <w:rPr>
          <w:color w:val="000000"/>
        </w:rPr>
        <w:t xml:space="preserve"> </w:t>
      </w:r>
      <w:r>
        <w:rPr>
          <w:rFonts w:ascii="Times New Roman;sans-serif" w:hAnsi="Times New Roman;sans-serif"/>
          <w:b w:val="false"/>
          <w:color w:val="000000"/>
          <w:sz w:val="20"/>
        </w:rPr>
        <w:t>described</w:t>
      </w:r>
      <w:r>
        <w:rPr>
          <w:color w:val="000000"/>
        </w:rPr>
        <w:t xml:space="preserve"> </w:t>
      </w:r>
      <w:r>
        <w:rPr>
          <w:rFonts w:ascii="Times New Roman;sans-serif" w:hAnsi="Times New Roman;sans-serif"/>
          <w:b w:val="false"/>
          <w:color w:val="000000"/>
          <w:sz w:val="20"/>
        </w:rPr>
        <w:t>above in whole or in part</w:t>
      </w:r>
      <w:r>
        <w:rPr>
          <w:color w:val="000000"/>
        </w:rPr>
        <w:t xml:space="preserve"> </w:t>
      </w:r>
      <w:r>
        <w:rPr>
          <w:rFonts w:ascii="Times New Roman;sans-serif" w:hAnsi="Times New Roman;sans-serif"/>
          <w:b w:val="false"/>
          <w:color w:val="000000"/>
          <w:sz w:val="20"/>
        </w:rPr>
        <w:t>at</w:t>
      </w:r>
      <w:r>
        <w:rPr>
          <w:color w:val="000000"/>
        </w:rPr>
        <w:t xml:space="preserve"> </w:t>
      </w:r>
      <w:r>
        <w:rPr>
          <w:rFonts w:ascii="Times New Roman;sans-serif" w:hAnsi="Times New Roman;sans-serif"/>
          <w:b w:val="false"/>
          <w:color w:val="000000"/>
          <w:sz w:val="20"/>
        </w:rPr>
        <w:t>any time.</w:t>
      </w:r>
    </w:p>
    <w:p>
      <w:pPr>
        <w:pStyle w:val="TextBody"/>
        <w:spacing w:lineRule="auto" w:line="288" w:before="0" w:after="180"/>
        <w:rPr>
          <w:rFonts w:ascii="Times New Roman;sans-serif" w:hAnsi="Times New Roman;sans-serif"/>
          <w:b/>
          <w:color w:val="231F20"/>
          <w:sz w:val="20"/>
        </w:rPr>
      </w:pPr>
      <w:r>
        <w:rPr>
          <w:rFonts w:ascii="Times New Roman;sans-serif" w:hAnsi="Times New Roman;sans-serif"/>
          <w:b/>
          <w:color w:val="231F20"/>
          <w:sz w:val="20"/>
        </w:rPr>
        <w:t>Listing</w:t>
      </w:r>
    </w:p>
    <w:p>
      <w:pPr>
        <w:pStyle w:val="TextBody"/>
        <w:spacing w:lineRule="auto" w:line="288" w:before="0" w:after="180"/>
        <w:ind w:left="0" w:right="0" w:firstLine="720"/>
        <w:rPr/>
      </w:pPr>
      <w:r>
        <w:rPr>
          <w:rFonts w:ascii="Times New Roman;sans-serif" w:hAnsi="Times New Roman;sans-serif"/>
          <w:b w:val="false"/>
          <w:color w:val="000000"/>
          <w:sz w:val="20"/>
        </w:rPr>
        <w:t>Our common</w:t>
      </w:r>
      <w:r>
        <w:rPr>
          <w:color w:val="000000"/>
        </w:rPr>
        <w:t xml:space="preserve"> </w:t>
      </w:r>
      <w:r>
        <w:rPr>
          <w:rFonts w:ascii="Times New Roman;sans-serif" w:hAnsi="Times New Roman;sans-serif"/>
          <w:b w:val="false"/>
          <w:color w:val="000000"/>
          <w:sz w:val="20"/>
        </w:rPr>
        <w:t>stock</w:t>
      </w:r>
      <w:r>
        <w:rPr>
          <w:color w:val="000000"/>
        </w:rPr>
        <w:t xml:space="preserve"> </w:t>
      </w:r>
      <w:r>
        <w:rPr>
          <w:rFonts w:ascii="Times New Roman;sans-serif" w:hAnsi="Times New Roman;sans-serif"/>
          <w:b w:val="false"/>
          <w:color w:val="000000"/>
          <w:sz w:val="20"/>
        </w:rPr>
        <w:t>is</w:t>
      </w:r>
      <w:r>
        <w:rPr>
          <w:color w:val="000000"/>
        </w:rPr>
        <w:t xml:space="preserve"> </w:t>
      </w:r>
      <w:r>
        <w:rPr>
          <w:rFonts w:ascii="Times New Roman;sans-serif" w:hAnsi="Times New Roman;sans-serif"/>
          <w:b w:val="false"/>
          <w:color w:val="000000"/>
          <w:sz w:val="20"/>
        </w:rPr>
        <w:t>listed</w:t>
      </w:r>
      <w:r>
        <w:rPr>
          <w:color w:val="000000"/>
        </w:rPr>
        <w:t xml:space="preserve"> </w:t>
      </w:r>
      <w:r>
        <w:rPr>
          <w:rFonts w:ascii="Times New Roman;sans-serif" w:hAnsi="Times New Roman;sans-serif"/>
          <w:b w:val="false"/>
          <w:color w:val="000000"/>
          <w:sz w:val="20"/>
        </w:rPr>
        <w:t>on the</w:t>
      </w:r>
      <w:r>
        <w:rPr>
          <w:color w:val="000000"/>
        </w:rPr>
        <w:t xml:space="preserve"> </w:t>
      </w:r>
      <w:r>
        <w:rPr>
          <w:rFonts w:ascii="Times New Roman;sans-serif" w:hAnsi="Times New Roman;sans-serif"/>
          <w:b w:val="false"/>
          <w:color w:val="000000"/>
          <w:sz w:val="20"/>
        </w:rPr>
        <w:t>Nasdaq Global Market</w:t>
      </w:r>
      <w:r>
        <w:rPr>
          <w:color w:val="000000"/>
        </w:rPr>
        <w:t xml:space="preserve"> </w:t>
      </w:r>
      <w:r>
        <w:rPr>
          <w:rFonts w:ascii="Times New Roman;sans-serif" w:hAnsi="Times New Roman;sans-serif"/>
          <w:b w:val="false"/>
          <w:color w:val="000000"/>
          <w:sz w:val="20"/>
        </w:rPr>
        <w:t>under</w:t>
      </w:r>
      <w:r>
        <w:rPr>
          <w:color w:val="000000"/>
        </w:rPr>
        <w:t xml:space="preserve"> </w:t>
      </w:r>
      <w:r>
        <w:rPr>
          <w:rFonts w:ascii="Times New Roman;sans-serif" w:hAnsi="Times New Roman;sans-serif"/>
          <w:b w:val="false"/>
          <w:color w:val="000000"/>
          <w:sz w:val="20"/>
        </w:rPr>
        <w:t>the</w:t>
      </w:r>
      <w:r>
        <w:rPr>
          <w:color w:val="000000"/>
        </w:rPr>
        <w:t xml:space="preserve"> </w:t>
      </w:r>
      <w:r>
        <w:rPr>
          <w:rFonts w:ascii="Times New Roman;sans-serif" w:hAnsi="Times New Roman;sans-serif"/>
          <w:b w:val="false"/>
          <w:color w:val="000000"/>
          <w:sz w:val="20"/>
        </w:rPr>
        <w:t>symbol</w:t>
      </w:r>
      <w:r>
        <w:rPr>
          <w:color w:val="000000"/>
        </w:rPr>
        <w:t xml:space="preserve"> “</w:t>
      </w:r>
      <w:r>
        <w:rPr>
          <w:rFonts w:ascii="Times New Roman;sans-serif" w:hAnsi="Times New Roman;sans-serif"/>
          <w:b w:val="false"/>
          <w:color w:val="000000"/>
          <w:sz w:val="20"/>
        </w:rPr>
        <w:t>SIBN.”</w:t>
      </w:r>
    </w:p>
    <w:p>
      <w:pPr>
        <w:pStyle w:val="TextBody"/>
        <w:spacing w:lineRule="auto" w:line="288" w:before="0" w:after="180"/>
        <w:rPr>
          <w:rFonts w:ascii="Times New Roman;sans-serif" w:hAnsi="Times New Roman;sans-serif"/>
          <w:b/>
          <w:color w:val="231F20"/>
          <w:sz w:val="20"/>
        </w:rPr>
      </w:pPr>
      <w:r>
        <w:rPr>
          <w:rFonts w:ascii="Times New Roman;sans-serif" w:hAnsi="Times New Roman;sans-serif"/>
          <w:b/>
          <w:color w:val="231F20"/>
          <w:sz w:val="20"/>
        </w:rPr>
        <w:t>Price Stabilization, Short Positions and Penalty Bids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Until the distribution of the shares is completed, SEC rules may limit underwriters and selling group members from bidding for and purchasing our common stock. However, the representatives may engage in transactions that stabilize the price of our common stock, such as bids or purchases to peg, fix or maintain that price.</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this offering, the underwriters may purchase and sell our common stock in the open market. These transactions may include short sales, purchases on the open market to cover positions created by short sales and stabilizing transactions. Short sales involve the sale by the underwriters of a greater number of shares than they are required to purchase in this offering. “Covered” short sales are sales made in an amount not greater than the underwriters’ option to purchase additional shares described above. The underwriters may close out any covered short position by either exercising their option to purchase additional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granted to them. “Naked” short sales are sales in excess of such option. The underwriters must close out any naked short position by purchasing shares in the open market. A naked short position is more likely to be created if the underwriters are concerned that there may be downward pressure on the price of our common stock in the open market after pricing that could adversely affect investors who purchase in this offering. Stabilizing transactions consist of various bids for or purchases of shares of common stock made by the underwriters in the open market prior to the completion of this offering.</w:t>
      </w:r>
      <w:r>
        <w:br w:type="page"/>
      </w:r>
    </w:p>
    <w:p>
      <w:pPr>
        <w:pStyle w:val="TextBody"/>
        <w:spacing w:before="0" w:after="200"/>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S-22</w:t>
                      </w:r>
                    </w:p>
                  </w:txbxContent>
                </v:textbox>
              </v:rect>
            </w:pict>
          </mc:Fallback>
        </mc:AlternateContent>
      </w:r>
    </w:p>
    <w:p>
      <w:pPr>
        <w:pStyle w:val="TextBody"/>
        <w:spacing w:before="0" w:after="180"/>
        <w:ind w:left="0" w:right="0" w:firstLine="720"/>
        <w:jc w:val="both"/>
        <w:rPr/>
      </w:pPr>
      <w:r>
        <w:rPr/>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The underwriters may conduct these transactions on the NYSE, in the over-the-counter market or otherwise.</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Neither we nor any of the underwriters make any representation or prediction as to the direction or magnitude of any effect that the transactions described above may have on the price of our common stock. In addition, neither we nor any of the underwriters make any representation that the representatives will engage in these transactions or that these transactions, once commenced, will not be discontinued without notice.</w:t>
      </w:r>
    </w:p>
    <w:p>
      <w:pPr>
        <w:pStyle w:val="TextBody"/>
        <w:spacing w:lineRule="auto" w:line="288" w:before="0" w:after="180"/>
        <w:rPr/>
      </w:pPr>
      <w:r>
        <w:rPr>
          <w:rFonts w:ascii="Times New Roman;sans-serif" w:hAnsi="Times New Roman;sans-serif"/>
          <w:b/>
          <w:color w:val="231F20"/>
          <w:sz w:val="20"/>
        </w:rPr>
        <w:t>Electronic</w:t>
      </w:r>
      <w:r>
        <w:rPr>
          <w:color w:val="231F20"/>
        </w:rPr>
        <w:t xml:space="preserve"> </w:t>
      </w:r>
      <w:r>
        <w:rPr>
          <w:rFonts w:ascii="Times New Roman;sans-serif" w:hAnsi="Times New Roman;sans-serif"/>
          <w:b/>
          <w:color w:val="231F20"/>
          <w:sz w:val="20"/>
        </w:rPr>
        <w:t>Distribution</w:t>
      </w:r>
    </w:p>
    <w:p>
      <w:pPr>
        <w:pStyle w:val="TextBody"/>
        <w:spacing w:lineRule="auto" w:line="288" w:before="0" w:after="180"/>
        <w:jc w:val="both"/>
        <w:rPr/>
      </w:pPr>
      <w:r>
        <w:rPr>
          <w:rFonts w:ascii="Times New Roman;sans-serif" w:hAnsi="Times New Roman;sans-serif"/>
          <w:b w:val="false"/>
          <w:color w:val="000000"/>
          <w:sz w:val="20"/>
        </w:rPr>
        <w:t>In connection</w:t>
      </w:r>
      <w:r>
        <w:rPr>
          <w:color w:val="000000"/>
        </w:rPr>
        <w:t xml:space="preserve"> </w:t>
      </w:r>
      <w:r>
        <w:rPr>
          <w:rFonts w:ascii="Times New Roman;sans-serif" w:hAnsi="Times New Roman;sans-serif"/>
          <w:b w:val="false"/>
          <w:color w:val="000000"/>
          <w:sz w:val="20"/>
        </w:rPr>
        <w:t>with this</w:t>
      </w:r>
      <w:r>
        <w:rPr>
          <w:color w:val="000000"/>
        </w:rPr>
        <w:t xml:space="preserve"> </w:t>
      </w:r>
      <w:r>
        <w:rPr>
          <w:rFonts w:ascii="Times New Roman;sans-serif" w:hAnsi="Times New Roman;sans-serif"/>
          <w:b w:val="false"/>
          <w:color w:val="000000"/>
          <w:sz w:val="20"/>
        </w:rPr>
        <w:t>offering,</w:t>
      </w:r>
      <w:r>
        <w:rPr>
          <w:color w:val="000000"/>
        </w:rPr>
        <w:t xml:space="preserve"> </w:t>
      </w:r>
      <w:r>
        <w:rPr>
          <w:rFonts w:ascii="Times New Roman;sans-serif" w:hAnsi="Times New Roman;sans-serif"/>
          <w:b w:val="false"/>
          <w:color w:val="000000"/>
          <w:sz w:val="20"/>
        </w:rPr>
        <w:t>certain</w:t>
      </w:r>
      <w:r>
        <w:rPr>
          <w:color w:val="000000"/>
        </w:rPr>
        <w:t xml:space="preserve"> </w:t>
      </w:r>
      <w:r>
        <w:rPr>
          <w:rFonts w:ascii="Times New Roman;sans-serif" w:hAnsi="Times New Roman;sans-serif"/>
          <w:b w:val="false"/>
          <w:color w:val="000000"/>
          <w:sz w:val="20"/>
        </w:rPr>
        <w:t>of the</w:t>
      </w:r>
      <w:r>
        <w:rPr>
          <w:color w:val="000000"/>
        </w:rPr>
        <w:t xml:space="preserve"> </w:t>
      </w:r>
      <w:r>
        <w:rPr>
          <w:rFonts w:ascii="Times New Roman;sans-serif" w:hAnsi="Times New Roman;sans-serif"/>
          <w:b w:val="false"/>
          <w:color w:val="000000"/>
          <w:sz w:val="20"/>
        </w:rPr>
        <w:t>underwriters</w:t>
      </w:r>
      <w:r>
        <w:rPr>
          <w:color w:val="000000"/>
        </w:rPr>
        <w:t xml:space="preserve"> </w:t>
      </w:r>
      <w:r>
        <w:rPr>
          <w:rFonts w:ascii="Times New Roman;sans-serif" w:hAnsi="Times New Roman;sans-serif"/>
          <w:b w:val="false"/>
          <w:color w:val="000000"/>
          <w:sz w:val="20"/>
        </w:rPr>
        <w:t>or securities</w:t>
      </w:r>
      <w:r>
        <w:rPr>
          <w:color w:val="000000"/>
        </w:rPr>
        <w:t xml:space="preserve"> </w:t>
      </w:r>
      <w:r>
        <w:rPr>
          <w:rFonts w:ascii="Times New Roman;sans-serif" w:hAnsi="Times New Roman;sans-serif"/>
          <w:b w:val="false"/>
          <w:color w:val="000000"/>
          <w:sz w:val="20"/>
        </w:rPr>
        <w:t>dealers</w:t>
      </w:r>
      <w:r>
        <w:rPr>
          <w:color w:val="000000"/>
        </w:rPr>
        <w:t xml:space="preserve"> </w:t>
      </w:r>
      <w:r>
        <w:rPr>
          <w:rFonts w:ascii="Times New Roman;sans-serif" w:hAnsi="Times New Roman;sans-serif"/>
          <w:b w:val="false"/>
          <w:color w:val="000000"/>
          <w:sz w:val="20"/>
        </w:rPr>
        <w:t>may</w:t>
      </w:r>
      <w:r>
        <w:rPr>
          <w:color w:val="000000"/>
        </w:rPr>
        <w:t xml:space="preserve"> </w:t>
      </w:r>
      <w:r>
        <w:rPr>
          <w:rFonts w:ascii="Times New Roman;sans-serif" w:hAnsi="Times New Roman;sans-serif"/>
          <w:b w:val="false"/>
          <w:color w:val="000000"/>
          <w:sz w:val="20"/>
        </w:rPr>
        <w:t>distribute prospectuses</w:t>
      </w:r>
      <w:r>
        <w:rPr>
          <w:color w:val="000000"/>
        </w:rPr>
        <w:t xml:space="preserve"> </w:t>
      </w:r>
      <w:r>
        <w:rPr>
          <w:rFonts w:ascii="Times New Roman;sans-serif" w:hAnsi="Times New Roman;sans-serif"/>
          <w:b w:val="false"/>
          <w:color w:val="000000"/>
          <w:sz w:val="20"/>
        </w:rPr>
        <w:t>by electronic</w:t>
      </w:r>
      <w:r>
        <w:rPr>
          <w:color w:val="000000"/>
        </w:rPr>
        <w:t xml:space="preserve"> </w:t>
      </w:r>
      <w:r>
        <w:rPr>
          <w:rFonts w:ascii="Times New Roman;sans-serif" w:hAnsi="Times New Roman;sans-serif"/>
          <w:b w:val="false"/>
          <w:color w:val="000000"/>
          <w:sz w:val="20"/>
        </w:rPr>
        <w:t>means,</w:t>
      </w:r>
      <w:r>
        <w:rPr>
          <w:color w:val="000000"/>
        </w:rPr>
        <w:t xml:space="preserve"> </w:t>
      </w:r>
      <w:r>
        <w:rPr>
          <w:rFonts w:ascii="Times New Roman;sans-serif" w:hAnsi="Times New Roman;sans-serif"/>
          <w:b w:val="false"/>
          <w:color w:val="000000"/>
          <w:sz w:val="20"/>
        </w:rPr>
        <w:t>such as e-mail.</w:t>
      </w:r>
    </w:p>
    <w:p>
      <w:pPr>
        <w:pStyle w:val="TextBody"/>
        <w:spacing w:lineRule="auto" w:line="288" w:before="0" w:after="180"/>
        <w:rPr/>
      </w:pPr>
      <w:r>
        <w:rPr>
          <w:rFonts w:ascii="Times New Roman;sans-serif" w:hAnsi="Times New Roman;sans-serif"/>
          <w:b/>
          <w:color w:val="231F20"/>
          <w:sz w:val="20"/>
        </w:rPr>
        <w:t>Other</w:t>
      </w:r>
      <w:r>
        <w:rPr>
          <w:color w:val="231F20"/>
        </w:rPr>
        <w:t xml:space="preserve"> </w:t>
      </w:r>
      <w:r>
        <w:rPr>
          <w:rFonts w:ascii="Times New Roman;sans-serif" w:hAnsi="Times New Roman;sans-serif"/>
          <w:b/>
          <w:color w:val="231F20"/>
          <w:sz w:val="20"/>
        </w:rPr>
        <w:t>Relationships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Some of the underwriters and their affiliates have engaged in, and may in the future engage in, investment banking and other commercial dealings in the ordinary course of business with us or our affiliates. They have received, or may in the future receive, customary fees and commissions for these transactions.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Notice to Prospective Investors in the European Economic Area</w:t>
      </w:r>
    </w:p>
    <w:p>
      <w:pPr>
        <w:pStyle w:val="TextBody"/>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relation to each Member State of the European Economic Area (each, a “Relevant State”), no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offers of shares may be made to the public in that Relevant State at any time under the following exemptions under the Prospectus Regulation:</w:t>
      </w:r>
    </w:p>
    <w:p>
      <w:pPr>
        <w:pStyle w:val="TextBody"/>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(a)to any legal entity which is a qualified investor as defined under the Prospectus Regulation;</w:t>
      </w:r>
    </w:p>
    <w:p>
      <w:pPr>
        <w:pStyle w:val="TextBody"/>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(b)to fewer than 150 natural or legal persons (other than qualified investors as defined under the Prospectus Regulation), subject to obtaining the prior consent of the representatives for any such offer; or</w:t>
      </w:r>
    </w:p>
    <w:p>
      <w:pPr>
        <w:pStyle w:val="TextBody"/>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(c)in any other circumstances falling within Article 1(4) of the Prospectus Regulation,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provided that no such offer of shares shall require us or any underwriter to publish a prospectus pursuant to Article 3 of the Prospectus Regulation or supplement a prospectus pursuant to Article 23 of the Prospectus Regulation.</w:t>
      </w:r>
      <w:r>
        <w:br w:type="page"/>
      </w:r>
    </w:p>
    <w:p>
      <w:pPr>
        <w:pStyle w:val="TextBody"/>
        <w:spacing w:before="0" w:after="200"/>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S-23</w:t>
                      </w:r>
                    </w:p>
                  </w:txbxContent>
                </v:textbox>
              </v:rect>
            </w:pict>
          </mc:Fallback>
        </mc:AlternateContent>
      </w:r>
    </w:p>
    <w:p>
      <w:pPr>
        <w:pStyle w:val="TextBody"/>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Each person in a Relevant State who initially acquires any shares or to whom any offer is made will be deemed to have represented, acknowledged and agreed to and with us and the representatives that it is a qualified investor within the meaning of the Prospectus Regulation.</w:t>
      </w:r>
    </w:p>
    <w:p>
      <w:pPr>
        <w:pStyle w:val="TextBody"/>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the case of any shares being offered to a financial intermediary as that term is used in Article 5(1) of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to the public other than their offer or resale in a Relevant State to qualified investors, in circumstances in which the prior consent of the representatives has been obtained to each such proposed offer or resale.</w:t>
      </w:r>
    </w:p>
    <w:p>
      <w:pPr>
        <w:pStyle w:val="TextBody"/>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purposes of this provision, the expression an “offer to the public” in relation to any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 </w:t>
      </w:r>
    </w:p>
    <w:p>
      <w:pPr>
        <w:pStyle w:val="TextBody"/>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above selling restriction is in addition to any other selling restrictions set out below.</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Notice to Prospective Investors in the United Kingdom</w:t>
      </w:r>
    </w:p>
    <w:p>
      <w:pPr>
        <w:pStyle w:val="TextBody"/>
        <w:spacing w:lineRule="auto" w:line="288" w:before="0" w:after="180"/>
        <w:ind w:left="0" w:right="0" w:firstLine="720"/>
        <w:jc w:val="both"/>
        <w:rPr/>
      </w:pPr>
      <w:r>
        <w:rPr>
          <w:rFonts w:ascii="Times New Roman;sans-serif" w:hAnsi="Times New Roman;sans-serif"/>
          <w:b w:val="false"/>
          <w:color w:val="000000"/>
          <w:sz w:val="20"/>
        </w:rPr>
        <w:t>No shares</w:t>
      </w:r>
      <w:r>
        <w:rPr>
          <w:color w:val="000000"/>
        </w:rPr>
        <w:t xml:space="preserve"> </w:t>
      </w:r>
      <w:r>
        <w:rPr>
          <w:rFonts w:ascii="Times New Roman;sans-serif" w:hAnsi="Times New Roman;sans-serif"/>
          <w:b w:val="false"/>
          <w:color w:val="000000"/>
          <w:sz w:val="20"/>
        </w:rPr>
        <w:t>have been offered</w:t>
      </w:r>
      <w:r>
        <w:rPr>
          <w:color w:val="000000"/>
        </w:rPr>
        <w:t xml:space="preserve"> </w:t>
      </w:r>
      <w:r>
        <w:rPr>
          <w:rFonts w:ascii="Times New Roman;sans-serif" w:hAnsi="Times New Roman;sans-serif"/>
          <w:b w:val="false"/>
          <w:color w:val="000000"/>
          <w:sz w:val="20"/>
        </w:rPr>
        <w:t>or will</w:t>
      </w:r>
      <w:r>
        <w:rPr>
          <w:color w:val="000000"/>
        </w:rPr>
        <w:t xml:space="preserve"> </w:t>
      </w:r>
      <w:r>
        <w:rPr>
          <w:rFonts w:ascii="Times New Roman;sans-serif" w:hAnsi="Times New Roman;sans-serif"/>
          <w:b w:val="false"/>
          <w:color w:val="000000"/>
          <w:sz w:val="20"/>
        </w:rPr>
        <w:t>be offered</w:t>
      </w:r>
      <w:r>
        <w:rPr>
          <w:color w:val="000000"/>
        </w:rPr>
        <w:t xml:space="preserve"> </w:t>
      </w:r>
      <w:r>
        <w:rPr>
          <w:rFonts w:ascii="Times New Roman;sans-serif" w:hAnsi="Times New Roman;sans-serif"/>
          <w:b w:val="false"/>
          <w:color w:val="000000"/>
          <w:sz w:val="20"/>
        </w:rPr>
        <w:t>pursuant to the offering to the public in the United Kingdom prior to the publication of a prospectus in relation to the shares which has been approved by the Financial Conduct Authority,</w:t>
      </w:r>
      <w:r>
        <w:rPr>
          <w:color w:val="000000"/>
        </w:rPr>
        <w:t xml:space="preserve"> </w:t>
      </w:r>
      <w:r>
        <w:rPr>
          <w:rFonts w:ascii="Times New Roman;sans-serif" w:hAnsi="Times New Roman;sans-serif"/>
          <w:b w:val="false"/>
          <w:color w:val="000000"/>
          <w:sz w:val="20"/>
        </w:rPr>
        <w:t>except</w:t>
      </w:r>
      <w:r>
        <w:rPr>
          <w:color w:val="000000"/>
        </w:rPr>
        <w:t xml:space="preserve"> </w:t>
      </w:r>
      <w:r>
        <w:rPr>
          <w:rFonts w:ascii="Times New Roman;sans-serif" w:hAnsi="Times New Roman;sans-serif"/>
          <w:b w:val="false"/>
          <w:color w:val="000000"/>
          <w:sz w:val="20"/>
        </w:rPr>
        <w:t>that</w:t>
      </w:r>
      <w:r>
        <w:rPr>
          <w:color w:val="000000"/>
        </w:rPr>
        <w:t xml:space="preserve"> </w:t>
      </w:r>
      <w:r>
        <w:rPr>
          <w:rFonts w:ascii="Times New Roman;sans-serif" w:hAnsi="Times New Roman;sans-serif"/>
          <w:b w:val="false"/>
          <w:color w:val="000000"/>
          <w:sz w:val="20"/>
        </w:rPr>
        <w:t>offers</w:t>
      </w:r>
      <w:r>
        <w:rPr>
          <w:color w:val="000000"/>
        </w:rPr>
        <w:t xml:space="preserve"> </w:t>
      </w:r>
      <w:r>
        <w:rPr>
          <w:rFonts w:ascii="Times New Roman;sans-serif" w:hAnsi="Times New Roman;sans-serif"/>
          <w:b w:val="false"/>
          <w:color w:val="000000"/>
          <w:sz w:val="20"/>
        </w:rPr>
        <w:t>of shares</w:t>
      </w:r>
      <w:r>
        <w:rPr>
          <w:color w:val="000000"/>
        </w:rPr>
        <w:t xml:space="preserve"> </w:t>
      </w:r>
      <w:r>
        <w:rPr>
          <w:rFonts w:ascii="Times New Roman;sans-serif" w:hAnsi="Times New Roman;sans-serif"/>
          <w:b w:val="false"/>
          <w:color w:val="000000"/>
          <w:sz w:val="20"/>
        </w:rPr>
        <w:t>may</w:t>
      </w:r>
      <w:r>
        <w:rPr>
          <w:color w:val="000000"/>
        </w:rPr>
        <w:t xml:space="preserve"> </w:t>
      </w:r>
      <w:r>
        <w:rPr>
          <w:rFonts w:ascii="Times New Roman;sans-serif" w:hAnsi="Times New Roman;sans-serif"/>
          <w:b w:val="false"/>
          <w:color w:val="000000"/>
          <w:sz w:val="20"/>
        </w:rPr>
        <w:t>be made</w:t>
      </w:r>
      <w:r>
        <w:rPr>
          <w:color w:val="000000"/>
        </w:rPr>
        <w:t xml:space="preserve"> </w:t>
      </w:r>
      <w:r>
        <w:rPr>
          <w:rFonts w:ascii="Times New Roman;sans-serif" w:hAnsi="Times New Roman;sans-serif"/>
          <w:b w:val="false"/>
          <w:color w:val="000000"/>
          <w:sz w:val="20"/>
        </w:rPr>
        <w:t>to the</w:t>
      </w:r>
      <w:r>
        <w:rPr>
          <w:color w:val="000000"/>
        </w:rPr>
        <w:t xml:space="preserve"> </w:t>
      </w:r>
      <w:r>
        <w:rPr>
          <w:rFonts w:ascii="Times New Roman;sans-serif" w:hAnsi="Times New Roman;sans-serif"/>
          <w:b w:val="false"/>
          <w:color w:val="000000"/>
          <w:sz w:val="20"/>
        </w:rPr>
        <w:t>public</w:t>
      </w:r>
      <w:r>
        <w:rPr>
          <w:color w:val="000000"/>
        </w:rPr>
        <w:t xml:space="preserve"> </w:t>
      </w:r>
      <w:r>
        <w:rPr>
          <w:rFonts w:ascii="Times New Roman;sans-serif" w:hAnsi="Times New Roman;sans-serif"/>
          <w:b w:val="false"/>
          <w:color w:val="000000"/>
          <w:sz w:val="20"/>
        </w:rPr>
        <w:t>in the</w:t>
      </w:r>
      <w:r>
        <w:rPr>
          <w:color w:val="000000"/>
        </w:rPr>
        <w:t xml:space="preserve"> </w:t>
      </w:r>
      <w:r>
        <w:rPr>
          <w:rFonts w:ascii="Times New Roman;sans-serif" w:hAnsi="Times New Roman;sans-serif"/>
          <w:b w:val="false"/>
          <w:color w:val="000000"/>
          <w:sz w:val="20"/>
        </w:rPr>
        <w:t>United</w:t>
      </w:r>
      <w:r>
        <w:rPr>
          <w:color w:val="000000"/>
        </w:rPr>
        <w:t xml:space="preserve"> </w:t>
      </w:r>
      <w:r>
        <w:rPr>
          <w:rFonts w:ascii="Times New Roman;sans-serif" w:hAnsi="Times New Roman;sans-serif"/>
          <w:b w:val="false"/>
          <w:color w:val="000000"/>
          <w:sz w:val="20"/>
        </w:rPr>
        <w:t>Kingdom at</w:t>
      </w:r>
      <w:r>
        <w:rPr>
          <w:color w:val="000000"/>
        </w:rPr>
        <w:t xml:space="preserve"> </w:t>
      </w:r>
      <w:r>
        <w:rPr>
          <w:rFonts w:ascii="Times New Roman;sans-serif" w:hAnsi="Times New Roman;sans-serif"/>
          <w:b w:val="false"/>
          <w:color w:val="000000"/>
          <w:sz w:val="20"/>
        </w:rPr>
        <w:t>any time</w:t>
      </w:r>
      <w:r>
        <w:rPr>
          <w:color w:val="000000"/>
        </w:rPr>
        <w:t xml:space="preserve"> </w:t>
      </w:r>
      <w:r>
        <w:rPr>
          <w:rFonts w:ascii="Times New Roman;sans-serif" w:hAnsi="Times New Roman;sans-serif"/>
          <w:b w:val="false"/>
          <w:color w:val="000000"/>
          <w:sz w:val="20"/>
        </w:rPr>
        <w:t>under</w:t>
      </w:r>
      <w:r>
        <w:rPr>
          <w:color w:val="000000"/>
        </w:rPr>
        <w:t xml:space="preserve"> </w:t>
      </w:r>
      <w:r>
        <w:rPr>
          <w:rFonts w:ascii="Times New Roman;sans-serif" w:hAnsi="Times New Roman;sans-serif"/>
          <w:b w:val="false"/>
          <w:color w:val="000000"/>
          <w:sz w:val="20"/>
        </w:rPr>
        <w:t>the</w:t>
      </w:r>
      <w:r>
        <w:rPr>
          <w:color w:val="000000"/>
        </w:rPr>
        <w:t xml:space="preserve"> </w:t>
      </w:r>
      <w:r>
        <w:rPr>
          <w:rFonts w:ascii="Times New Roman;sans-serif" w:hAnsi="Times New Roman;sans-serif"/>
          <w:b w:val="false"/>
          <w:color w:val="000000"/>
          <w:sz w:val="20"/>
        </w:rPr>
        <w:t>following</w:t>
      </w:r>
      <w:r>
        <w:rPr>
          <w:color w:val="000000"/>
        </w:rPr>
        <w:t xml:space="preserve"> </w:t>
      </w:r>
      <w:r>
        <w:rPr>
          <w:rFonts w:ascii="Times New Roman;sans-serif" w:hAnsi="Times New Roman;sans-serif"/>
          <w:b w:val="false"/>
          <w:color w:val="000000"/>
          <w:sz w:val="20"/>
        </w:rPr>
        <w:t>exemptions</w:t>
      </w:r>
      <w:r>
        <w:rPr>
          <w:color w:val="000000"/>
        </w:rPr>
        <w:t xml:space="preserve"> </w:t>
      </w:r>
      <w:r>
        <w:rPr>
          <w:rFonts w:ascii="Times New Roman;sans-serif" w:hAnsi="Times New Roman;sans-serif"/>
          <w:b w:val="false"/>
          <w:color w:val="000000"/>
          <w:sz w:val="20"/>
        </w:rPr>
        <w:t>under</w:t>
      </w:r>
      <w:r>
        <w:rPr>
          <w:color w:val="000000"/>
        </w:rPr>
        <w:t xml:space="preserve"> </w:t>
      </w:r>
      <w:r>
        <w:rPr>
          <w:rFonts w:ascii="Times New Roman;sans-serif" w:hAnsi="Times New Roman;sans-serif"/>
          <w:b w:val="false"/>
          <w:color w:val="000000"/>
          <w:sz w:val="20"/>
        </w:rPr>
        <w:t>the U.K.</w:t>
      </w:r>
      <w:r>
        <w:rPr>
          <w:color w:val="000000"/>
        </w:rPr>
        <w:t xml:space="preserve"> </w:t>
      </w:r>
      <w:r>
        <w:rPr>
          <w:rFonts w:ascii="Times New Roman;sans-serif" w:hAnsi="Times New Roman;sans-serif"/>
          <w:b w:val="false"/>
          <w:color w:val="000000"/>
          <w:sz w:val="20"/>
        </w:rPr>
        <w:t>Prospectus</w:t>
      </w:r>
      <w:r>
        <w:rPr>
          <w:color w:val="000000"/>
        </w:rPr>
        <w:t xml:space="preserve"> </w:t>
      </w:r>
      <w:r>
        <w:rPr>
          <w:rFonts w:ascii="Times New Roman;sans-serif" w:hAnsi="Times New Roman;sans-serif"/>
          <w:b w:val="false"/>
          <w:color w:val="000000"/>
          <w:sz w:val="20"/>
        </w:rPr>
        <w:t>Regulation:</w:t>
      </w:r>
    </w:p>
    <w:p>
      <w:pPr>
        <w:pStyle w:val="TextBody"/>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(a)to any legal entity which is a qualified investor as defined under Article 2 of the U.K. Prospectus Regulation;</w:t>
      </w:r>
    </w:p>
    <w:p>
      <w:pPr>
        <w:pStyle w:val="TextBody"/>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(b)to fewer than 150 natural or legal persons (other than qualified investors as defined under the U.K. Prospectus Regulation), subject to obtaining the prior consent of the representatives for any such offer; or</w:t>
      </w:r>
    </w:p>
    <w:p>
      <w:pPr>
        <w:pStyle w:val="TextBody"/>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(c)in any other circumstances falling within Section 86 of the Financial Services Markets Act 2000 (as amended, the “FSMA”);</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provided that no such offer of shares shall require us or any representative to publish a prospectus pursuant to Section 85 of the FSMA or supplement a prospectus pursuant to Article 23 of the U.K. Prospectus Regulation.</w:t>
      </w:r>
    </w:p>
    <w:p>
      <w:pPr>
        <w:pStyle w:val="TextBody"/>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Each person in the United Kingdom who initially acquires any shares or to whom any offer is made will be deemed to have represented, acknowledged and agreed to and with us and the representatives that it is a qualified investor within the meaning of Article 2 of the U.K. Prospectus Regulation.</w:t>
      </w:r>
    </w:p>
    <w:p>
      <w:pPr>
        <w:pStyle w:val="TextBody"/>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the case of any shares being offered to a financial intermediary as that term is used in Article 1(4) of the U.K. Prospectus Regulation, each financial intermediary will also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the United Kingdom to qualified investors as so defined or in circumstances in which the prior consent of the representatives has been obtained to each such proposed offer or resale.</w:t>
      </w:r>
    </w:p>
    <w:p>
      <w:pPr>
        <w:pStyle w:val="TextBody"/>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the purposes of this provision: the expression an “offer to the public” in relation to any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r>
        <w:br w:type="page"/>
      </w:r>
    </w:p>
    <w:p>
      <w:pPr>
        <w:pStyle w:val="TextBody"/>
        <w:spacing w:before="0" w:after="200"/>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S-24</w:t>
                      </w:r>
                    </w:p>
                  </w:txbxContent>
                </v:textbox>
              </v:rect>
            </w:pict>
          </mc:Fallback>
        </mc:AlternateContent>
      </w:r>
    </w:p>
    <w:p>
      <w:pPr>
        <w:pStyle w:val="TextBody"/>
        <w:spacing w:lineRule="auto" w:line="288" w:before="0" w:after="180"/>
        <w:jc w:val="both"/>
        <w:rPr/>
      </w:pPr>
      <w:r>
        <w:rPr>
          <w:rFonts w:ascii="Times New Roman;sans-serif" w:hAnsi="Times New Roman;sans-serif"/>
          <w:b/>
          <w:color w:val="231F20"/>
          <w:sz w:val="20"/>
        </w:rPr>
        <w:t>Notice</w:t>
      </w:r>
      <w:r>
        <w:rPr>
          <w:color w:val="231F20"/>
        </w:rPr>
        <w:t xml:space="preserve"> </w:t>
      </w:r>
      <w:r>
        <w:rPr>
          <w:rFonts w:ascii="Times New Roman;sans-serif" w:hAnsi="Times New Roman;sans-serif"/>
          <w:b/>
          <w:color w:val="231F20"/>
          <w:sz w:val="20"/>
        </w:rPr>
        <w:t>to Prospective</w:t>
      </w:r>
      <w:r>
        <w:rPr>
          <w:color w:val="231F20"/>
        </w:rPr>
        <w:t xml:space="preserve"> </w:t>
      </w:r>
      <w:r>
        <w:rPr>
          <w:rFonts w:ascii="Times New Roman;sans-serif" w:hAnsi="Times New Roman;sans-serif"/>
          <w:b/>
          <w:color w:val="231F20"/>
          <w:sz w:val="20"/>
        </w:rPr>
        <w:t>Investors</w:t>
      </w:r>
      <w:r>
        <w:rPr>
          <w:color w:val="231F20"/>
        </w:rPr>
        <w:t xml:space="preserve"> </w:t>
      </w:r>
      <w:r>
        <w:rPr>
          <w:rFonts w:ascii="Times New Roman;sans-serif" w:hAnsi="Times New Roman;sans-serif"/>
          <w:b/>
          <w:color w:val="231F20"/>
          <w:sz w:val="20"/>
        </w:rPr>
        <w:t>in Switzerland</w:t>
      </w:r>
    </w:p>
    <w:p>
      <w:pPr>
        <w:pStyle w:val="TextBody"/>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shares may not be publicly offered in Switzerland and will not be listed on the SIX Swiss Exchange (“SIX”) or on any other stock exchange or regulated trading facility in Switzerland. This prospectus supplement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supplement nor any other offering or marketing material relating to the shares or this offering may be publicly distributed or otherwise made publicly available in Switzerland.</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Neither this prospectus supplement nor any other offering or marketing material relating to this offering, our company or the shares have been or will be filed with or approved by any Swiss regulatory authority. In particular, this prospectus supplement will not be filed with, and the offer of shares will not be supervised by, the Swiss Financial Market Supervisory Authority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Notice to Prospective Investors in the Dubai International Financial Centre</w:t>
      </w:r>
    </w:p>
    <w:p>
      <w:pPr>
        <w:pStyle w:val="TextBody"/>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This prospectus supplement relates to an Exempt Offer in accordance with the Offered Securities Rules of the Dubai Financial Services Authority (the “DFSA”). This prospectus supplement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the prospectus supplement. The shares to which this prospectus supplement relates may be illiquid and/or subject to restrictions on their resale. Prospective purchasers of the shares offered should conduct their own due diligence on the shares. If you do not understand the contents of this prospectus supplement, you should consult an authorized financial advisor.</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Notice to Prospective Investors in Australia</w:t>
      </w:r>
    </w:p>
    <w:p>
      <w:pPr>
        <w:pStyle w:val="TextBody"/>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No placement document, prospectus, product disclosure statement or other disclosure document has been lodged with the Australian Securities and Investments Commission in relation to this offering. This prospectus supplement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shares applied for by Exempt Investors in Australia must not be offered for sale in Australia in the period of 12 months after the date of allotment under this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This prospectus supplement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supplement is appropriate to their needs, objectives and circumstances, and, if necessary, seek expert advice on those matters.</w:t>
      </w:r>
      <w:r>
        <w:br w:type="page"/>
      </w:r>
    </w:p>
    <w:p>
      <w:pPr>
        <w:pStyle w:val="TextBody"/>
        <w:spacing w:before="0" w:after="200"/>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S-25</w:t>
                      </w:r>
                    </w:p>
                  </w:txbxContent>
                </v:textbox>
              </v:rect>
            </w:pict>
          </mc:Fallback>
        </mc:AlternateConten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Notice to Prospective Investors in Hong Kong</w:t>
      </w:r>
    </w:p>
    <w:p>
      <w:pPr>
        <w:pStyle w:val="TextBody"/>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shares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Securities and Futures Ordinance and any rules made under that Ordinance.</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Notice to Prospective Investors in Japan</w:t>
      </w:r>
    </w:p>
    <w:p>
      <w:pPr>
        <w:pStyle w:val="TextBody"/>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shares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Notice to Prospective Investors in Singapore</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This prospectus supplement has not been registered as a prospectus with the Monetary Authority of Singapore. Accordingly, the shares were not offered or sold or caused to be made the subject of an invitation for subscription or purchase and will not be offered or sold or caused to be made the subject of an invitation for subscription or purchase, and this prospectus supplement or any other document or material in connection with the offer or sale, or invitation for subscription or purchase, of the shares, has not been circulated or distributed, nor will it be circulated or distributed, whether directly or indirectly, to any person in Singapore other than (i) to an institutional investor (as defined in Section 4A of the Securities and Futures Act (Chapter 289) of Singapore, as modified or amended from time to time (the “SFA”)) pursuant to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Where the shares are subscribed or purchased under Section 275 of the SFA by a relevant person which is:</w:t>
      </w:r>
    </w:p>
    <w:p>
      <w:pPr>
        <w:pStyle w:val="TextBody"/>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 corporation (which is not an accredited investor (as defined in Section 4A of the SFA)) the sole business of which is to hold investments and the entire share capital of which is owned by one or more individuals, each of whom is an accredited investor; or</w:t>
      </w:r>
    </w:p>
    <w:p>
      <w:pPr>
        <w:pStyle w:val="TextBody"/>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pStyle w:val="TextBody"/>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(a)to an institutional investor or to a relevant person defined in Section 275(2) of the SFA, or to any person arising from an offer referred to in Section 275(1A) or Section 276(4)(i)(B) of the SFA;</w:t>
      </w:r>
    </w:p>
    <w:p>
      <w:pPr>
        <w:pStyle w:val="TextBody"/>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(b)where no consideration is or will be given for the transfer;</w:t>
      </w:r>
    </w:p>
    <w:p>
      <w:pPr>
        <w:pStyle w:val="TextBody"/>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(c)where the transfer is by operation of law;</w:t>
      </w:r>
      <w:r>
        <w:br w:type="page"/>
      </w:r>
    </w:p>
    <w:p>
      <w:pPr>
        <w:pStyle w:val="TextBody"/>
        <w:spacing w:before="0" w:after="200"/>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S-26</w:t>
                      </w:r>
                    </w:p>
                  </w:txbxContent>
                </v:textbox>
              </v:rect>
            </w:pict>
          </mc:Fallback>
        </mc:AlternateContent>
      </w:r>
    </w:p>
    <w:p>
      <w:pPr>
        <w:pStyle w:val="TextBody"/>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(d)as specified in Section 276(7) of the SFA; or</w:t>
      </w:r>
    </w:p>
    <w:p>
      <w:pPr>
        <w:pStyle w:val="TextBody"/>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(e)as specified in Regulation 32 of the Securities and Futures (Offers of Investment) (Shares and Debentures) Regulations 2005.</w:t>
      </w:r>
    </w:p>
    <w:p>
      <w:pPr>
        <w:pStyle w:val="TextBody"/>
        <w:spacing w:lineRule="auto" w:line="288" w:before="0" w:after="180"/>
        <w:ind w:left="0" w:right="0" w:firstLine="120"/>
        <w:jc w:val="both"/>
        <w:rPr>
          <w:rFonts w:ascii="Times New Roman;sans-serif" w:hAnsi="Times New Roman;sans-serif"/>
          <w:b/>
          <w:color w:val="000000"/>
          <w:sz w:val="20"/>
        </w:rPr>
      </w:pPr>
      <w:r>
        <w:rPr>
          <w:rFonts w:ascii="Times New Roman;sans-serif" w:hAnsi="Times New Roman;sans-serif"/>
          <w:b/>
          <w:color w:val="000000"/>
          <w:sz w:val="20"/>
        </w:rPr>
        <w:t>Notice to Prospective Investors in Canada</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Securities legislation in certain provinces or territories of Canada may provide a purchaser with remedies for rescission or damages if this prospectus supplement (including any amendment 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section 3A.3 of National Instrument 33-105 Underwriting Conflicts (NI 33-105), the underwriters are not required to comply with the disclosure requirements of NI 33-105 regarding underwriter conflicts of interest in connection with this offering.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LEGAL MATTERS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Cooley LLP will pass upon the validity of the securities offered by this prospectus supplement. Latham &amp; Watkins LLP is representing the underwriters in this offering.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EXPERTS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financial statements incorporated in this prospectus supplement and accompanying prospectus by reference to the Annual Report on Form 10-K for the year ended December 31, 2022, have been so incorporated in reliance on the report of PricewaterhouseCoopers LLP, an independent registered public accounting firm, given on the authority of said firm as experts in auditing and accounting.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WHERE YOU CAN FIND ADDITIONAL INFORMATION</w:t>
      </w:r>
    </w:p>
    <w:p>
      <w:pPr>
        <w:pStyle w:val="TextBody"/>
        <w:spacing w:lineRule="auto" w:line="288" w:before="0" w:after="180"/>
        <w:ind w:left="0" w:right="0" w:firstLine="360"/>
        <w:jc w:val="both"/>
        <w:rPr/>
      </w:pPr>
      <w:r>
        <w:rPr>
          <w:rFonts w:ascii="Times New Roman;sans-serif" w:hAnsi="Times New Roman;sans-serif"/>
          <w:b w:val="false"/>
          <w:color w:val="000000"/>
          <w:sz w:val="20"/>
        </w:rPr>
        <w:t xml:space="preserve">This prospectus supplement is part of the registration statement on Form S-3 we filed with the SEC under the Securities Act and does not contain all the information set forth in the registration statement. Whenever a reference is made in this prospectus supplement or accompanying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supplement and accompanying prospectus for a copy of such contract, agreement or other document. Because we are subject to the information and reporting requirements of the Exchange Act, we file annual, quarterly and current reports, proxy statements and other information with the SEC. Our SEC filings are available to the public over the Internet at the SEC’s website at </w:t>
      </w:r>
      <w:r>
        <w:rPr>
          <w:rFonts w:ascii="Times New Roman;sans-serif" w:hAnsi="Times New Roman;sans-serif"/>
          <w:b w:val="false"/>
          <w:color w:val="0000FF"/>
          <w:sz w:val="20"/>
          <w:u w:val="single"/>
        </w:rPr>
        <w:t>www.sec.gov</w:t>
      </w:r>
      <w:r>
        <w:rPr>
          <w:rFonts w:ascii="Times New Roman;sans-serif" w:hAnsi="Times New Roman;sans-serif"/>
          <w:b w:val="false"/>
          <w:color w:val="000000"/>
          <w:sz w:val="20"/>
        </w:rPr>
        <w:t>. The information on the SEC’s web site is not part of this prospectus supplement or the accompanying prospectus, and any references to this web site or any other web site are inactive textual references only.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200"/>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S-27</w:t>
                      </w:r>
                    </w:p>
                  </w:txbxContent>
                </v:textbox>
              </v:rect>
            </w:pict>
          </mc:Fallback>
        </mc:AlternateConten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INCORPORATION OF CERTAIN INFORMATION BY REFERENCE</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supplement and accompanying prospectus. Information in this prospectus supplement supersedes information in the accompanying prospectus supplement or incorporated by reference that we filed with the SEC prior to the date of this prospectus supplement, while information that we file later with the SEC will automatically update and supersede the information in this prospectus supplement and accompanying prospectus. We incorporate by reference into this prospectus supplement and accompanying prospectus and the registration statement of which this prospectus is a part the information or documents listed below that we have filed with the SEC (Commission File No. 001-38701)):</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our </w:t>
      </w:r>
      <w:hyperlink r:id="rId3">
        <w:r>
          <w:rPr>
            <w:rStyle w:val="InternetLink"/>
            <w:rFonts w:ascii="Times New Roman;sans-serif" w:hAnsi="Times New Roman;sans-serif"/>
            <w:b w:val="false"/>
            <w:strike w:val="false"/>
            <w:dstrike w:val="false"/>
            <w:color w:val="000000"/>
            <w:sz w:val="20"/>
            <w:u w:val="none"/>
            <w:effect w:val="none"/>
          </w:rPr>
          <w:t>Annual Report on Form 10-K, for the year ended December 31, 2022</w:t>
        </w:r>
      </w:hyperlink>
      <w:r>
        <w:rPr>
          <w:rFonts w:ascii="Times New Roman;sans-serif" w:hAnsi="Times New Roman;sans-serif"/>
          <w:b w:val="false"/>
          <w:color w:val="000000"/>
          <w:sz w:val="20"/>
        </w:rPr>
        <w:t xml:space="preserve">, filed with the SEC on March 2, 2023;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our </w:t>
      </w:r>
      <w:hyperlink r:id="rId4">
        <w:r>
          <w:rPr>
            <w:rStyle w:val="InternetLink"/>
            <w:rFonts w:ascii="Times New Roman;sans-serif" w:hAnsi="Times New Roman;sans-serif"/>
            <w:b w:val="false"/>
            <w:strike w:val="false"/>
            <w:dstrike w:val="false"/>
            <w:color w:val="000000"/>
            <w:sz w:val="20"/>
            <w:u w:val="none"/>
            <w:effect w:val="none"/>
          </w:rPr>
          <w:t>Quarterly Report on Form 10-Q</w:t>
        </w:r>
      </w:hyperlink>
      <w:r>
        <w:rPr>
          <w:rFonts w:ascii="Times New Roman;sans-serif" w:hAnsi="Times New Roman;sans-serif"/>
          <w:b w:val="false"/>
          <w:color w:val="000000"/>
          <w:sz w:val="20"/>
        </w:rPr>
        <w:t xml:space="preserve"> filed with the SEC on May 2, 2023;</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our Current Report on Form 8-K filed with the SEC on </w:t>
      </w:r>
      <w:hyperlink r:id="rId5">
        <w:r>
          <w:rPr>
            <w:rStyle w:val="InternetLink"/>
            <w:rFonts w:ascii="Times New Roman;sans-serif" w:hAnsi="Times New Roman;sans-serif"/>
            <w:b w:val="false"/>
            <w:strike w:val="false"/>
            <w:dstrike w:val="false"/>
            <w:color w:val="000000"/>
            <w:sz w:val="20"/>
            <w:u w:val="none"/>
            <w:effect w:val="none"/>
          </w:rPr>
          <w:t>January 9, 2023</w:t>
        </w:r>
      </w:hyperlink>
      <w:r>
        <w:rPr>
          <w:rFonts w:ascii="Times New Roman;sans-serif" w:hAnsi="Times New Roman;sans-serif"/>
          <w:b w:val="false"/>
          <w:color w:val="000000"/>
          <w:sz w:val="20"/>
        </w:rPr>
        <w:t xml:space="preserve"> (other than Item 2.02, Item 7.01 and related exhibits);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Our </w:t>
      </w:r>
      <w:hyperlink r:id="rId6">
        <w:r>
          <w:rPr>
            <w:rStyle w:val="InternetLink"/>
            <w:rFonts w:ascii="Times New Roman;sans-serif" w:hAnsi="Times New Roman;sans-serif"/>
            <w:b w:val="false"/>
            <w:strike w:val="false"/>
            <w:dstrike w:val="false"/>
            <w:color w:val="000000"/>
            <w:sz w:val="20"/>
            <w:u w:val="none"/>
            <w:effect w:val="none"/>
          </w:rPr>
          <w:t>Definitive Proxy Statement on Schedule 14A, filed with the SEC on April 21, 2023</w:t>
        </w:r>
      </w:hyperlink>
      <w:r>
        <w:rPr>
          <w:rFonts w:ascii="Times New Roman;sans-serif" w:hAnsi="Times New Roman;sans-serif"/>
          <w:b w:val="false"/>
          <w:color w:val="000000"/>
          <w:sz w:val="20"/>
        </w:rPr>
        <w:t xml:space="preserve"> (but only with respect to information required by Part III of our Annual Report on Form 10-K for the year ended December 31, 2022); and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the description of our common stock set forth in our registration statement on </w:t>
      </w:r>
      <w:hyperlink r:id="rId7">
        <w:r>
          <w:rPr>
            <w:rStyle w:val="InternetLink"/>
          </w:rPr>
          <w:t>Form 8-A</w:t>
        </w:r>
      </w:hyperlink>
      <w:hyperlink r:id="rId8">
        <w:r>
          <w:rPr>
            <w:rStyle w:val="InternetLink"/>
          </w:rPr>
          <w:t>, filed with the SEC on October 11, 2018</w:t>
        </w:r>
      </w:hyperlink>
      <w:r>
        <w:rPr>
          <w:rFonts w:ascii="Times New Roman;sans-serif" w:hAnsi="Times New Roman;sans-serif"/>
          <w:b w:val="false"/>
          <w:color w:val="000000"/>
          <w:sz w:val="20"/>
        </w:rPr>
        <w:t xml:space="preserve">, including any amendment or report filed for the purpose of updating such description, including </w:t>
      </w:r>
      <w:hyperlink r:id="rId9">
        <w:r>
          <w:rPr>
            <w:rStyle w:val="InternetLink"/>
            <w:rFonts w:ascii="Times New Roman;sans-serif" w:hAnsi="Times New Roman;sans-serif"/>
            <w:b w:val="false"/>
            <w:strike w:val="false"/>
            <w:dstrike w:val="false"/>
            <w:color w:val="000000"/>
            <w:sz w:val="20"/>
            <w:u w:val="none"/>
            <w:effect w:val="none"/>
          </w:rPr>
          <w:t>Exhibit 4.3</w:t>
        </w:r>
      </w:hyperlink>
      <w:r>
        <w:rPr>
          <w:rFonts w:ascii="Times New Roman;sans-serif" w:hAnsi="Times New Roman;sans-serif"/>
          <w:b w:val="false"/>
          <w:color w:val="000000"/>
          <w:sz w:val="20"/>
        </w:rPr>
        <w:t xml:space="preserve"> to our Quarterly Report on Form 10-Q for the quarter ended March 31, 2020 filed with the SEC on May 5, 2020.</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also incorporate by reference any future filings (other than current reports furnished under Item 2.02 or Item 7.01 of Form 8-K and exhibits filed on such form that are related to such items unless such Form 8-K expressly provides to the contrary) made with the SEC pursuant to Sections 13(a), 13(c), 14 or 15(d) of the Exchange Act, until we file a post-effective amendment that indicates the termination of the offering of the securities made by this prospectus supplement and accompanying prospectus, which will become a part of this prospectus supplement and accompanying prospectus from the date that such documents are filed with the SEC. Information in such future filings updates and supplements the information provided in this prospectus supplement and accompanying prospectus. Any statements in any such future filings will automatically be deemed to modify and supersede any information in any document we previously filed with the SEC that is incorporated or deemed to be incorporated herein by reference to the extent that statements in the later-filed document modify or replace such earlier statements. We will furnish without charge to each person, including any beneficial owner, to whom a prospectus supplement and accompanying prospectus is delivered, upon written or oral request, a copy of any or all of the documents incorporated by reference into this prospectus supplement and accompanying prospectus but not delivered with the prospectus supplement and accompanying prospectus, including exhibits that are specifically incorporated by reference into such documents. You should direct any requests for documents to:</w:t>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SI-BONE, Inc.</w:t>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471 El Camino Real, Suite 101</w:t>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Santa Clara, California 95050</w:t>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Attn: Corporate Secretary</w:t>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(408) 207</w:t>
        <w:noBreakHyphen/>
        <w:t>0700</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200"/>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S-28</w:t>
                      </w:r>
                    </w:p>
                  </w:txbxContent>
                </v:textbox>
              </v:rect>
            </w:pict>
          </mc:Fallback>
        </mc:AlternateContent>
      </w:r>
    </w:p>
    <w:p>
      <w:pPr>
        <w:pStyle w:val="TextBody"/>
        <w:spacing w:lineRule="auto" w:line="288" w:before="0" w:after="180"/>
        <w:jc w:val="center"/>
        <w:rPr>
          <w:rFonts w:ascii="Times New Roman;sans-serif" w:hAnsi="Times New Roman;sans-serif"/>
          <w:b/>
          <w:color w:val="000000"/>
          <w:sz w:val="32"/>
        </w:rPr>
      </w:pPr>
      <w:r>
        <w:rPr>
          <w:rFonts w:ascii="Times New Roman;sans-serif" w:hAnsi="Times New Roman;sans-serif"/>
          <w:b/>
          <w:color w:val="000000"/>
          <w:sz w:val="32"/>
        </w:rPr>
        <w:t>Prospectus</w:t>
      </w:r>
    </w:p>
    <w:p>
      <w:pPr>
        <w:pStyle w:val="TextBody"/>
        <w:spacing w:lineRule="auto" w:line="288" w:before="0" w:after="180"/>
        <w:jc w:val="center"/>
        <w:rPr/>
      </w:pPr>
      <w:r>
        <w:rPr>
          <w:color w:val="000000"/>
        </w:rPr>
        <w:t> </w:t>
      </w:r>
      <w:r>
        <w:rPr/>
        <w:drawing>
          <wp:inline distT="0" distB="63500" distL="0" distR="0">
            <wp:extent cx="2381250" cy="1362075"/>
            <wp:effectExtent l="0" t="0" r="0" b="0"/>
            <wp:docPr id="3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 descr=""/>
                    <pic:cNvPicPr>
                      <a:picLocks noChangeAspect="1" noChangeArrowheads="1"/>
                    </pic:cNvPicPr>
                  </pic:nvPicPr>
                  <pic:blipFill>
                    <a:blip r:embed="rId10"/>
                    <a:stretch>
                      <a:fillRect/>
                    </a:stretch>
                  </pic:blipFill>
                  <pic:spPr bwMode="auto">
                    <a:xfrm>
                      <a:off x="0" y="0"/>
                      <a:ext cx="2381250" cy="1362075"/>
                    </a:xfrm>
                    <a:prstGeom prst="rect">
                      <a:avLst/>
                    </a:prstGeom>
                  </pic:spPr>
                </pic:pic>
              </a:graphicData>
            </a:graphic>
          </wp:inline>
        </w:drawing>
      </w:r>
    </w:p>
    <w:p>
      <w:pPr>
        <w:pStyle w:val="TextBody"/>
        <w:spacing w:lineRule="auto" w:line="288" w:before="0" w:after="120"/>
        <w:jc w:val="center"/>
        <w:rPr>
          <w:rFonts w:ascii="Times New Roman;sans-serif" w:hAnsi="Times New Roman;sans-serif"/>
          <w:b/>
          <w:color w:val="000000"/>
          <w:sz w:val="24"/>
        </w:rPr>
      </w:pPr>
      <w:r>
        <w:rPr>
          <w:rFonts w:ascii="Times New Roman;sans-serif" w:hAnsi="Times New Roman;sans-serif"/>
          <w:b/>
          <w:color w:val="000000"/>
          <w:sz w:val="24"/>
        </w:rPr>
        <w:t>Common Stock</w:t>
      </w:r>
    </w:p>
    <w:p>
      <w:pPr>
        <w:pStyle w:val="TextBody"/>
        <w:spacing w:lineRule="auto" w:line="288" w:before="0" w:after="120"/>
        <w:jc w:val="center"/>
        <w:rPr>
          <w:rFonts w:ascii="Times New Roman;sans-serif" w:hAnsi="Times New Roman;sans-serif"/>
          <w:b/>
          <w:color w:val="000000"/>
          <w:sz w:val="24"/>
        </w:rPr>
      </w:pPr>
      <w:r>
        <w:rPr>
          <w:rFonts w:ascii="Times New Roman;sans-serif" w:hAnsi="Times New Roman;sans-serif"/>
          <w:b/>
          <w:color w:val="000000"/>
          <w:sz w:val="24"/>
        </w:rPr>
        <w:t>Preferred Stock</w:t>
      </w:r>
    </w:p>
    <w:p>
      <w:pPr>
        <w:pStyle w:val="TextBody"/>
        <w:spacing w:lineRule="auto" w:line="288" w:before="0" w:after="120"/>
        <w:jc w:val="center"/>
        <w:rPr>
          <w:rFonts w:ascii="Times New Roman;sans-serif" w:hAnsi="Times New Roman;sans-serif"/>
          <w:b/>
          <w:color w:val="000000"/>
          <w:sz w:val="24"/>
        </w:rPr>
      </w:pPr>
      <w:r>
        <w:rPr>
          <w:rFonts w:ascii="Times New Roman;sans-serif" w:hAnsi="Times New Roman;sans-serif"/>
          <w:b/>
          <w:color w:val="000000"/>
          <w:sz w:val="24"/>
        </w:rPr>
        <w:t>Debt Securities</w:t>
      </w:r>
    </w:p>
    <w:p>
      <w:pPr>
        <w:pStyle w:val="TextBody"/>
        <w:spacing w:lineRule="auto" w:line="288" w:before="0" w:after="120"/>
        <w:jc w:val="center"/>
        <w:rPr>
          <w:rFonts w:ascii="Times New Roman;sans-serif" w:hAnsi="Times New Roman;sans-serif"/>
          <w:b/>
          <w:color w:val="000000"/>
          <w:sz w:val="24"/>
        </w:rPr>
      </w:pPr>
      <w:r>
        <w:rPr>
          <w:rFonts w:ascii="Times New Roman;sans-serif" w:hAnsi="Times New Roman;sans-serif"/>
          <w:b/>
          <w:color w:val="000000"/>
          <w:sz w:val="24"/>
        </w:rPr>
        <w:t>Warrants</w:t>
      </w:r>
    </w:p>
    <w:p>
      <w:pPr>
        <w:pStyle w:val="TextBody"/>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w:t>
      </w:r>
    </w:p>
    <w:p>
      <w:pPr>
        <w:pStyle w:val="TextBody"/>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From time to time, we or selling securityholders may offer and sell any combination of the securities described in this prospectus, either individually or in combination. We or selling securityholders may also offer common stock or preferred stock upon conversion of debt securities, common stock upon conversion of preferred stock, or common stock, preferred stock or debt securities upon the exercise of warrants.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will provide the specific terms of these offerings and securities in one or more supplements to this prospectus. We may also authorize one or more free writing prospectuses to be provided to you in connection with these offerings. The prospectus supplement and any related free writing prospectus may also add, update or change information contained in this prospectus. You should carefully read this prospectus, the applicable prospectus supplement and any related free writing prospectus, as well as any documents incorporated by reference, before buying any of the securities being offered.</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common stock is listed on The Nasdaq Global Market under the symbol “SIBN.” On May 3, 2023, the last reported sale price of our common stock was $24.27 per share. The applicable prospectus supplement will contain information, where applicable, as to other listings, if any, on The Nasdaq Global Market or other securities exchange of the securities covered by the applicable prospectus supplement.</w:t>
      </w:r>
    </w:p>
    <w:p>
      <w:pPr>
        <w:pStyle w:val="TextBody"/>
        <w:spacing w:lineRule="auto" w:line="288" w:before="0" w:after="180"/>
        <w:ind w:left="0" w:right="0" w:firstLine="360"/>
        <w:jc w:val="both"/>
        <w:rPr/>
      </w:pPr>
      <w:r>
        <w:rPr>
          <w:rFonts w:ascii="Times New Roman;sans-serif" w:hAnsi="Times New Roman;sans-serif"/>
          <w:b/>
          <w:i/>
          <w:color w:val="000000"/>
          <w:sz w:val="20"/>
        </w:rPr>
        <w:t>Investing in our securities involves a high degree of risk. Before making an investment decision, you should review carefully the risks described under the heading “</w:t>
      </w:r>
      <w:hyperlink w:anchor="ib669fbd98dd54195a8eb6e4f21f5f7c2_61">
        <w:r>
          <w:rPr>
            <w:rStyle w:val="InternetLink"/>
            <w:rFonts w:ascii="Times New Roman;sans-serif" w:hAnsi="Times New Roman;sans-serif"/>
            <w:b/>
            <w:i/>
            <w:color w:val="0000FF"/>
            <w:sz w:val="20"/>
            <w:u w:val="single"/>
          </w:rPr>
          <w:t>Risk Factors</w:t>
        </w:r>
      </w:hyperlink>
      <w:r>
        <w:rPr>
          <w:color w:val="000000"/>
        </w:rPr>
        <w:t xml:space="preserve">” </w:t>
      </w:r>
      <w:r>
        <w:rPr>
          <w:rFonts w:ascii="Times New Roman;sans-serif" w:hAnsi="Times New Roman;sans-serif"/>
          <w:b/>
          <w:i/>
          <w:color w:val="000000"/>
          <w:sz w:val="20"/>
        </w:rPr>
        <w:t xml:space="preserve">on page </w:t>
      </w:r>
      <w:hyperlink w:anchor="ib669fbd98dd54195a8eb6e4f21f5f7c2_61">
        <w:r>
          <w:rPr>
            <w:rStyle w:val="InternetLink"/>
            <w:rFonts w:ascii="Times New Roman;sans-serif" w:hAnsi="Times New Roman;sans-serif"/>
            <w:b/>
            <w:i/>
            <w:color w:val="0000FF"/>
            <w:sz w:val="20"/>
            <w:u w:val="single"/>
          </w:rPr>
          <w:t>5</w:t>
        </w:r>
      </w:hyperlink>
      <w:r>
        <w:rPr>
          <w:color w:val="000000"/>
        </w:rPr>
        <w:t xml:space="preserve"> </w:t>
      </w:r>
      <w:r>
        <w:rPr>
          <w:rFonts w:ascii="Times New Roman;sans-serif" w:hAnsi="Times New Roman;sans-serif"/>
          <w:b/>
          <w:i/>
          <w:color w:val="000000"/>
          <w:sz w:val="20"/>
        </w:rPr>
        <w:t>of this prospectus and any similar section contained in the applicable prospectus supplement and in any free writing prospectuses we have authorized for use in connection with a specific offering, and under similar headings in the documents that are incorporated by reference into this prospectus.</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This prospectus may not be used to consummate a sale of securities unless accompanied by a prospectus supplement.</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securities may be sold directly by us to investors, through agents designated from time to time or to or through underwriters or dealers, on a continuous or delayed basis. The supplements to this prospectus will provide the specific terms of the plan of distribution. If any agents or underwriters are involved in the sale of any securities with respect to which this prospectus is being delivered, the names of such agents or underwriters and any applicable fees, commissions, discounts and over-allotment options will be set forth in a prospectus supplement. The price to the public of such securities and the net proceeds we expect to receive from such sale will also be set forth in a prospectus supplement. Unless the applicable prospectus supplement provides otherwise, we will not receive any proceeds from the sale of securities by selling securityholders.</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Neither the Securities and Exchange Commission nor any state securities commission has approved or disapproved of these securities or determined if this prospectus is truthful or complete. Any representation to the contrary is a criminal offense.</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16"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The date of this prospectus is May 4,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200"/>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5" name="Frame3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0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00"/>
                        <w:jc w:val="center"/>
                        <w:rPr/>
                      </w:pPr>
                      <w:r>
                        <w:rPr/>
                      </w:r>
                    </w:p>
                  </w:txbxContent>
                </v:textbox>
              </v:rect>
            </w:pict>
          </mc:Fallback>
        </mc:AlternateContent>
      </w:r>
    </w:p>
    <w:p>
      <w:pPr>
        <w:pStyle w:val="TextBody"/>
        <w:spacing w:lineRule="auto" w:line="331" w:before="0" w:after="24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6361" w:type="dxa"/>
        <w:jc w:val="center"/>
        <w:tblInd w:w="0" w:type="dxa"/>
        <w:tblCellMar>
          <w:top w:w="28" w:type="dxa"/>
          <w:left w:w="28" w:type="dxa"/>
          <w:bottom w:w="28" w:type="dxa"/>
          <w:right w:w="28" w:type="dxa"/>
        </w:tblCellMar>
      </w:tblPr>
      <w:tblGrid>
        <w:gridCol w:w="2118"/>
        <w:gridCol w:w="1864"/>
        <w:gridCol w:w="1868"/>
        <w:gridCol w:w="149"/>
        <w:gridCol w:w="149"/>
        <w:gridCol w:w="213"/>
      </w:tblGrid>
      <w:tr>
        <w:trPr/>
        <w:tc>
          <w:tcPr>
            <w:tcW w:w="2118" w:type="dxa"/>
            <w:tcBorders/>
            <w:shd w:fill="auto" w:val="clear"/>
            <w:vAlign w:val="center"/>
          </w:tcPr>
          <w:p>
            <w:pPr>
              <w:pStyle w:val="TableContents"/>
              <w:spacing w:before="0" w:after="283"/>
              <w:rPr>
                <w:sz w:val="4"/>
                <w:szCs w:val="4"/>
              </w:rPr>
            </w:pPr>
            <w:r>
              <w:rPr>
                <w:sz w:val="4"/>
                <w:szCs w:val="4"/>
              </w:rPr>
            </w:r>
          </w:p>
        </w:tc>
        <w:tc>
          <w:tcPr>
            <w:tcW w:w="1864" w:type="dxa"/>
            <w:tcBorders/>
            <w:shd w:fill="auto" w:val="clear"/>
            <w:vAlign w:val="center"/>
          </w:tcPr>
          <w:p>
            <w:pPr>
              <w:pStyle w:val="TableContents"/>
              <w:spacing w:before="0" w:after="283"/>
              <w:rPr>
                <w:sz w:val="4"/>
                <w:szCs w:val="4"/>
              </w:rPr>
            </w:pPr>
            <w:r>
              <w:rPr>
                <w:sz w:val="4"/>
                <w:szCs w:val="4"/>
              </w:rPr>
            </w:r>
          </w:p>
        </w:tc>
        <w:tc>
          <w:tcPr>
            <w:tcW w:w="1868"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58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Page</w:t>
            </w:r>
          </w:p>
        </w:tc>
      </w:tr>
      <w:tr>
        <w:trPr/>
        <w:tc>
          <w:tcPr>
            <w:tcW w:w="58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85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b669fbd98dd54195a8eb6e4f21f5f7c2_55">
              <w:r>
                <w:rPr>
                  <w:rStyle w:val="InternetLink"/>
                  <w:rFonts w:ascii="Times New Roman;sans-serif" w:hAnsi="Times New Roman;sans-serif"/>
                  <w:b w:val="false"/>
                  <w:color w:val="0000FF"/>
                  <w:sz w:val="20"/>
                  <w:u w:val="single"/>
                </w:rPr>
                <w:t>ABOUT THIS PROSPECTUS</w:t>
              </w:r>
            </w:hyperlink>
          </w:p>
        </w:tc>
        <w:tc>
          <w:tcPr>
            <w:tcW w:w="511"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b669fbd98dd54195a8eb6e4f21f5f7c2_49">
              <w:r>
                <w:rPr>
                  <w:rStyle w:val="InternetLink"/>
                  <w:rFonts w:ascii="Times New Roman;sans-serif" w:hAnsi="Times New Roman;sans-serif"/>
                  <w:b w:val="false"/>
                  <w:color w:val="0000FF"/>
                  <w:sz w:val="20"/>
                  <w:u w:val="single"/>
                </w:rPr>
                <w:t>ii</w:t>
              </w:r>
            </w:hyperlink>
          </w:p>
        </w:tc>
      </w:tr>
      <w:tr>
        <w:trPr/>
        <w:tc>
          <w:tcPr>
            <w:tcW w:w="585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669fbd98dd54195a8eb6e4f21f5f7c2_58">
              <w:r>
                <w:rPr>
                  <w:rStyle w:val="InternetLink"/>
                  <w:rFonts w:ascii="Times New Roman;sans-serif" w:hAnsi="Times New Roman;sans-serif"/>
                  <w:b w:val="false"/>
                  <w:color w:val="0000FF"/>
                  <w:sz w:val="20"/>
                  <w:u w:val="single"/>
                </w:rPr>
                <w:t>PROSPECTUS SUMMARY</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b669fbd98dd54195a8eb6e4f21f5f7c2_58">
              <w:r>
                <w:rPr>
                  <w:rStyle w:val="InternetLink"/>
                  <w:rFonts w:ascii="Times New Roman;sans-serif" w:hAnsi="Times New Roman;sans-serif"/>
                  <w:b w:val="false"/>
                  <w:color w:val="0000FF"/>
                  <w:sz w:val="20"/>
                  <w:u w:val="single"/>
                </w:rPr>
                <w:t>1</w:t>
              </w:r>
            </w:hyperlink>
          </w:p>
        </w:tc>
      </w:tr>
      <w:tr>
        <w:trPr/>
        <w:tc>
          <w:tcPr>
            <w:tcW w:w="585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b669fbd98dd54195a8eb6e4f21f5f7c2_61">
              <w:r>
                <w:rPr>
                  <w:rStyle w:val="InternetLink"/>
                  <w:rFonts w:ascii="Times New Roman;sans-serif" w:hAnsi="Times New Roman;sans-serif"/>
                  <w:b w:val="false"/>
                  <w:color w:val="0000FF"/>
                  <w:sz w:val="20"/>
                  <w:u w:val="single"/>
                </w:rPr>
                <w:t>RISK FACTORS</w:t>
              </w:r>
            </w:hyperlink>
          </w:p>
        </w:tc>
        <w:tc>
          <w:tcPr>
            <w:tcW w:w="511"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b669fbd98dd54195a8eb6e4f21f5f7c2_61">
              <w:r>
                <w:rPr>
                  <w:rStyle w:val="InternetLink"/>
                  <w:rFonts w:ascii="Times New Roman;sans-serif" w:hAnsi="Times New Roman;sans-serif"/>
                  <w:b w:val="false"/>
                  <w:color w:val="0000FF"/>
                  <w:sz w:val="20"/>
                  <w:u w:val="single"/>
                </w:rPr>
                <w:t>5</w:t>
              </w:r>
            </w:hyperlink>
          </w:p>
        </w:tc>
      </w:tr>
      <w:tr>
        <w:trPr/>
        <w:tc>
          <w:tcPr>
            <w:tcW w:w="585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669fbd98dd54195a8eb6e4f21f5f7c2_64">
              <w:r>
                <w:rPr>
                  <w:rStyle w:val="InternetLink"/>
                  <w:rFonts w:ascii="Times New Roman;sans-serif" w:hAnsi="Times New Roman;sans-serif"/>
                  <w:b w:val="false"/>
                  <w:color w:val="0000FF"/>
                  <w:sz w:val="20"/>
                  <w:u w:val="single"/>
                </w:rPr>
                <w:t>SPECIAL NOTE REGARDING FORWARD-LOOKING STATEMENTS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b669fbd98dd54195a8eb6e4f21f5f7c2_64">
              <w:r>
                <w:rPr>
                  <w:rStyle w:val="InternetLink"/>
                  <w:rFonts w:ascii="Times New Roman;sans-serif" w:hAnsi="Times New Roman;sans-serif"/>
                  <w:b w:val="false"/>
                  <w:color w:val="0000FF"/>
                  <w:sz w:val="20"/>
                  <w:u w:val="single"/>
                </w:rPr>
                <w:t>6</w:t>
              </w:r>
            </w:hyperlink>
          </w:p>
        </w:tc>
      </w:tr>
      <w:tr>
        <w:trPr/>
        <w:tc>
          <w:tcPr>
            <w:tcW w:w="585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b669fbd98dd54195a8eb6e4f21f5f7c2_67">
              <w:r>
                <w:rPr>
                  <w:rStyle w:val="InternetLink"/>
                  <w:rFonts w:ascii="Times New Roman;sans-serif" w:hAnsi="Times New Roman;sans-serif"/>
                  <w:b w:val="false"/>
                  <w:color w:val="0000FF"/>
                  <w:sz w:val="20"/>
                  <w:u w:val="single"/>
                </w:rPr>
                <w:t>USE OF PROCEEDS</w:t>
              </w:r>
            </w:hyperlink>
          </w:p>
        </w:tc>
        <w:tc>
          <w:tcPr>
            <w:tcW w:w="511"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b669fbd98dd54195a8eb6e4f21f5f7c2_67">
              <w:r>
                <w:rPr>
                  <w:rStyle w:val="InternetLink"/>
                  <w:rFonts w:ascii="Times New Roman;sans-serif" w:hAnsi="Times New Roman;sans-serif"/>
                  <w:b w:val="false"/>
                  <w:color w:val="0000FF"/>
                  <w:sz w:val="20"/>
                  <w:u w:val="single"/>
                </w:rPr>
                <w:t>8</w:t>
              </w:r>
            </w:hyperlink>
          </w:p>
        </w:tc>
      </w:tr>
      <w:tr>
        <w:trPr/>
        <w:tc>
          <w:tcPr>
            <w:tcW w:w="585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669fbd98dd54195a8eb6e4f21f5f7c2_70">
              <w:r>
                <w:rPr>
                  <w:rStyle w:val="InternetLink"/>
                  <w:rFonts w:ascii="Times New Roman;sans-serif" w:hAnsi="Times New Roman;sans-serif"/>
                  <w:b w:val="false"/>
                  <w:color w:val="0000FF"/>
                  <w:sz w:val="20"/>
                  <w:u w:val="single"/>
                </w:rPr>
                <w:t>DESCRIPTION OF CAPITAL STOCK</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b669fbd98dd54195a8eb6e4f21f5f7c2_70">
              <w:r>
                <w:rPr>
                  <w:rStyle w:val="InternetLink"/>
                  <w:rFonts w:ascii="Times New Roman;sans-serif" w:hAnsi="Times New Roman;sans-serif"/>
                  <w:b w:val="false"/>
                  <w:color w:val="0000FF"/>
                  <w:sz w:val="20"/>
                  <w:u w:val="single"/>
                </w:rPr>
                <w:t>9</w:t>
              </w:r>
            </w:hyperlink>
          </w:p>
        </w:tc>
      </w:tr>
      <w:tr>
        <w:trPr/>
        <w:tc>
          <w:tcPr>
            <w:tcW w:w="585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b669fbd98dd54195a8eb6e4f21f5f7c2_73">
              <w:r>
                <w:rPr>
                  <w:rStyle w:val="InternetLink"/>
                  <w:rFonts w:ascii="Times New Roman;sans-serif" w:hAnsi="Times New Roman;sans-serif"/>
                  <w:b w:val="false"/>
                  <w:color w:val="0000FF"/>
                  <w:sz w:val="20"/>
                  <w:u w:val="single"/>
                </w:rPr>
                <w:t>DESCRIPTION OF DEBT SECURITIES</w:t>
              </w:r>
            </w:hyperlink>
          </w:p>
        </w:tc>
        <w:tc>
          <w:tcPr>
            <w:tcW w:w="511"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b669fbd98dd54195a8eb6e4f21f5f7c2_73">
              <w:r>
                <w:rPr>
                  <w:rStyle w:val="InternetLink"/>
                  <w:rFonts w:ascii="Times New Roman;sans-serif" w:hAnsi="Times New Roman;sans-serif"/>
                  <w:b w:val="false"/>
                  <w:color w:val="0000FF"/>
                  <w:sz w:val="20"/>
                  <w:u w:val="single"/>
                </w:rPr>
                <w:t>13</w:t>
              </w:r>
            </w:hyperlink>
          </w:p>
        </w:tc>
      </w:tr>
      <w:tr>
        <w:trPr/>
        <w:tc>
          <w:tcPr>
            <w:tcW w:w="585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669fbd98dd54195a8eb6e4f21f5f7c2_76">
              <w:r>
                <w:rPr>
                  <w:rStyle w:val="InternetLink"/>
                  <w:rFonts w:ascii="Times New Roman;sans-serif" w:hAnsi="Times New Roman;sans-serif"/>
                  <w:b w:val="false"/>
                  <w:color w:val="0000FF"/>
                  <w:sz w:val="20"/>
                  <w:u w:val="single"/>
                </w:rPr>
                <w:t>DESCRIPTION OF WARRANTS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b669fbd98dd54195a8eb6e4f21f5f7c2_76">
              <w:r>
                <w:rPr>
                  <w:rStyle w:val="InternetLink"/>
                  <w:rFonts w:ascii="Times New Roman;sans-serif" w:hAnsi="Times New Roman;sans-serif"/>
                  <w:b w:val="false"/>
                  <w:color w:val="0000FF"/>
                  <w:sz w:val="20"/>
                  <w:u w:val="single"/>
                </w:rPr>
                <w:t>20</w:t>
              </w:r>
            </w:hyperlink>
          </w:p>
        </w:tc>
      </w:tr>
      <w:tr>
        <w:trPr/>
        <w:tc>
          <w:tcPr>
            <w:tcW w:w="585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b669fbd98dd54195a8eb6e4f21f5f7c2_79">
              <w:r>
                <w:rPr>
                  <w:rStyle w:val="InternetLink"/>
                  <w:rFonts w:ascii="Times New Roman;sans-serif" w:hAnsi="Times New Roman;sans-serif"/>
                  <w:b w:val="false"/>
                  <w:color w:val="0000FF"/>
                  <w:sz w:val="20"/>
                  <w:u w:val="single"/>
                </w:rPr>
                <w:t>LEGAL OWNERSHIP OF SECURITIES</w:t>
              </w:r>
            </w:hyperlink>
          </w:p>
        </w:tc>
        <w:tc>
          <w:tcPr>
            <w:tcW w:w="511"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b669fbd98dd54195a8eb6e4f21f5f7c2_79">
              <w:r>
                <w:rPr>
                  <w:rStyle w:val="InternetLink"/>
                  <w:rFonts w:ascii="Times New Roman;sans-serif" w:hAnsi="Times New Roman;sans-serif"/>
                  <w:b w:val="false"/>
                  <w:color w:val="0000FF"/>
                  <w:sz w:val="20"/>
                  <w:u w:val="single"/>
                </w:rPr>
                <w:t>22</w:t>
              </w:r>
            </w:hyperlink>
          </w:p>
        </w:tc>
      </w:tr>
      <w:tr>
        <w:trPr/>
        <w:tc>
          <w:tcPr>
            <w:tcW w:w="585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669fbd98dd54195a8eb6e4f21f5f7c2_82">
              <w:r>
                <w:rPr>
                  <w:rStyle w:val="InternetLink"/>
                  <w:rFonts w:ascii="Times New Roman;sans-serif" w:hAnsi="Times New Roman;sans-serif"/>
                  <w:b w:val="false"/>
                  <w:color w:val="0000FF"/>
                  <w:sz w:val="20"/>
                  <w:u w:val="single"/>
                </w:rPr>
                <w:t>SELLING SECURITYHOLDERS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b669fbd98dd54195a8eb6e4f21f5f7c2_82">
              <w:r>
                <w:rPr>
                  <w:rStyle w:val="InternetLink"/>
                  <w:rFonts w:ascii="Times New Roman;sans-serif" w:hAnsi="Times New Roman;sans-serif"/>
                  <w:b w:val="false"/>
                  <w:color w:val="0000FF"/>
                  <w:sz w:val="20"/>
                  <w:u w:val="single"/>
                </w:rPr>
                <w:t>25</w:t>
              </w:r>
            </w:hyperlink>
          </w:p>
        </w:tc>
      </w:tr>
      <w:tr>
        <w:trPr/>
        <w:tc>
          <w:tcPr>
            <w:tcW w:w="585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b669fbd98dd54195a8eb6e4f21f5f7c2_85">
              <w:r>
                <w:rPr>
                  <w:rStyle w:val="InternetLink"/>
                  <w:rFonts w:ascii="Times New Roman;sans-serif" w:hAnsi="Times New Roman;sans-serif"/>
                  <w:b w:val="false"/>
                  <w:color w:val="0000FF"/>
                  <w:sz w:val="20"/>
                  <w:u w:val="single"/>
                </w:rPr>
                <w:t>PLAN OF DISTRIBUTION</w:t>
              </w:r>
            </w:hyperlink>
          </w:p>
        </w:tc>
        <w:tc>
          <w:tcPr>
            <w:tcW w:w="511"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b669fbd98dd54195a8eb6e4f21f5f7c2_85">
              <w:r>
                <w:rPr>
                  <w:rStyle w:val="InternetLink"/>
                  <w:rFonts w:ascii="Times New Roman;sans-serif" w:hAnsi="Times New Roman;sans-serif"/>
                  <w:b w:val="false"/>
                  <w:color w:val="0000FF"/>
                  <w:sz w:val="20"/>
                  <w:u w:val="single"/>
                </w:rPr>
                <w:t>25</w:t>
              </w:r>
            </w:hyperlink>
          </w:p>
        </w:tc>
      </w:tr>
      <w:tr>
        <w:trPr/>
        <w:tc>
          <w:tcPr>
            <w:tcW w:w="585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669fbd98dd54195a8eb6e4f21f5f7c2_88">
              <w:r>
                <w:rPr>
                  <w:rStyle w:val="InternetLink"/>
                  <w:rFonts w:ascii="Times New Roman;sans-serif" w:hAnsi="Times New Roman;sans-serif"/>
                  <w:b w:val="false"/>
                  <w:color w:val="0000FF"/>
                  <w:sz w:val="20"/>
                  <w:u w:val="single"/>
                </w:rPr>
                <w:t>LEGAL MATTERS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b669fbd98dd54195a8eb6e4f21f5f7c2_88">
              <w:r>
                <w:rPr>
                  <w:rStyle w:val="InternetLink"/>
                  <w:rFonts w:ascii="Times New Roman;sans-serif" w:hAnsi="Times New Roman;sans-serif"/>
                  <w:b w:val="false"/>
                  <w:color w:val="0000FF"/>
                  <w:sz w:val="20"/>
                  <w:u w:val="single"/>
                </w:rPr>
                <w:t>26</w:t>
              </w:r>
            </w:hyperlink>
          </w:p>
        </w:tc>
      </w:tr>
      <w:tr>
        <w:trPr/>
        <w:tc>
          <w:tcPr>
            <w:tcW w:w="585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b669fbd98dd54195a8eb6e4f21f5f7c2_91">
              <w:r>
                <w:rPr>
                  <w:rStyle w:val="InternetLink"/>
                  <w:rFonts w:ascii="Times New Roman;sans-serif" w:hAnsi="Times New Roman;sans-serif"/>
                  <w:b w:val="false"/>
                  <w:color w:val="0000FF"/>
                  <w:sz w:val="20"/>
                  <w:u w:val="single"/>
                </w:rPr>
                <w:t>EXPERTS</w:t>
              </w:r>
            </w:hyperlink>
          </w:p>
        </w:tc>
        <w:tc>
          <w:tcPr>
            <w:tcW w:w="511"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b669fbd98dd54195a8eb6e4f21f5f7c2_91">
              <w:r>
                <w:rPr>
                  <w:rStyle w:val="InternetLink"/>
                  <w:rFonts w:ascii="Times New Roman;sans-serif" w:hAnsi="Times New Roman;sans-serif"/>
                  <w:b w:val="false"/>
                  <w:color w:val="0000FF"/>
                  <w:sz w:val="20"/>
                  <w:u w:val="single"/>
                </w:rPr>
                <w:t>26</w:t>
              </w:r>
            </w:hyperlink>
          </w:p>
        </w:tc>
      </w:tr>
      <w:tr>
        <w:trPr/>
        <w:tc>
          <w:tcPr>
            <w:tcW w:w="585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669fbd98dd54195a8eb6e4f21f5f7c2_94">
              <w:r>
                <w:rPr>
                  <w:rStyle w:val="InternetLink"/>
                  <w:rFonts w:ascii="Times New Roman;sans-serif" w:hAnsi="Times New Roman;sans-serif"/>
                  <w:b w:val="false"/>
                  <w:color w:val="0000FF"/>
                  <w:sz w:val="20"/>
                  <w:u w:val="single"/>
                </w:rPr>
                <w:t>WHERE YOU CAN FIND ADDITIONAL INFORMATION</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b669fbd98dd54195a8eb6e4f21f5f7c2_94">
              <w:r>
                <w:rPr>
                  <w:rStyle w:val="InternetLink"/>
                  <w:rFonts w:ascii="Times New Roman;sans-serif" w:hAnsi="Times New Roman;sans-serif"/>
                  <w:b w:val="false"/>
                  <w:color w:val="0000FF"/>
                  <w:sz w:val="20"/>
                  <w:u w:val="single"/>
                </w:rPr>
                <w:t>27</w:t>
              </w:r>
            </w:hyperlink>
          </w:p>
        </w:tc>
      </w:tr>
      <w:tr>
        <w:trPr/>
        <w:tc>
          <w:tcPr>
            <w:tcW w:w="585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b669fbd98dd54195a8eb6e4f21f5f7c2_97">
              <w:r>
                <w:rPr>
                  <w:rStyle w:val="InternetLink"/>
                  <w:rFonts w:ascii="Times New Roman;sans-serif" w:hAnsi="Times New Roman;sans-serif"/>
                  <w:b w:val="false"/>
                  <w:color w:val="0000FF"/>
                  <w:sz w:val="20"/>
                  <w:u w:val="single"/>
                </w:rPr>
                <w:t>INCORPORATION OF CERTAIN INFORMATION BY REFERENCE</w:t>
              </w:r>
            </w:hyperlink>
          </w:p>
        </w:tc>
        <w:tc>
          <w:tcPr>
            <w:tcW w:w="511"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b669fbd98dd54195a8eb6e4f21f5f7c2_97">
              <w:r>
                <w:rPr>
                  <w:rStyle w:val="InternetLink"/>
                  <w:rFonts w:ascii="Times New Roman;sans-serif" w:hAnsi="Times New Roman;sans-serif"/>
                  <w:b w:val="false"/>
                  <w:color w:val="0000FF"/>
                  <w:sz w:val="20"/>
                  <w:u w:val="single"/>
                </w:rPr>
                <w:t>28</w:t>
              </w:r>
            </w:hyperlink>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200"/>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6" name="Frame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v:textbox>
              </v:rect>
            </w:pict>
          </mc:Fallback>
        </mc:AlternateConten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ABOUT THIS PROSPECTUS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prospectus is part of a registration statement on Form S-3 that we filed with the Securities and Exchange Commission, or SEC, using a “shelf” registration process as a “well-known seasoned issuer” as defined in Rule 405 under the Securities Act of 1933, as amended, or the Securities Act. Under this shelf registration statement, we or selling securityholders may, from time to time, offer and sell, either individually or in combination, in one or more offerings, any combination of the securities described in this prospectus. There is no limit on the aggregate amount of the securities that we or selling securityholders may offer pursuant to the registration statement of which this prospectus is a part.</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prospectus provides you with a general description of the securities we or selling securityholders may offer. Each time we or selling securityholders offer securities under this prospectus, we will provide a prospectus supplement that will contain more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any of the information contained in this prospectus or in the documents that we have incorporated by reference into this prospectus. We urge you to read carefully this prospectus, any applicable prospectus supplement and any free writing prospectuses we have authorized for use in connection with a specific offering, together with the information incorporated herein by reference as described under the heading “Incorporation of Certain Information by Reference,” before buying any of the securities being offered.</w:t>
      </w:r>
    </w:p>
    <w:p>
      <w:pPr>
        <w:pStyle w:val="TextBody"/>
        <w:spacing w:lineRule="auto" w:line="288" w:before="0" w:after="18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This prospectus may not be used to consummate a sale of securities unless it is accompanied by a prospectus supplement.</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You should rely only on the information contained in, or incorporated by reference into, this prospectus and any applicable prospectus supplement, along with the information contained in any free writing prospectuses we have authorized for use in connection with a specific offering. We have not authorized anyone to provide you with different or additional information. You must not rely upon any information or representation not contained or incorporated by reference in this prospectus, the accompanying prospectus supplement or in any related free writing prospectus that we may authorize to be provided to you. This prospectus is an offer to sell only the securities offered hereby, but only under circumstances and in jurisdictions where it is lawful to do so.</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appearing in this prospectus, any applicable prospectus supplement or any related free writing prospectus is accurate only as of the date on the front of the document and any information we have incorporated by reference is accurate only as of the date of the document incorporated by reference, regardless of the time of delivery of this prospectus, any applicable prospectus supplement or any related free writing prospectus, or any sale of a security. Our business, financial condition, results of operations and prospects may have changed since those dates.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prospectus contains and incorporates by reference market data and industry statistics and forecasts that are based on independent industry publications and other publicly available information. Although we believe that these sources are reliable, we do not guarantee the accuracy or completeness of this information and we have not independently verified this information. Although we are not aware of any misstatements regarding the market and industry data presented in this prospectus and the documents incorporated herein by reference, these estimates involve risks and uncertainties and are subject to change based on various factors, including those discussed under the heading “Risk Factors” contained in the applicable prospectus supplement and any related free writing prospectus, and under similar headings in the other documents that are incorporated by reference into this prospectus. Accordingly, investors should not place undue reliance on this information.</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section entitled “Where You Can Find Additional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200"/>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7" name="Frame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v:textbox>
              </v:rect>
            </w:pict>
          </mc:Fallback>
        </mc:AlternateContent>
      </w:r>
    </w:p>
    <w:p>
      <w:pPr>
        <w:pStyle w:val="TextBody"/>
        <w:spacing w:lineRule="auto" w:line="288" w:before="0" w:after="180"/>
        <w:jc w:val="center"/>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PROSPECTUS SUMMARY</w:t>
      </w:r>
    </w:p>
    <w:p>
      <w:pPr>
        <w:pStyle w:val="TextBody"/>
        <w:spacing w:lineRule="auto" w:line="288" w:before="0" w:after="180"/>
        <w:ind w:left="0" w:right="0" w:firstLine="360"/>
        <w:jc w:val="both"/>
        <w:rPr>
          <w:rFonts w:ascii="Times New Roman;sans-serif" w:hAnsi="Times New Roman;sans-serif"/>
          <w:b w:val="false"/>
          <w:i/>
          <w:color w:val="000000"/>
          <w:sz w:val="20"/>
          <w:bdr w:val="single" w:sz="8" w:space="36" w:color="000000"/>
        </w:rPr>
      </w:pPr>
      <w:r>
        <w:rPr>
          <w:rFonts w:ascii="Times New Roman;sans-serif" w:hAnsi="Times New Roman;sans-serif"/>
          <w:b w:val="false"/>
          <w:i/>
          <w:color w:val="000000"/>
          <w:sz w:val="20"/>
          <w:bdr w:val="single" w:sz="8" w:space="36" w:color="000000"/>
        </w:rPr>
        <w:t>This summary highlights selected information appearing elsewhere in this prospectus or incorporated by reference in this prospectus, and does not contain all of the information that you need to consider in making your investment decision. You should carefully read the entire prospectus, the applicable prospectus supplement and any related free writing prospectus, including the risks of investing in our securities discussed under the heading “Risk Factors” contained in the applicable prospectus supplement and any related free writing prospectus, and under similar headings in the other documents that are incorporated by reference into this prospectus. You should also carefully read the information incorporated by reference into this prospectus, including our financial statements, and the exhibits to the registration statement of which this prospectus is a part.</w:t>
      </w:r>
    </w:p>
    <w:p>
      <w:pPr>
        <w:pStyle w:val="TextBody"/>
        <w:spacing w:lineRule="auto" w:line="288" w:before="0" w:after="180"/>
        <w:jc w:val="center"/>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SI-BONE, Inc.</w:t>
      </w:r>
    </w:p>
    <w:p>
      <w:pPr>
        <w:pStyle w:val="TextBody"/>
        <w:spacing w:lineRule="auto" w:line="288" w:before="0" w:after="180"/>
        <w:jc w:val="both"/>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Overview</w:t>
      </w:r>
    </w:p>
    <w:p>
      <w:pPr>
        <w:pStyle w:val="TextBody"/>
        <w:spacing w:lineRule="auto" w:line="276" w:before="0" w:after="180"/>
        <w:ind w:left="0" w:right="0" w:firstLine="450"/>
        <w:jc w:val="both"/>
        <w:rPr>
          <w:bdr w:val="single" w:sz="8" w:space="36" w:color="000000"/>
        </w:rPr>
      </w:pPr>
      <w:r>
        <w:rPr>
          <w:rFonts w:ascii="Times New Roman;sans-serif" w:hAnsi="Times New Roman;sans-serif"/>
          <w:b w:val="false"/>
          <w:color w:val="000000"/>
          <w:sz w:val="20"/>
          <w:bdr w:val="single" w:sz="8" w:space="36" w:color="000000"/>
        </w:rPr>
        <w:t>We are a medical device company dedicated to solving musculoskeletal disorders of the sacropelvic anatomy. Leveraging our knowledge of pelvic anatomy and biomechanics,</w:t>
      </w:r>
      <w:r>
        <w:rPr>
          <w:color w:val="000000"/>
          <w:bdr w:val="single" w:sz="8" w:space="36" w:color="000000"/>
        </w:rPr>
        <w:t xml:space="preserve"> </w:t>
      </w:r>
      <w:r>
        <w:rPr>
          <w:rFonts w:ascii="Times New Roman;sans-serif" w:hAnsi="Times New Roman;sans-serif"/>
          <w:b w:val="false"/>
          <w:color w:val="000000"/>
          <w:sz w:val="20"/>
          <w:bdr w:val="single" w:sz="8" w:space="36" w:color="000000"/>
        </w:rPr>
        <w:t xml:space="preserve">we have pioneered proprietary minimally invasive surgical implant systems to address sacroiliac joint dysfunction as well as address unmet clinical needs in pelvic fixation and management of pelvic fractures. Our products include a series of patented titanium implants and the instruments used to implant them. Since launching our first generation iFuse in 2009, we have launched three new implant product lines, iFuse-3D in 2017, iFuse-TORQ in 2021 and iFuse Bedrock Granite in 2022. Within the United States, our products have clearances for applications across sacroiliac joint dysfunction and fusion, adult deformity and degeneration, and pelvic trauma. </w:t>
      </w:r>
    </w:p>
    <w:p>
      <w:pPr>
        <w:pStyle w:val="TextBody"/>
        <w:spacing w:lineRule="auto" w:line="268" w:before="0" w:after="180"/>
        <w:ind w:left="0" w:right="0" w:firstLine="450"/>
        <w:jc w:val="both"/>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 xml:space="preserve">We market our products primarily with a direct sales force as well as a number of third-party sales agents and resellers in the U.S., and with a combination of a direct sales force, sales agents and resellers in other countries. As of March 31, 2023, more than 80,000 procedures have been performed by over 3,000 surgeons in the United States and 38 other countries since we introduced iFuse in 2009. </w:t>
      </w:r>
    </w:p>
    <w:p>
      <w:pPr>
        <w:pStyle w:val="TextBody"/>
        <w:spacing w:lineRule="auto" w:line="288" w:before="0" w:after="180"/>
        <w:jc w:val="both"/>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Corporate Information</w:t>
      </w:r>
    </w:p>
    <w:p>
      <w:pPr>
        <w:pStyle w:val="TextBody"/>
        <w:spacing w:lineRule="auto" w:line="288" w:before="0" w:after="180"/>
        <w:ind w:left="0" w:right="0" w:firstLine="360"/>
        <w:jc w:val="both"/>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We were incorporated in March 2008 in Delaware. We completed the initial public offering of our common stock in October 2018. Our principal executive offices are located at 471 El Camino Real, Suite 101, Santa Clara, California 95050 and our telephone number is (408) 207-0700. Our website address is www.si-bone.com. The information on, or that can be accessed through, our website is not part of this prospectus. We have included our website address as an inactive textual reference only.</w:t>
      </w:r>
    </w:p>
    <w:p>
      <w:pPr>
        <w:pStyle w:val="TextBody"/>
        <w:spacing w:lineRule="auto" w:line="288" w:before="0" w:after="180"/>
        <w:ind w:left="0" w:right="0" w:firstLine="360"/>
        <w:jc w:val="both"/>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 xml:space="preserve">Our common stock is listed on the Nasdaq Global Market under the symbol “SIBN.” </w:t>
      </w:r>
    </w:p>
    <w:p>
      <w:pPr>
        <w:pStyle w:val="TextBody"/>
        <w:spacing w:lineRule="auto" w:line="288" w:before="0" w:after="180"/>
        <w:jc w:val="both"/>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The Securities We or the Selling Securityholders May Offer</w:t>
      </w:r>
    </w:p>
    <w:p>
      <w:pPr>
        <w:pStyle w:val="TextBody"/>
        <w:spacing w:lineRule="auto" w:line="288" w:before="0" w:after="180"/>
        <w:ind w:left="0" w:right="0" w:firstLine="360"/>
        <w:jc w:val="both"/>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We or selling securityholders may offer shares of our common stock and preferred stock, various series of debt securities and/or warrants to purchase any of such securities, either individually or in combination, from time to time under this prospectus, together with the applicable prospectus supplement and any related free writing prospectus, at prices and on terms to be determined by market conditions at the time of any offering. There is no limit on the aggregate amount of the securities that we or selling securityholders may offer pursuant to the registration statement of which this prospectus is a part. We or selling securityholders may also offer common stock, preferred stock and/or debt securities upon the exercise of warrants. This prospectus provides you with a general description of the securities we may offer. Each time we or selling securityholders offer a type or series of securities under this prospectus, we will provide a prospectus supplement that will describe the specific amounts, prices and other important terms of the securities, including, to the extent applicable:</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designation or classification;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aggregate principal amount or aggregate offering price;</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maturity date, if applicable;</w:t>
      </w:r>
      <w:r>
        <w:br w:type="page"/>
      </w:r>
    </w:p>
    <w:p>
      <w:pPr>
        <w:pStyle w:val="TextBody"/>
        <w:spacing w:before="0" w:after="200"/>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8" name="Frame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original issue discount, if any;</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rates and times of payment of interest or dividends, if any;</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redemption, conversion, exercise, exchange or sinking fund terms, if any;</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conversion or exchange prices or rates, if any, and, if applicable, any provisions for changes to or adjustments in the conversion or exchange prices or rates and in the securities or other property receivable upon conversion or exchange;</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ranking;</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restrictive covenants, if any;</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voting or other rights, if any;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material or special U.S. federal income tax considerations, if any.</w:t>
      </w:r>
    </w:p>
    <w:p>
      <w:pPr>
        <w:pStyle w:val="TextBody"/>
        <w:spacing w:lineRule="auto" w:line="288" w:before="0" w:after="180"/>
        <w:ind w:left="0" w:right="0" w:firstLine="360"/>
        <w:jc w:val="both"/>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The applicable prospectus supplement and any related free writing prospectus that we may authorize to be provided to you may also add, update or change any of the information contained in this prospectus or in the documents we have incorporated by reference. However, no prospectus supplement or free writing prospectus will offer a security that is not registered and described in this prospectus at the time of the effectiveness of the registration statement of which this prospectus is a part.</w:t>
      </w:r>
    </w:p>
    <w:p>
      <w:pPr>
        <w:pStyle w:val="TextBody"/>
        <w:spacing w:lineRule="auto" w:line="288" w:before="0" w:after="180"/>
        <w:jc w:val="both"/>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THIS PROSPECTUS MAY NOT BE USED TO CONSUMMATE A SALE OF SECURITIES UNLESS IT IS ACCOMPANIED BY A PROSPECTUS SUPPLEMENT.</w:t>
      </w:r>
    </w:p>
    <w:p>
      <w:pPr>
        <w:pStyle w:val="TextBody"/>
        <w:spacing w:lineRule="auto" w:line="288" w:before="0" w:after="180"/>
        <w:ind w:left="0" w:right="0" w:firstLine="360"/>
        <w:jc w:val="both"/>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We or selling securityholders may sell the securities directly to investors or to or through agents, underwriters or dealers. We, the selling securityholders and our or their agents or underwriters, reserve the right to accept or reject all or part of any proposed purchase of securities. If we or selling securityholders do offer securities to or through agents or underwriters, we will include in the applicable prospectus supplement:</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names of those agents or underwriters;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applicable fees, discounts and commissions to be paid to them;</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details regarding over-allotment options, if any;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 xml:space="preserve">the net proceeds to us. </w:t>
      </w:r>
    </w:p>
    <w:p>
      <w:pPr>
        <w:pStyle w:val="TextBody"/>
        <w:spacing w:lineRule="auto" w:line="288" w:before="0" w:after="180"/>
        <w:ind w:left="0" w:right="0" w:firstLine="360"/>
        <w:jc w:val="both"/>
        <w:rPr>
          <w:bdr w:val="single" w:sz="8" w:space="36" w:color="000000"/>
        </w:rPr>
      </w:pPr>
      <w:r>
        <w:rPr>
          <w:rFonts w:ascii="Times New Roman;sans-serif" w:hAnsi="Times New Roman;sans-serif"/>
          <w:b w:val="false"/>
          <w:i/>
          <w:color w:val="000000"/>
          <w:sz w:val="20"/>
          <w:bdr w:val="single" w:sz="8" w:space="36" w:color="000000"/>
        </w:rPr>
        <w:t>Common Stock</w:t>
      </w:r>
      <w:r>
        <w:rPr>
          <w:rFonts w:ascii="Times New Roman;sans-serif" w:hAnsi="Times New Roman;sans-serif"/>
          <w:b w:val="false"/>
          <w:color w:val="000000"/>
          <w:sz w:val="20"/>
          <w:bdr w:val="single" w:sz="8" w:space="36" w:color="000000"/>
        </w:rPr>
        <w:t>. We may issue, and any selling securityholders may sell, shares of our common stock from time to time.</w:t>
      </w:r>
      <w:r>
        <w:rPr>
          <w:color w:val="000000"/>
          <w:bdr w:val="single" w:sz="8" w:space="36" w:color="000000"/>
        </w:rPr>
        <w:t xml:space="preserve"> </w:t>
      </w:r>
      <w:r>
        <w:rPr>
          <w:rFonts w:ascii="Times New Roman;sans-serif" w:hAnsi="Times New Roman;sans-serif"/>
          <w:b w:val="false"/>
          <w:color w:val="000000"/>
          <w:sz w:val="20"/>
          <w:bdr w:val="single" w:sz="8" w:space="36" w:color="000000"/>
        </w:rPr>
        <w:t>The holders of our common stock are entitled to one vote for each share held of record on all matters submitted to a vote of stockholders. Subject to preferences that may be applicable to any outstanding shares of preferred stock, the holders of common stock are entitled to receive ratably such dividends as may be declared by our board of directors out of legally available funds. Upon our liquidation, dissolution or winding up, holders of our common stock are entitled to share ratably in all assets remaining after payment of liabilities and the liquidation preferences of any outstanding shares of preferred stock. Holders of common stock have no preemptive rights and no right to convert their common stock into any other securities. There are no redemption or sinking fund provisions applicable to our common stock. In this prospectus, we have summarized certain general features of the common stock under “Description of Capital Stock - Common Stock.”  We urge you, however, to read the applicable prospectus supplement (and any related free writing prospectus that we may authorize to be provided to you) related to any common stock being offered.</w:t>
      </w:r>
    </w:p>
    <w:p>
      <w:pPr>
        <w:pStyle w:val="TextBody"/>
        <w:spacing w:lineRule="auto" w:line="288" w:before="0" w:after="180"/>
        <w:ind w:left="0" w:right="0" w:firstLine="360"/>
        <w:jc w:val="both"/>
        <w:rPr>
          <w:bdr w:val="single" w:sz="8" w:space="36" w:color="000000"/>
        </w:rPr>
      </w:pPr>
      <w:r>
        <w:rPr>
          <w:rFonts w:ascii="Times New Roman;sans-serif" w:hAnsi="Times New Roman;sans-serif"/>
          <w:b w:val="false"/>
          <w:i/>
          <w:color w:val="000000"/>
          <w:sz w:val="20"/>
          <w:bdr w:val="single" w:sz="8" w:space="36" w:color="000000"/>
        </w:rPr>
        <w:t>Preferred Stock</w:t>
      </w:r>
      <w:r>
        <w:rPr>
          <w:rFonts w:ascii="Times New Roman;sans-serif" w:hAnsi="Times New Roman;sans-serif"/>
          <w:b w:val="false"/>
          <w:color w:val="000000"/>
          <w:sz w:val="20"/>
          <w:bdr w:val="single" w:sz="8" w:space="36" w:color="000000"/>
        </w:rPr>
        <w:t xml:space="preserve">. We may issue shares of our preferred stock from time to time, in one or more series, and any selling securityholders may sell such shares from time to time. Our board of directors will determine the designations, voting powers, preferences and rights of the preferred stock, as well as the qualifications, limitations or restrictions thereof, including dividend rights, conversion rights, preemptive rights, terms of redemption or repurchase, liquidation preferences, sinking fund terms and the number of shares constituting any series or the </w:t>
      </w:r>
      <w:r>
        <w:br w:type="page"/>
      </w:r>
    </w:p>
    <w:p>
      <w:pPr>
        <w:pStyle w:val="TextBody"/>
        <w:spacing w:before="0" w:after="200"/>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9" name="Frame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designation of any series. Convertible preferred stock will be convertible into our common stock or exchangeable for other securities. Conversion may be mandatory or at your option and would be at prescribed conversion rates.</w:t>
      </w:r>
    </w:p>
    <w:p>
      <w:pPr>
        <w:pStyle w:val="TextBody"/>
        <w:spacing w:lineRule="auto" w:line="288" w:before="0" w:after="180"/>
        <w:ind w:left="0" w:right="0" w:firstLine="360"/>
        <w:jc w:val="both"/>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If we sell any series of preferred stock under this prospectus, we will fix the designations, voting powers, preferences and rights of the preferred stock of each series we issue under this prospectus, as well as the qualifications, limitations or restrictions thereof, in the certificate of designation relating to that series. We will file as an exhibit to the registration statement of which this prospectus is a part, or will incorporate by reference from reports that we file with the SEC, the form of any certificate of designation that contains the terms of the series of preferred stock we are offering. In this prospectus, we have summarized certain general features of the preferred stock under “Description of Capital Stock - Preferred Stock.” We urge you, however, to read the applicable prospectus supplement (and any related free writing prospectus that we may authorize to be provided to you) related to the series of preferred stock being offered, as well as the complete certificate of designation that contains the terms of the applicable series of preferred stock.</w:t>
      </w:r>
    </w:p>
    <w:p>
      <w:pPr>
        <w:pStyle w:val="TextBody"/>
        <w:spacing w:lineRule="auto" w:line="288" w:before="0" w:after="180"/>
        <w:ind w:left="0" w:right="0" w:firstLine="360"/>
        <w:jc w:val="both"/>
        <w:rPr>
          <w:bdr w:val="single" w:sz="8" w:space="36" w:color="000000"/>
        </w:rPr>
      </w:pPr>
      <w:r>
        <w:rPr>
          <w:rFonts w:ascii="Times New Roman;sans-serif" w:hAnsi="Times New Roman;sans-serif"/>
          <w:b w:val="false"/>
          <w:i/>
          <w:color w:val="000000"/>
          <w:sz w:val="20"/>
          <w:bdr w:val="single" w:sz="8" w:space="36" w:color="000000"/>
        </w:rPr>
        <w:t>Debt Securities.</w:t>
      </w:r>
      <w:r>
        <w:rPr>
          <w:color w:val="000000"/>
          <w:bdr w:val="single" w:sz="8" w:space="36" w:color="000000"/>
        </w:rPr>
        <w:t xml:space="preserve"> </w:t>
      </w:r>
      <w:r>
        <w:rPr>
          <w:rFonts w:ascii="Times New Roman;sans-serif" w:hAnsi="Times New Roman;sans-serif"/>
          <w:b w:val="false"/>
          <w:color w:val="000000"/>
          <w:sz w:val="20"/>
          <w:bdr w:val="single" w:sz="8" w:space="36" w:color="000000"/>
        </w:rPr>
        <w:t>We may issue debt securities from time to time, in one or more series, as either senior or subordinated debt or as senior or subordinated convertible debt. The senior debt securities will rank equally with any other unsecured and unsubordinated debt. The subordinated debt securities will be subordinate and junior in right of payment, to the extent and in the manner described in the instrument governing the debt, to all of our senior indebtedness. Convertible debt securities will be convertible into or exchangeable for our common stock or other securities. Conversion may be mandatory or at your option and would be at prescribed conversion rates.</w:t>
      </w:r>
    </w:p>
    <w:p>
      <w:pPr>
        <w:pStyle w:val="TextBody"/>
        <w:spacing w:lineRule="auto" w:line="288" w:before="0" w:after="180"/>
        <w:ind w:left="0" w:right="0" w:firstLine="360"/>
        <w:jc w:val="both"/>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Any debt securities issued under this prospectus will be issued under one or more documents called indentures, which are contracts between us and a national banking association or other eligible party, as trustee. In this prospectus, we have summarized certain general features of the debt securities under “Description of Debt Securities.” We urge you, however, to read the applicable prospectus supplement (and any free writing prospectus that we may authorize to be provided to you) related to the series of debt securities being offered, as well as the complete indentures that contain the terms of the debt securities.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pStyle w:val="TextBody"/>
        <w:spacing w:lineRule="auto" w:line="288" w:before="0" w:after="180"/>
        <w:ind w:left="0" w:right="0" w:firstLine="360"/>
        <w:jc w:val="both"/>
        <w:rPr>
          <w:bdr w:val="single" w:sz="8" w:space="36" w:color="000000"/>
        </w:rPr>
      </w:pPr>
      <w:r>
        <w:rPr>
          <w:rFonts w:ascii="Times New Roman;sans-serif" w:hAnsi="Times New Roman;sans-serif"/>
          <w:b w:val="false"/>
          <w:i/>
          <w:color w:val="000000"/>
          <w:sz w:val="20"/>
          <w:bdr w:val="single" w:sz="8" w:space="36" w:color="000000"/>
        </w:rPr>
        <w:t>Warrants.</w:t>
      </w:r>
      <w:r>
        <w:rPr>
          <w:color w:val="000000"/>
          <w:bdr w:val="single" w:sz="8" w:space="36" w:color="000000"/>
        </w:rPr>
        <w:t xml:space="preserve"> </w:t>
      </w:r>
      <w:r>
        <w:rPr>
          <w:rFonts w:ascii="Times New Roman;sans-serif" w:hAnsi="Times New Roman;sans-serif"/>
          <w:b w:val="false"/>
          <w:color w:val="000000"/>
          <w:sz w:val="20"/>
          <w:bdr w:val="single" w:sz="8" w:space="36" w:color="000000"/>
        </w:rPr>
        <w:t>We may issue warrants for the purchase of common stock, preferred stock and/or debt securities in one or more series. We may issue warrants independently or in combination with common stock, preferred stock and/or debt securities. In this prospectus, we have summarized certain general features of the warrants under “Description of Warrants.” We urge you, however, to read the applicable prospectus supplement (and any related free writing prospectus that we may authorize to be provided to you) related to the particular series of warrants being offered, as well as any warrant agreements and warrant certificates that contain the terms of the warrants. We have filed forms of the warrant agreements and forms of warrant certificates containing the terms of the warrants that may be offered as exhibits to the registration statement of which this prospectus is a part. We will file as exhibits to the registration statement of which this prospectus is a part, or will incorporate by reference from reports that we file with the SEC, the form of warrant and/or the warrant agreement and warrant certificate, as applicable, that contain the terms of the particular series of warrants we are offering, and any supplemental agreements, before the issuance of such warrants.</w:t>
      </w:r>
    </w:p>
    <w:p>
      <w:pPr>
        <w:pStyle w:val="TextBody"/>
        <w:spacing w:lineRule="auto" w:line="288" w:before="0" w:after="180"/>
        <w:ind w:left="0" w:right="0" w:firstLine="360"/>
        <w:jc w:val="both"/>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Any warrants issued under this prospectus may be evidenced by warrant certificates. Warrants also may be issued under an applicable warrant agreement that we enter into with a warrant agent. We will indicate the name and address of the warrant agent, if applicable, in the prospectus supplement relating to the particular series of warrants being offered.</w:t>
      </w:r>
    </w:p>
    <w:p>
      <w:pPr>
        <w:pStyle w:val="TextBody"/>
        <w:spacing w:lineRule="auto" w:line="288" w:before="0" w:after="180"/>
        <w:jc w:val="both"/>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Use of Proceeds</w:t>
      </w:r>
    </w:p>
    <w:p>
      <w:pPr>
        <w:pStyle w:val="TextBody"/>
        <w:spacing w:lineRule="auto" w:line="288" w:before="0" w:after="180"/>
        <w:ind w:left="0" w:right="0" w:firstLine="360"/>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 xml:space="preserve">Except as described in any applicable prospectus supplement or in any free writing prospectuses we have authorized for use in connection with a specific offering, we currently intend to use the net proceeds from the sale of the securities offered by us hereunder, if any, for working capital, capital expenditures and other general corporate </w:t>
      </w:r>
      <w:r>
        <w:br w:type="page"/>
      </w:r>
    </w:p>
    <w:p>
      <w:pPr>
        <w:pStyle w:val="TextBody"/>
        <w:spacing w:before="0" w:after="200"/>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0" name="Frame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lineRule="auto" w:line="288" w:before="0" w:after="180"/>
        <w:rPr>
          <w:bdr w:val="single" w:sz="8" w:space="36" w:color="000000"/>
        </w:rPr>
      </w:pPr>
      <w:r>
        <w:rPr>
          <w:rFonts w:ascii="Times New Roman;sans-serif" w:hAnsi="Times New Roman;sans-serif"/>
          <w:b w:val="false"/>
          <w:color w:val="000000"/>
          <w:sz w:val="20"/>
          <w:bdr w:val="single" w:sz="8" w:space="36" w:color="000000"/>
        </w:rPr>
        <w:t>purposes. We will not receive any proceeds from the sale of securities by any selling securityholders.</w:t>
      </w:r>
      <w:r>
        <w:rPr>
          <w:color w:val="000000"/>
          <w:bdr w:val="single" w:sz="8" w:space="36" w:color="000000"/>
        </w:rPr>
        <w:t xml:space="preserve"> </w:t>
      </w:r>
      <w:r>
        <w:rPr>
          <w:rFonts w:ascii="Times New Roman;sans-serif" w:hAnsi="Times New Roman;sans-serif"/>
          <w:b w:val="false"/>
          <w:color w:val="000000"/>
          <w:sz w:val="20"/>
          <w:bdr w:val="single" w:sz="8" w:space="36" w:color="000000"/>
        </w:rPr>
        <w:t>See “Use of Proceeds” in this prospectus.</w:t>
      </w:r>
    </w:p>
    <w:p>
      <w:pPr>
        <w:pStyle w:val="TextBody"/>
        <w:spacing w:lineRule="auto" w:line="288" w:before="0" w:after="180"/>
        <w:jc w:val="both"/>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Nasdaq Global Market Listing</w:t>
      </w:r>
    </w:p>
    <w:p>
      <w:pPr>
        <w:pStyle w:val="TextBody"/>
        <w:spacing w:lineRule="auto" w:line="288" w:before="0" w:after="180"/>
        <w:ind w:left="0" w:right="0" w:firstLine="360"/>
        <w:jc w:val="both"/>
        <w:rPr>
          <w:bdr w:val="single" w:sz="8" w:space="36" w:color="000000"/>
        </w:rPr>
      </w:pPr>
      <w:r>
        <w:rPr>
          <w:rFonts w:ascii="Times New Roman;sans-serif" w:hAnsi="Times New Roman;sans-serif"/>
          <w:b w:val="false"/>
          <w:color w:val="000000"/>
          <w:sz w:val="20"/>
          <w:bdr w:val="single" w:sz="8" w:space="36" w:color="000000"/>
        </w:rPr>
        <w:t>Our common stock is listed on the Nasdaq Global Market</w:t>
      </w:r>
      <w:r>
        <w:rPr>
          <w:color w:val="000000"/>
          <w:bdr w:val="single" w:sz="8" w:space="36" w:color="000000"/>
        </w:rPr>
        <w:t xml:space="preserve"> </w:t>
      </w:r>
      <w:r>
        <w:rPr>
          <w:rFonts w:ascii="Times New Roman;sans-serif" w:hAnsi="Times New Roman;sans-serif"/>
          <w:b w:val="false"/>
          <w:color w:val="000000"/>
          <w:sz w:val="20"/>
          <w:bdr w:val="single" w:sz="8" w:space="36" w:color="000000"/>
        </w:rPr>
        <w:t>under the symbol “SIBN.” The applicable prospectus supplement will contain information, where applicable, as to other listings, if any, on the Nasdaq Global Market or other securities exchange of the securities covered by the applicable prospectus supplement.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200"/>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1" name="Frame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RISK FACTORS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Investing in our securities involves a high degree of risk. Before deciding whether to invest in our securities, you should consider carefully the risks and uncertainties described under the heading “Risk Factors” contained in the applicable prospectus supplement and any related free writing prospectus, and discussed under the section entitled “Risk Factors” contained in our most recent Annual Report on Form 10-K and in our most recent Quarterly Report on Form 10-Q, as well as any amendments thereto reflected in subsequent filings with the SEC, which are incorporated by reference into this prospectus in their entirety, together with other information in this prospectus, the documents incorporated by reference and any free writing prospectus that we may authorize for use in connection with this offering. The risks described in these documents are not the only ones we face, but those that we consider to be material.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seriously harmed. This could cause the trading price of our common stock to decline, resulting in a loss of all or part of your investment. Please also read carefully the section below entitled “Special Note Regarding Forward-Looking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200"/>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2" name="Frame4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SPECIAL NOTE REGARDING FORWARD-LOOKING STATEMENTS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prospectus and the documents we have filed with the SEC that are incorporated by reference contain “forward-looking statements” within the meaning of Section 27A of the Securities Act of 1933, as amended, or the Securities Act, and Section 21E of the Securities Exchange Act of 1934, or the Exchange Act. These statements relate to future events or to our future operating or financial performance and involve known and unknown risks, uncertainties and other factors which may cause our actual results, performance or achievements to be materially different from any future results, performances or achievements expressed or implied by the forward-looking statements. Forward-looking statements may include, but are not limited to, statements about: </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our ability to continue to diversify our product mix, including identification of new opportunities and access the capital required to fund adequate new inventory of instruments and implants to address these opportunities;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our expectation that a significant portion of our revenues will be derived from sales from a small family of products and a single family of procedures;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our ability to develop and commercialize additional revenue opportunities, including new indications for use and new devices;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our ability to retain and grow our sales team based on the demand for our products;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our ability to identify, train, and retain surgeons to perform procedures using our products;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our ability to obtain and maintain favorable coverage and reimbursement determinations from third-party payors;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our estimates of our market opportunities;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our expectations regarding the scope of protection from intellectual property rights covering our products;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developments or disputes concerning our intellectual property or other proprietary rights;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timing of and results from clinical and other trials;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marketing clearances and authorization from the FDA and regulators in other jurisdictions;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timing of regulatory filings and feedback;</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competition in the markets we serve;</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our expectations of the reliability and performance of our products;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our expectations of the benefits to patients, providers, and payors of our products;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factors impacting the supply chains we rely on, including the availability of raw materials and skilled labor serving our suppliers, and the cost of these factors of production which may in turn impact the prices we pay for our devices;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our reliance on a limited number of suppliers, including sole source suppliers, which may impact the availability of instruments and materials;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our ability to sustain or increase demand for our products;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our estimates regarding our costs and risks associated with our international operations and expansion;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our expectations regarding our ability to retain and recruit key personnel;</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our ability to attract and retain employees, including those with specialized skills and experience;</w:t>
      </w:r>
      <w:r>
        <w:br w:type="page"/>
      </w:r>
    </w:p>
    <w:p>
      <w:pPr>
        <w:pStyle w:val="TextBody"/>
        <w:spacing w:before="0" w:after="200"/>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3" name="Frame4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our ability to successfully manage the supply chain and operational challenges, as well as governmental responses or mandates, associated with a disease outbreak, including epidemics, pandemics or similar widespread public health concerns;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continuing impact of COVID-19 or other disease outbreaks on the demand for, and timing of, our procedures;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our ability to attract and retain a force of third party sales agents who sell our products in the U.S;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our expectations regarding acquisitions and strategic operations;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our ability to access capital markets;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our ability to fund our working capital requirements;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our compliance with, and the cost of, federal, state, and foreign regulatory requirements;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factors that may impact our financial results;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anticipated trends and challenges in our business and the markets in which we operate.</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some cases, you can identify forward-looking statements by terms such as “may,” “will,” “should,” “could,” “would,” “expects,” “plans,” “anticipates,” “believes,” “estimates,” “projects,” “predicts,” “potential” and similar expressions intended to identify forward-looking statements. These statements reflect our current views with respect to future events and are based on assumptions and are subject to risks and uncertainties. Given these uncertainties, you should not place undue reliance on these forward-looking statements. We discuss in greater detail many of these risks under the heading “Risk Factors” contained in the applicable prospectus supplement, in any free writing prospectuses we may authorize for use in connection with a specific offering, and in our most recent annual report on Form 10-K and in our most recent quarterly report on Form 10-Q, as well as any amendments thereto reflected in subsequent filings with the SEC, which are incorporated by reference into this prospectus in their entirety. Also, these forward-looking statements represent our estimates and assumptions only as of the date of the document containing the applicable statement. Unless required by law, we undertake no obligation to update or revise any forward-looking statements to reflect new information or future events or developments. Thus, you should not assume that our silence over time means that actual events are bearing out as expressed or implied in such forward-looking statements. You should read this prospectus, any applicable prospectus supplement, together with the documents we have filed with the SEC that are incorporated by reference and any free writing prospectus that we may authorize for use in connection with this offering completely and with the understanding that our actual future results may be materially different from what we expect. We qualify all of the forward-looking statements in the foregoing documents by these cautionary statements.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200"/>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4" name="Frame4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USE OF PROCEEDS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Except as described in any applicable prospectus supplement or in any free writing prospectuses we have authorized for use in connection with a specific offering, we currently intend to use the net proceeds from the sale of the securities offered by us hereunder, if any, for working capital, capital expenditures and other general corporate purposes, which may include costs of funding future acquisitions or for any other purpose we describe in the applicable prospectus supplement.</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will not receive any proceeds from the sale of securities by any selling securityholder.</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200"/>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5" name="Frame4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DESCRIPTION OF CAPITAL STOCK</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authorized capital stock consists of 100,000,000 shares of common stock, $0.0001 par value per share, and 5,000,000 shares of preferred stock, $0.0001 par value per share. A description of material terms and provisions of our certificate of incorporation and bylaws affecting the rights of holders of our capital stock is set forth below. The description is intended as a summary, and is qualified in its entirety by reference to our certificate of incorporation and the bylaws.</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Common Stock</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Dividend Rights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Subject to preferences that may apply to shares of preferred stock outstanding at the time, the holders of outstanding shares of our common stock are entitled to receive dividends out of funds legally available if our board of directors, in its discretion, determines to issue dividends and only then at the times and in the amounts that our board of directors may determine.</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Voting Rights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holders of our common stock are entitled to one vote per share. Stockholders do not have the ability to cumulate votes for the election of directors. Our amended and restated certificate of incorporation and amended and restated bylaws provide for a classified board of directors consisting of three classes of approximately equal size, each serving staggered three-year terms. Only one class of directors will be elected at each annual meeting of our stockholders, with the other classes continuing for the remainder of their respective three-year terms.</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No Preemptive or Similar Rights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common stock is not entitled to preemptive rights and is not subject to conversion, redemption, or sinking fund provisions.</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Right to Receive Liquidation Distributions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Upon our dissolution, liquidation or winding-up, the assets legally available for distribution to our stockholders are distributable ratably among the holders of our common stock, subject to prior satisfaction of all outstanding debt and liabilities and the preferential rights and payment of liquidation preferences, if any, on any outstanding shares of preferred stock.</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Preferred Stock</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certificate of incorporation authorizes our board of directors, without further action by our stockholders, to issue up to 5,000,000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common stock. The issuance of our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a change of control of our company or other corporate action.</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will fix the designations, voting powers, preferences and rights of the preferred stock of each series we issue under this prospectus, as well as the qualifications, limitations or restrictions thereof, in the certificate of designation relating to that series. We will file as an exhibit to the registration statement of which this prospectus is a part, or will incorporate by reference from reports that we file with the SEC, the form of any certificate of designation that contains the terms of the series of preferred stock we are offering. We will describe in the applicable prospectus supplement the terms of the series of preferred stock being offered, including, to the extent applicable:</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title and stated value;</w:t>
      </w:r>
      <w:r>
        <w:br w:type="page"/>
      </w:r>
    </w:p>
    <w:p>
      <w:pPr>
        <w:pStyle w:val="TextBody"/>
        <w:spacing w:before="0" w:after="200"/>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6" name="Frame4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number of shares we are offering;</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liquidation preference per share;</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purchase price;</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dividend rate, period and payment date and method of calculation for dividends;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whether dividends will be cumulative or non-cumulative and, if cumulative, the date from which dividends will accumulate;</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procedures for any auction and remarketing, if applicable;</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provisions for a sinking fund, if applicable;</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provisions for redemption or repurchase, if applicable, and any restrictions on our ability to exercise those redemption and repurchase rights;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any listing of the preferred stock on any securities exchange or market;</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whether the preferred stock will be convertible into our common stock, and, if applicable, the conversion price, or how it will be calculated, and the conversion period;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whether the preferred stock will be exchangeable into debt securities, and, if applicable, the exchange price, or how it will be calculated, and the exchange period;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voting rights of the preferred stock;</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preemptive rights, if any;</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restrictions on transfer, sale or other assignment;</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whether interests in the preferred stock will be represented by depositary shares;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 discussion of material United States federal income tax considerations applicable to the preferred stock;</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relative ranking and preferences of the preferred stock as to dividend rights and rights if we liquidate, dissolve or wind up our affairs;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any limitations on the issuance of any class or series of preferred stock ranking senior to or on a parity with the series of preferred stock as to dividend rights and rights if we liquidate, dissolve or wind up our affairs;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any other specific terms, preferences, rights or limitations of, or restrictions on, the preferred stock.</w:t>
      </w:r>
    </w:p>
    <w:p>
      <w:pPr>
        <w:pStyle w:val="TextBody"/>
        <w:spacing w:lineRule="auto" w:line="288" w:before="0" w:after="180"/>
        <w:jc w:val="both"/>
        <w:rPr/>
      </w:pPr>
      <w:r>
        <w:rPr>
          <w:color w:val="000000"/>
        </w:rPr>
        <w:t> </w:t>
      </w:r>
      <w:r>
        <w:rPr>
          <w:rFonts w:ascii="Times New Roman;sans-serif" w:hAnsi="Times New Roman;sans-serif"/>
          <w:b/>
          <w:color w:val="000000"/>
          <w:sz w:val="20"/>
        </w:rPr>
        <w:t>Anti-takeover Effects of Provisions of our Certificate of Incorporation and Bylaws and Delaware Law</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Delaware Law</w:t>
      </w:r>
    </w:p>
    <w:p>
      <w:pPr>
        <w:pStyle w:val="TextBody"/>
        <w:spacing w:lineRule="auto" w:line="288" w:before="0" w:after="18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are governed by the provisions of Section 203 of the Delaware General Corporation Law regulating corporate takeovers. This section prevents some Delaware corporations from engaging, under some circumstances, in a business combination, which includes a merger or sale of at least 10% of the corporation’s assets with any interested stockholder, meaning a stockholder who, together with affiliates and associates, owns or, within three years prior to the determination of interested stockholder status, did own 15% or more of the corporation’s outstanding voting stock, unless: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transaction is approved by the board of directors prior to the time that the interested stockholder became an interested stockholder;</w:t>
      </w:r>
      <w:r>
        <w:br w:type="page"/>
      </w:r>
    </w:p>
    <w:p>
      <w:pPr>
        <w:pStyle w:val="TextBody"/>
        <w:spacing w:before="0" w:after="200"/>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7" name="Frame4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88" w:before="0" w:after="180"/>
        <w:ind w:left="0" w:right="0" w:hanging="360"/>
        <w:rPr/>
      </w:pPr>
      <w:r>
        <w:rPr>
          <w:color w:val="000000"/>
        </w:rPr>
        <w:t>•</w:t>
      </w:r>
      <w:r>
        <w:rPr>
          <w:rFonts w:ascii="Times New Roman;sans-serif" w:hAnsi="Times New Roman;sans-serif"/>
          <w:b w:val="false"/>
          <w:color w:val="222222"/>
          <w:sz w:val="20"/>
        </w:rPr>
        <w:t xml:space="preserve">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w:t>
      </w:r>
      <w:r>
        <w:rPr>
          <w:rFonts w:ascii="Times New Roman;sans-serif" w:hAnsi="Times New Roman;sans-serif"/>
          <w:b w:val="false"/>
          <w:color w:val="000000"/>
          <w:sz w:val="20"/>
        </w:rPr>
        <w:t>or</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subsequent to such time that the stockholder became an interested stockholder the business combination is approved by the board of directors and authorized at an annual or special meeting of stockholders by at least two-thirds of the outstanding voting stock which is not owned by the interested stockholder.</w:t>
      </w:r>
    </w:p>
    <w:p>
      <w:pPr>
        <w:pStyle w:val="TextBody"/>
        <w:spacing w:lineRule="auto" w:line="288" w:before="0" w:after="18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 Delaware corporation may “opt out” of these provisions with an express provision in its original certificate of incorporation or an express provision in its certificate of incorporation or amended and restated bylaws resulting from a stockholders’ amendment approved by at least a majority of the outstanding voting shares. We have not opted out of these provisions. As a result, mergers, or other takeover or change in control attempts of us may be discouraged or prevented.</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Certificate of Incorporation and Bylaws Provisions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certificate of incorporation and our amended and restated bylaws include a number of provisions that may have the effect of deterring hostile takeovers or delaying or preventing changes in control of our management team, including the following:</w:t>
      </w:r>
    </w:p>
    <w:p>
      <w:pPr>
        <w:pStyle w:val="TextBody"/>
        <w:spacing w:lineRule="auto" w:line="288" w:before="0" w:after="180"/>
        <w:ind w:left="0" w:right="0" w:hanging="360"/>
        <w:jc w:val="both"/>
        <w:rPr/>
      </w:pPr>
      <w:r>
        <w:rPr>
          <w:color w:val="000000"/>
        </w:rPr>
        <w:t>•</w:t>
      </w:r>
      <w:r>
        <w:rPr>
          <w:rFonts w:ascii="Times New Roman;sans-serif" w:hAnsi="Times New Roman;sans-serif"/>
          <w:b w:val="false"/>
          <w:i/>
          <w:color w:val="000000"/>
          <w:sz w:val="20"/>
        </w:rPr>
        <w:t>Board of Directors Vacancies</w:t>
      </w:r>
      <w:r>
        <w:rPr>
          <w:rFonts w:ascii="Times New Roman;sans-serif" w:hAnsi="Times New Roman;sans-serif"/>
          <w:b w:val="false"/>
          <w:color w:val="000000"/>
          <w:sz w:val="20"/>
        </w:rPr>
        <w:t>. Our amended and restated certificate of incorporation and amended and restated bylaws authorize our board of directors to fill vacant directorships, including newly-created seats. In addition, the number of directors constituting our board of directors is set only by resolution adopted by a majority vote of our entire board of directors. These provisions prevent a stockholder from increasing the size of our board of directors and gaining control of our board of directors by filling the resulting vacancies with its own nominees.</w:t>
      </w:r>
    </w:p>
    <w:p>
      <w:pPr>
        <w:pStyle w:val="TextBody"/>
        <w:spacing w:lineRule="auto" w:line="288" w:before="0" w:after="180"/>
        <w:ind w:left="0" w:right="0" w:hanging="360"/>
        <w:jc w:val="both"/>
        <w:rPr/>
      </w:pPr>
      <w:r>
        <w:rPr>
          <w:color w:val="000000"/>
        </w:rPr>
        <w:t>•</w:t>
      </w:r>
      <w:r>
        <w:rPr>
          <w:rFonts w:ascii="Times New Roman;sans-serif" w:hAnsi="Times New Roman;sans-serif"/>
          <w:b w:val="false"/>
          <w:i/>
          <w:color w:val="000000"/>
          <w:sz w:val="20"/>
        </w:rPr>
        <w:t>Classified Board</w:t>
      </w:r>
      <w:r>
        <w:rPr>
          <w:rFonts w:ascii="Times New Roman;sans-serif" w:hAnsi="Times New Roman;sans-serif"/>
          <w:b w:val="false"/>
          <w:color w:val="000000"/>
          <w:sz w:val="20"/>
        </w:rPr>
        <w:t>. Our amended and restated certificate of incorporation and amended and restated bylaws provide that our board of directors is classified into three classes of directors, each of whom will hold office for a three-year term. In addition, directors may only be removed from the board of directors for cause and only by the approval of a majority of our then-outstanding shares of our common stock. The existence of a classified board could delay a successful tender offeror from obtaining majority control of our board of directors, and the prospect of that delay might deter a potential offeror.</w:t>
      </w:r>
    </w:p>
    <w:p>
      <w:pPr>
        <w:pStyle w:val="TextBody"/>
        <w:spacing w:lineRule="auto" w:line="288" w:before="0" w:after="180"/>
        <w:ind w:left="0" w:right="0" w:hanging="360"/>
        <w:jc w:val="both"/>
        <w:rPr/>
      </w:pPr>
      <w:r>
        <w:rPr>
          <w:color w:val="000000"/>
        </w:rPr>
        <w:t>•</w:t>
      </w:r>
      <w:r>
        <w:rPr>
          <w:rFonts w:ascii="Times New Roman;sans-serif" w:hAnsi="Times New Roman;sans-serif"/>
          <w:b w:val="false"/>
          <w:i/>
          <w:color w:val="000000"/>
          <w:sz w:val="20"/>
        </w:rPr>
        <w:t>Stockholder Action; Special Meeting of Stockholders</w:t>
      </w:r>
      <w:r>
        <w:rPr>
          <w:rFonts w:ascii="Times New Roman;sans-serif" w:hAnsi="Times New Roman;sans-serif"/>
          <w:b w:val="false"/>
          <w:color w:val="000000"/>
          <w:sz w:val="20"/>
        </w:rPr>
        <w:t>. Our amended and restated certificate of incorporation provides that stockholders are not able to take action by written consent, and are only be able to take action at annual or special meetings of our stockholders. Stockholders are not be permitted to cumulate their votes for the election of directors. Our amended and restated bylaws further provide that special meetings of our stockholders may be called only by a majority vote of our entire board of directors, the chairman of our board of directors, or our chief executive officer.</w:t>
      </w:r>
    </w:p>
    <w:p>
      <w:pPr>
        <w:pStyle w:val="TextBody"/>
        <w:spacing w:lineRule="auto" w:line="288" w:before="0" w:after="180"/>
        <w:ind w:left="0" w:right="0" w:hanging="360"/>
        <w:jc w:val="both"/>
        <w:rPr/>
      </w:pPr>
      <w:r>
        <w:rPr>
          <w:color w:val="000000"/>
        </w:rPr>
        <w:t>•</w:t>
      </w:r>
      <w:r>
        <w:rPr>
          <w:rFonts w:ascii="Times New Roman;sans-serif" w:hAnsi="Times New Roman;sans-serif"/>
          <w:b w:val="false"/>
          <w:i/>
          <w:color w:val="000000"/>
          <w:sz w:val="20"/>
        </w:rPr>
        <w:t>Advance Notice Requirements for Stockholder Proposals and Director Nominations</w:t>
      </w:r>
      <w:r>
        <w:rPr>
          <w:rFonts w:ascii="Times New Roman;sans-serif" w:hAnsi="Times New Roman;sans-serif"/>
          <w:b w:val="false"/>
          <w:color w:val="000000"/>
          <w:sz w:val="20"/>
        </w:rPr>
        <w:t>. Our amended and restated bylaws provide advance notice procedures for stockholders seeking to bring business before our annual meeting of stockholders, or to nominate candidates for election as directors at any meeting of stockholders. Our amended and restated bylaws also specify certain requirements regarding the form and content of a stockholder’s notice. These provisions may preclude our stockholders from bringing matters before our annual meeting of stockholders or from making nominations for directors at our meetings of stockholders.</w:t>
      </w:r>
    </w:p>
    <w:p>
      <w:pPr>
        <w:pStyle w:val="TextBody"/>
        <w:spacing w:lineRule="auto" w:line="288" w:before="0" w:after="180"/>
        <w:ind w:left="0" w:right="0" w:hanging="360"/>
        <w:jc w:val="both"/>
        <w:rPr/>
      </w:pPr>
      <w:r>
        <w:rPr>
          <w:color w:val="000000"/>
        </w:rPr>
        <w:t>•</w:t>
      </w:r>
      <w:r>
        <w:rPr>
          <w:rFonts w:ascii="Times New Roman;sans-serif" w:hAnsi="Times New Roman;sans-serif"/>
          <w:b w:val="false"/>
          <w:i/>
          <w:color w:val="000000"/>
          <w:sz w:val="20"/>
        </w:rPr>
        <w:t>Issuance of Undesignated Preferred Stock</w:t>
      </w:r>
      <w:r>
        <w:rPr>
          <w:rFonts w:ascii="Times New Roman;sans-serif" w:hAnsi="Times New Roman;sans-serif"/>
          <w:b w:val="false"/>
          <w:color w:val="000000"/>
          <w:sz w:val="20"/>
        </w:rPr>
        <w:t xml:space="preserve">. Our board of directors have the authority, without further action by the holders of common stock, to issue up to 5,000,000 shares of undesignated preferred stock with rights and preferences, including voting rights, designated from time to time by the board of directors. The </w:t>
      </w:r>
      <w:r>
        <w:br w:type="page"/>
      </w:r>
    </w:p>
    <w:p>
      <w:pPr>
        <w:pStyle w:val="TextBody"/>
        <w:spacing w:before="0" w:after="200"/>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8" name="Frame4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existence of authorized but unissued shares of preferred stock enable our board of directors to render more difficult or to discourage an attempt to obtain control of us by means of a merger, tender offer, proxy contest, or otherwise.</w:t>
      </w:r>
    </w:p>
    <w:p>
      <w:pPr>
        <w:pStyle w:val="TextBody"/>
        <w:spacing w:lineRule="auto" w:line="288" w:before="0" w:after="180"/>
        <w:jc w:val="both"/>
        <w:rPr/>
      </w:pPr>
      <w:r>
        <w:rPr>
          <w:color w:val="000000"/>
        </w:rPr>
        <w:t> </w:t>
      </w:r>
      <w:r>
        <w:rPr>
          <w:rFonts w:ascii="Times New Roman;sans-serif" w:hAnsi="Times New Roman;sans-serif"/>
          <w:b/>
          <w:color w:val="000000"/>
          <w:sz w:val="20"/>
        </w:rPr>
        <w:t>Choice of Forum</w:t>
      </w:r>
    </w:p>
    <w:p>
      <w:pPr>
        <w:pStyle w:val="TextBody"/>
        <w:spacing w:lineRule="auto" w:line="288" w:before="0" w:after="18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certificate of incorporation provides that the Court of Chancery of the State of Delaware is the exclusive forum for any derivative action or proceeding brought on our behalf; any action asserting a breach of fiduciary duty by any director, officer, or other employee to us or our stockholders; any action asserting a claim against us arising pursuant to the Delaware General Corporation Law, our amended and restated certificate of incorporation or our amended and restated bylaws, or any action asserting a claim against us or any director or officer or other employee that is governed by the internal affairs doctrine. The provision does not apply to suits brought to enforce a duty or liability created by the Exchange Act. The enforceability of similar choice of forum provisions in other companies’ certificates of incorporation has been challenged in legal proceedings, and it is possible that a court could find these types of provisions to be inapplicable or unenforceable. Our amended and restated certificate of incorporation further provides that the federal district courts of the United States of America is be the exclusive forum for resolving any complaint asserting a cause of action arising under the Securities Act. We do not currently intend to enforce the federal forum selection provision unless a recent Delaware Chancery Court decision invalidating such a clause is appealed and the Delaware Supreme Court reverses the decision.</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Listing on the Nasdaq Global Market</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common stock is listed on the Nasdaq Global Market the symbol “SIBN.” The applicable prospectus supplement will contain information, where applicable, as to any other listing, if any, on the Nasdaq Global Market or any securities market or other exchange of the preferred stock covered by such prospectus supplement.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200"/>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9" name="Frame4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 xml:space="preserve">DESCRIPTION OF DEBT SECURITIES </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may issue debt securities from time to time, in one or more series, as either senior or subordinated debt or as senior or subordinated convertible debt. While the terms we have summarized below will apply generally to any debt securities that we may offer under this prospectus, we will describe the particular terms of any debt securities that we may offer in more detail in the applicable prospectus supplement. The terms of any debt securities offered under a prospectus supplement may differ from the terms described below. Unless the context requires otherwise, whenever we refer to the indenture, we also are referring to any supplemental indentures that specify the terms of a particular series of debt securities.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will issue the debt securities under the indenture that we will enter into with trustee named in the indenture. The indenture will be qualified under the Trust Indenture Act of 1939, as amended, or the Trust Indenture Act.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summary of material provisions of the debt securities and the indenture is subject to, and qualified in its entirety by reference to, all of the provisions of the indenture applicable to a particular series of debt securities. We urge you to read the applicable prospectus supplements and any related free writing prospectuses related to the debt securities that we may offer under this prospectus, as well as the complete indenture that contains the terms of the debt securities.</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General</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indenture does not limit the amount of debt securities that we may issue. It provides that we may issue debt securities up to the principal amount that we may authorize and may be in any currency or currency unit that we may designate.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may issue the debt securities issued under the indenture as “discount securities,” which means they may be sold at a discount below their stated principal amount. These debt securities, as well as other debt securities that are not issued at a discount, may be issued with “original issue discount,” or OID, for U.S. federal income tax purposes because of interest payment and other characteristics or terms of the debt securities. Material U.S. federal income tax considerations applicable to debt securities issued with OID will be described in more detail in any applicable prospectus supplement.</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will describe in the applicable prospectus supplement the terms of the series of debt securities being offered, including:</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 xml:space="preserve">the title of the series of debt securities; </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 xml:space="preserve">any limit upon the aggregate principal amount that may be issued; </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 xml:space="preserve">the maturity date or dates; </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form of the debt securities of the series;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applicability of any guarantees;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whether or not the debt securities will be secured or unsecured, and the terms of any secured debt;</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whether the debt securities rank as senior debt, senior subordinated debt, subordinated debt or any combination thereof, and the terms of any subordination;</w:t>
      </w:r>
      <w:r>
        <w:br w:type="page"/>
      </w:r>
    </w:p>
    <w:p>
      <w:pPr>
        <w:pStyle w:val="TextBody"/>
        <w:spacing w:before="0" w:after="200"/>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0" name="Frame4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if the price (expressed as a percentage of the aggregate principal amount thereof) at which such debt securities will be issued is a price other than the principal amount thereof, the portion of the principal amount thereof payable upon declaration of acceleration of the maturity thereof, or if applicable, the portion of the principal amount of such debt securities that is convertible into another security or the method by which any such portion shall be determined;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interest rate or rates, which may be fixed or variable, or the method for determining the rate and the date interest will begin to accrue, the dates interest will be payable and the regular record dates for interest payment dates or the method for determining such dates;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our right, if any, to defer payment of interest and the maximum length of any such deferral period;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if applicable, the date or dates after which, or the period or periods during which, and the price or prices at which, we may, at our option, redeem the series of debt securities pursuant to any optional or provisional redemption provisions and the terms of those redemption provisions;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the date or dates, if any, on which, and the price or prices at which we are obligated, pursuant to any mandatory sinking fund or analogous fund provisions or otherwise, to redeem, or at the holder’s option to purchase, the series of debt securities and the currency or currency unit in which the debt securities are payable;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denominations in which we will issue the series of debt securities, if other than denominations of $1,000 and any integral multiple thereof;</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 </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 xml:space="preserve">whether the debt securities of the series shall be issued in whole or in part in the form of a global security or securities;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the terms and conditions, if any, upon which such global security or securities may be exchanged in whole or in part for other individual securities, and the depositary for such global security or securities;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if applicable, the provisions relating to conversion or exchange of any debt securities of the series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if other than the full principal amount thereof, the portion of the principal amount of debt securities of the series which shall be payable upon declaration of acceleration of the maturity thereof;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additions to or changes in the covenants applicable to the particular debt securities being issued, including, among others, the consolidation, merger or sale covenant;</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additions to or changes in the events of default with respect to the securities and any change in the right of the trustee or the holders to declare the principal, premium, if any, and interest, if any, with respect to such securities to be due and payable; </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 xml:space="preserve">additions to or changes in or deletions of the provisions relating to covenant defeasance and legal defeasance; </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 xml:space="preserve">additions to or changes in the provisions relating to satisfaction and discharge of the indenture;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additions to or changes in the provisions relating to the modification of the indenture both with and without the consent of holders of debt securities issued under the indenture;</w:t>
      </w:r>
      <w:r>
        <w:br w:type="page"/>
      </w:r>
    </w:p>
    <w:p>
      <w:pPr>
        <w:pStyle w:val="TextBody"/>
        <w:spacing w:before="0" w:after="200"/>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1" name="Frame4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currency of payment of debt securities if other than U.S. dollars and the manner of determining the equivalent amount in U.S. dollars;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whether interest will be payable in cash or additional debt securities at our or the holders’ option and the terms and conditions upon which the election may be made;</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the terms and conditions, if any, upon which we will pay amounts in addition to the stated interest, premium, if any and principal amounts of the debt securities of the series to any holder that is not a “United States person” for federal tax purposes; </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any restrictions on transfer, sale or assignment of the debt securities of the series; and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any other specific terms, preferences, rights or limitations of, or restrictions on, the debt securities, any other additions or changes in the provisions of the indenture, and any terms that may be required by us or advisable under applicable laws or regulations.</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Conversion or Exchange Rights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will set forth in the applicable prospectus supplement the terms on which a series of debt securities may be convertible into or exchangeable for our common stock or our other securities. We will include provisions as to settlement upon conversion or exchange and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Consolidation, Merger or Sale</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Unless we provide otherwise in the prospectus supplement applicable to a particular series of debt securities, the indenture will not contain any covenant that restricts our ability to merge or consolidate, or sell, convey, transfer or otherwise dispose of our assets as an entirety or substantially as an entirety. However, any successor to or acquirer of such assets (other than a subsidiary of ours) must assume all of our obligations under the indenture or the debt securities, as appropriate.</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Events of Default under the Indenture</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Unless we provide otherwise in the prospectus supplement applicable to a particular series of debt securities, the following are events of default under the indenture with respect to any series of debt securities that we may issue:</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if we fail to pay any installment of interest on any series of debt securities, as and when the same shall become due and payable, and such default continues for a period of 90 days; provided, however, that a valid extension of an interest payment period by us in accordance with the terms of any indenture supplemental thereto shall not constitute a default in the payment of interest for this purpose;</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if we fail to pay the principal of, or premium, if any, on any series of debt securities as and when the same shall become due and payable whether at maturity, upon redemption, by declaration or otherwise, or in any payment required by any sinking or analogous fund established with respect to such series; provided, however, that a valid extension of the maturity of such debt securities in accordance with the terms of any indenture supplemental thereto shall not constitute a default in the payment of principal or premium, if any;</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if we fail to observe or perform any other covenant or agreement contained in the debt securities or the indenture, other than a covenant specifically relating to another series of debt securities, and our failure continues for 90 days after we receive written notice of such failure, requiring the same to be remedied and stating that such is a notice of default thereunder, from the trustee or holders of at least 25% in aggregate principal amount of the outstanding debt securities of the applicable series;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if specified events of bankruptcy, insolvency or reorganization occur.</w:t>
      </w:r>
      <w:r>
        <w:br w:type="page"/>
      </w:r>
    </w:p>
    <w:p>
      <w:pPr>
        <w:pStyle w:val="TextBody"/>
        <w:spacing w:before="0" w:after="200"/>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2" name="Frame5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trustee or any holder.</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Subject to the terms of the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direction so given by the holder is not in conflict with any law or the applicable indenture; and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subject to its duties under the Trust Indenture Act, the trustee need not take any action that might involve it in personal liability or might be unduly prejudicial to the holders not involved in the proceeding.</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holder of the debt securities of any series will have the right to institute a proceeding under the indenture or to appoint a receiver or trustee, or to seek other remedies only if:</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holder has given written notice to the trustee of a continuing event of default with respect to that series;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the holders of at least 25% in aggregate principal amount of the outstanding debt securities of that series have made written request,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such holders have offered to the trustee indemnity satisfactory to it against the costs, expenses and liabilities to be incurred by the trustee in compliance with the request; and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trustee does not institute the proceeding, and does not receive from the holders of a majority in aggregate principal amount of the outstanding debt securities of that series other conflicting directions within 90 days after the notice, request and offer.</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These limitations do not apply to a suit instituted by a holder of debt securities if we default in the payment of the principal, premium, if any, or interest on, the debt securities.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will periodically file statements with the trustee regarding our compliance with specified covenants in the indenture.</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Modification of Indenture; Waiver</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and the trustee may change an indenture without the consent of any holders with respect to specific matters: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to cure any ambiguity, defect or inconsistency in the indenture or in the debt securities of any series;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to comply with the provisions described above under “Description of Debt Securities-Consolidation, Merger or Sale;”</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to provide for uncertificated debt securities in addition to or in place of certificated debt securities;</w:t>
      </w:r>
      <w:r>
        <w:br w:type="page"/>
      </w:r>
    </w:p>
    <w:p>
      <w:pPr>
        <w:pStyle w:val="TextBody"/>
        <w:spacing w:before="0" w:after="200"/>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3" name="Frame5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to add to our covenants, restrictions, conditions or provisions such new covenants, restrictions, conditions or provisions for the benefit of the holders of all or any series of debt securities, to make the occurrence, or the occurrence and the continuance, of a default in any such additional covenants, restrictions, conditions or provisions an event of default or to surrender any right or power conferred upon us in the indenture;</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to add to, delete from or revise the conditions, limitations, and restrictions on the authorized amount, terms, or purposes of issue, authentication and delivery of debt securities, as set forth in the indenture;</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to make any change that does not adversely affect the interests of any holder of debt securities of any series in any material respect;</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to provide for the issuance of and establish the form and terms and conditions of the debt securities of any series as provided above under “Description of Debt Securities-General” to establish the form of any certifications required to be furnished pursuant to the terms of the indenture or any series of debt securities, or to add to the rights of the holders of any series of debt securities;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to evidence and provide for the acceptance of appointment under any indenture by a successor trustee; or</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to comply with any requirements of the SEC in connection with the qualification of any indenture under the Trust Indenture Act.</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make the following changes only with the consent of each holder of any outstanding debt securities affected: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extending the fixed maturity of any debt securities of any series;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reducing the principal amount, reducing the rate of or extending the time of payment of interest, or reducing any premium payable upon the redemption of any series of any debt securities; or</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reducing the percentage of debt securities, the holders of which are required to consent to any amendment, supplement, modification or waiver.</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Discharge</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Each indenture provides that we can elect to be discharged from our obligations with respect to one or more series of debt securities, except for specified obligations, including obligations to:</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provide for payment;</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register the transfer or exchange of debt securities of the series;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replace stolen, lost or mutilated debt securities of the series;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pay principal of and premium and interest on any debt securities of the series;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maintain paying agencies;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hold monies for payment in trust;</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recover excess money held by the trustee;</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compensate and indemnify the trustee;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appoint any successor trustee.</w:t>
      </w:r>
      <w:r>
        <w:br w:type="page"/>
      </w:r>
    </w:p>
    <w:p>
      <w:pPr>
        <w:pStyle w:val="TextBody"/>
        <w:spacing w:before="0" w:after="200"/>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4" name="Frame5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order to exercise our rights to be discharged, we must deposit with the trustee money or government obligations sufficient to pay all the principal of, any premium, if any, and interest on, the debt securities of the series on the dates payments are due.</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Form, Exchange and Transfer</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will issue the debt securities of each series only in fully registered form without coupons and, unless we provide otherwise in the applicable prospectus supplement, in denominations of $1,000 and any integral multiple thereof. The indenture provides that we may issue debt securities of a series in temporary or permanent global form and as book-entry securities that will be deposited with, or on behalf of, The Depository Trust Company, or DTC, or another depositary named by us and identified in the applicable prospectus supplement with respect to that series. To the extent the debt securities of a series are issued in global form and as book-entry, a description of terms relating to any book entry securities will be set forth in the applicable prospectus supplement.</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the option of the holder, subject to the terms of the indenture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Subject to the terms of the indenture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we elect to redeem the debt securities of any series, we will not be required to:</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register the transfer of or exchange any debt securities so selected for redemption, in whole or in part, except the unredeemed portion of any debt securities we are redeeming in part.</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Information Concerning the Trustee</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Subject to this provision, the trustee is under no obligation to exercise any of the powers given it by the indenture at the request of any holder of debt securities unless it is offered reasonable security and indemnity against the costs, expenses and liabilities that it might incur.</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Payment and Paying Agents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r>
        <w:br w:type="page"/>
      </w:r>
    </w:p>
    <w:p>
      <w:pPr>
        <w:pStyle w:val="TextBody"/>
        <w:spacing w:before="0" w:after="200"/>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5" name="Frame5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Governing Law</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indenture and the debt securities will be governed by and construed in accordance with the internal laws of the State of New York, except to the extent that the Trust Indenture Act of 1939 is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200"/>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6" name="Frame5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DESCRIPTION OF WARRANTS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description, together with the additional information we may include in any applicable prospectus supplements and in any related free writing prospectuses that we may authorize to be distributed to you, summarizes the material terms and provisions of the warrants that we may offer under this prospectus, which may consist of warrants to purchase common stock, preferred stock or debt securities and be issued in one or more series. Warrants may be offered independently or in combination with common stock, preferred stock or debt securities offered by any prospectus supplement. While the terms we have summarized below will apply generally to any warrants that we may offer under this prospectus, we will describe the particular terms of any series of warrants in more detail in the applicable prospectus supplement. The following description of warrants will apply to the warrants offered by this prospectus unless we provide otherwise in the applicable prospectus supplement. The applicable prospectus supplement for a particular series of warrants may specify different or additional terms.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filed forms of the warrant agreements and forms of warrant certificates containing the terms of the warrants that may be offered as exhibits to the registration statement of which this prospectus is a part. We will file as exhibits to the registration statement of which this prospectus is a part, or will incorporate by reference from reports that we file with the SEC, the form of warrant and/or the warrant agreement and warrant certificate, as applicable, that describe the terms of the particular series of warrants we are offering, and any supplemental agreements, before the issuance of such warrants. The following summaries of material terms and provisions of the warrants are subject to, and qualified in their entirety by reference to, all the provisions of the form of warrant and/or the warrant agreement and warrant certificate, as applicable, and any supplemental agreements applicable to a particular series of warrants that we may offer under this prospectus. We urge you to read the applicable prospectus supplement related to the particular series of warrants that we may offer under this prospectus, as well as any related free writing prospectuses, and the complete form of warrant and/or the warrant agreement and warrant certificate, as applicable, and any supplemental agreements, that contain the terms of the warrants.</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General</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will describe in the applicable prospectus supplement the terms of the series of warrants being offered, including:</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offering price and aggregate number of warrants offered;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currency for which the warrants may be purchased;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if applicable, the designation and terms of the securities with which the warrants are issued and the number of warrants issued with each such security or each principal amount of such security;</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in the case of warrants to purchase debt securities, the principal amount of debt securities purchasable upon exercise of one warrant and the price at, and currency in which, this principal amount of debt securities may be purchased upon such exercise;</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in the case of warrants to purchase common stock or preferred stock, the number of shares of common stock or preferred stock, as the case may be, purchasable upon the exercise of one warrant and the price at which these shares may be purchased upon such exercise;</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effect of any merger, consolidation, sale or other disposition of our business on the warrant agreements and the warrants;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terms of any rights to redeem or call the warrants;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any provisions for changes to or adjustments in the exercise price or number of securities issuable upon exercise of the warrants;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dates on which the right to exercise the warrants will commence and expire;</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manner in which the warrant agreements and warrants may be modified;</w:t>
      </w:r>
      <w:r>
        <w:br w:type="page"/>
      </w:r>
    </w:p>
    <w:p>
      <w:pPr>
        <w:pStyle w:val="TextBody"/>
        <w:spacing w:before="0" w:after="200"/>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7" name="Frame5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 discussion of any material or special U.S. federal income tax considerations of holding or exercising the warrants;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terms of the securities issuable upon exercise of the warrants;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any other specific terms, preferences, rights or limitations of or restrictions on the warrants.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Before exercising their warrants, holders of warrants will not have any of the rights of holders of the securities purchasable upon such exercise, including:</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in the case of warrants to purchase debt securities, the right to receive payments of principal of, or premium, if any, or interest on, the debt securities purchasable upon exercise or to enforce covenants in the applicable indenture; or</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in the case of warrants to purchase common stock or preferred stock, the right to receive dividends, if any, or, payments upon our liquidation, dissolution or winding up or to exercise voting rights, if any.</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Exercise of Warrants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Each warrant will entitle the holder to purchase the securities that we specify in the applicable prospectus supplement at the exercise price that we describe in the applicable prospectus supplement. The warrants may be exercised as set forth in the prospectus supplement relating to the warrants offered. Unless we otherwise specify in the applicable prospectus supplement, warrants may be exercised at any time up to the close of business on the expiration date set forth in the prospectus supplement relating to the warrants offered thereby. After the close of business on the expiration date, unexercised warrants will become void.</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Upon receipt of payment and the warrant or warrant certificate, as applicable, properly completed and duly executed at the corporate trust office of the warrant agent, if any, or any other office, including ours, indicated in the prospectus supplement, we will, as soon as practicable, issue and deliver the securities purchasable upon such exercise. If less than all of the warrants (or the warrants represented by such warrant certificate) are exercised, a new warrant or a new warrant certificate, as applicable, will be issued for the remaining warrants.</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Governing Law</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Unless we otherwise specify in the applicable prospectus supplement, the warrants and any warrant agreements will be governed by and construed in accordance with the laws of the State of New York.</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Enforceability of Rights by Holders of Warrants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Each warrant agent, if any,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200"/>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8" name="Frame5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LEGAL OWNERSHIP OF SECURITIES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can issue securities in registered form or in the form of one or more global securities. We describe global securities in greater detail below. We refer to those persons who have securities registered in their own names on the books that we or any applicable trustee, depositary or warrant agent maintain for this purpose as the “holders” of those securities. These persons are the legal holders of the securities. We refer to those persons who, indirectly through others, own beneficial interests in securities that are not registered in their own names, as “indirect holders” of those securities. As we discuss below, indirect holders are not legal holders, and investors in securities issued in book-entry form or in street name will be indirect holders.</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Book-Entry Holders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may issue securities in book-entry form only, as we will specify in the applicable prospectus supplement. This means securities may be represented by one or more global securities registered in the name of a financial institution that holds them as depositary on behalf of other financial institutions that participate in the depositary’s book-entry system. These participating institutions, which are referred to as participants, in turn, hold beneficial interests in the securities on behalf of themselves or their customers.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Only the person in whose name a security is registered is recognized as the holder of that security. Securities issued in global form will be registered in the name of the depositary or its participants. Consequently, for securities issued in global form, we will recognize only the depositary as the holder of the securities, and we will make all payments on the securities to the depositary. The depositary passes along the payments it receives to its participants, which in turn pass the payments along to their customers who are the beneficial owners. The depositary and its participants do so under agreements they have made with one another or with their customers; they are not obligated to do so under the terms of the securities.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investors in a book-entry security will not own securities directly. Instead, they will own beneficial interests in a global security, through a bank, broker or other financial institution that participates in the depositary’s book-entry system or holds an interest through a participant. As long as the securities are issued in global form, investors will be indirect holders, and not holders, of the securities.</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Street Name Holders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may terminate a global security or issue securities in non-global form. In these cases, investors may choose to hold their securities in their own names or in “street name.” Securities held by an investor in street name would be registered in the name of a bank, broker or other financial institution that the investor chooses, and the investor would hold only a beneficial interest in those securities through an account he or she maintains at that institution.</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securities held in street name, we will recognize only the intermediary banks, brokers and other financial institutions in whose names the securities are registered as the holders of those securities, and we will make all payments on those securities to them. These institutions pass along the payments they receive to their customers who are the beneficial owners, but only because they agree to do so in their customer agreements or because they are legally required to do so. Investors who hold securities in street name will be indirect holders, not holders, of those securities.</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Legal Holders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obligations, as well as the obligations of any applicable trustee and of any third parties employed by us or a trustee, run only to the legal holders of the securities. We do not have obligations to investors who hold beneficial interests in global securities, in street name or by any other indirect means. This will be the case whether an investor chooses to be an indirect holder of a security or has no choice because we are issuing the securities only in global form.</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we may want to obtain the approval of the </w:t>
      </w:r>
      <w:r>
        <w:br w:type="page"/>
      </w:r>
    </w:p>
    <w:p>
      <w:pPr>
        <w:pStyle w:val="TextBody"/>
        <w:spacing w:before="0" w:after="200"/>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9" name="Frame5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holders to amend an indenture, to relieve us of the consequences of a default or of our obligation to comply with a particular provision of the indenture or for other purposes. In such an event, we would seek approval only from the holders, and not the indirect holders, of the securities. Whether and how the holders contact the indirect holders is up to the holders.</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Special Considerations For Indirect Holders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you hold securities through a bank, broker or other financial institution, either in book-entry form or in street name, you should check with your own institution to find out:</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how it handles securities payments and notices;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whether it imposes fees or charges;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how it would handle a request for the holders’ consent, if ever required;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whether and how you can instruct it to send you securities registered in your own name so you can be a holder, if that is permitted in the future;</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how it would exercise rights under the securities if there were a default or other event triggering the need for holders to act to protect their interests;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if the securities are in book-entry form, how the depositary’s rules and procedures will affect these matters.</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Global Securities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global security is a security that represents one or any other number of individual securities held by a depositary. Generally, all securities represented by the same global securities will have the same terms.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Each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DTC will be the depositary for all securities issued in book-entry form.</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global security may not be transferred to or registered in the name of anyone other than the depositary, its nominee or a successor depositary, unless special termination situations arise. We describe those situations below under the section entitled “Special Situations When a Global Security Will Be Terminated” in this prospectus. As a result of these arrangements, the depositary, or its nominee, will be the sole registered owner and holder of all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does. Thus, an investor whose security is represented by a global security will not be a holder of the security, but only an indirect holder of a beneficial interest in the global security.</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the prospectus supplement for a particular security indicates that the security will be issued in global form only, then the security will be represented by a global security at all times unless and until the global security is terminated. If termination occurs, we may issue the securities through another book-entry clearing system or decide that the securities may no longer be held through any book-entry clearing system.</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Special Considerations For Global Securities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rights of an indirect holder relating to a global security will be governed by the account rules of the investor’s financial institution and of the depositary, as well as general laws relating to securities transfers. We do not recognize an indirect holder as a holder of securities and instead deal only with the depositary that holds the global security.</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securities are issued only in the form of a global security, an investor should be aware of the following:</w:t>
      </w:r>
      <w:r>
        <w:br w:type="page"/>
      </w:r>
    </w:p>
    <w:p>
      <w:pPr>
        <w:pStyle w:val="TextBody"/>
        <w:spacing w:before="0" w:after="200"/>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0" name="Frame5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an investor cannot cause the securities to be registered in his or her name, and cannot obtain non-global certificates for his or her interest in the securities, except in the special situations we describe below;</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an investor will be an indirect holder and must look to his or her own bank or broker for payments on the securities and protection of his or her legal rights relating to the securities, as we describe above;</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an investor may not be able to sell interests in the securities to some insurance companies and to other institutions that are required by law to own their securities in non-book-entry form;</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an investor may not be able to pledge his or her interest in a global security in circumstances where certificates representing the securities must be delivered to the lender or other beneficiary of the pledge in order for the pledge to be effective;</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depositary’s policies, which may change from time to time, will govern payments, transfers, exchanges and other matters relating to an investor’s interest in a global security;</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we and any applicable trustee have no responsibility for any aspect of the depositary’s actions or for its records of ownership interests in a global security, nor do we or any applicable trustee supervise the depositary in any way;</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depositary may, and we understand that DTC will, require that those who purchase and sell interests in a global security within its book-entry system use immediately available funds, and your broker or bank may require you to do so as well; and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financial institutions that participate in the depositary’s book-entry system, and through which an investor holds its interest in a global security, may also have their own policies affecting payments, notices and other matters relating to the securities.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may be more than one financial intermediary in the chain of ownership for an investor. We do not monitor and are not responsible for the actions of any of those intermediaries.</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Special Situations When a Global Security Will Be Terminated</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 few special situations described below, the global security will terminate and interests in it will be exchanged for physical certificates representing those interests. After that exchange, the choice of whether to hold securities directly or in street name will be up to the investor. Investors must consult their own banks or brokers to find out how to have their interests in securities transferred to their own name, so that they will be direct holders. We have described the rights of holders and street name investors above.</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Unless we provide otherwise in the applicable prospectus supplement, the global security will terminate when the following special situations occur:</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if the depositary notifies us that it is unwilling, unable or no longer qualified to continue as depositary for that global security and we do not appoint another institution to act as depositary within 90 days;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if we notify any applicable trustee that we wish to terminate that global security; or</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if an event of default has occurred with regard to securities represented by that global security and has not been cured or waived.</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applicable prospectus supplement may also list additional situations for terminating a global security that would apply only to the particular series of securities covered by the applicable prospectus supplement. When a global security terminates, the depositary, and not we or any applicable trustee, is responsible for deciding the names of the institutions that will be the initial direct holders.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200"/>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1" name="Frame5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SELLING SECURITYHOLDERS</w:t>
      </w:r>
    </w:p>
    <w:p>
      <w:pPr>
        <w:pStyle w:val="TextBody"/>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Selling securityholders are persons or entities that, directly or indirectly, have acquired or will acquire from time to time, our securities. If the registration statement of which this prospectus forms a part is used by selling securityholders for the resale of any securities, information about such selling securityholders, their beneficial ownership of our securities and their relationship with us will be set forth in a prospectus supplement.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PLAN OF DISTRIBUTION</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or the selling securityholders may sell the securities from time to time pursuant to underwritten public offerings, direct sales to the public, negotiated transactions, block trades or a combination of these methods. We or the selling securityholders may sell the securities to or through underwriters or dealers, through agents, or directly to one or more purchasers. We or the selling securityholders may distribute securities from time to time in one or more transactions: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at a fixed price or prices, which may be changed;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at market prices prevailing at the time of sale;</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at prices related to such prevailing market prices; or</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at negotiated prices.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prospectus supplement or supplements (and any related free writing prospectus that we may authorize to be provided to you) will describe the terms of the offering of the securities, including, to the extent applicable:</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name or names of the underwriters, if any;</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purchase price of the securities or other consideration therefor, and the proceeds, if any, we will receive from the sale;</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any over-allotment options under which underwriters may purchase additional securities from us;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any agency fees or underwriting discounts and other items constituting agents’ or underwriters’ compensation;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any public offering price;</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any discounts or concessions allowed or reallowed or paid to dealers;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any securities exchange or market on which the securities may be listed.</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Only underwriters named in the prospectus supplement will be underwriters of the securities offered by the prospectus supplement.</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or the selling securityholders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other than securities covered by any over-allotment option. Any public offering price and any discounts or concessions allowed or reallowed or paid to dealers may change from time to time. We or the selling securityholders may use underwriters with whom we have a material relationship. We will describe in the prospectus supplement, naming the underwriter, the nature of any such relationship.</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or the selling securityholders may sell securities directly or through agents we designate from time to time. We will name any agent involved in the offering and sale of securities and we will describe any commissions we or </w:t>
      </w:r>
      <w:r>
        <w:br w:type="page"/>
      </w:r>
    </w:p>
    <w:p>
      <w:pPr>
        <w:pStyle w:val="TextBody"/>
        <w:spacing w:before="0" w:after="200"/>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2" name="Frame6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selling securityholders will pay the agent in the prospectus supplement. Unless the prospectus supplement states otherwise, our or the selling securityholders’ agent will act on a best-efforts basis for the period of its appointment.</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or the selling securityholders may authorize agents or underwriters to solicit offers by certain types of institutional investors to purchase securities from us or the selling securityholders at the public offering price set forth in the prospectus supplement pursuant to delayed delivery contracts providing for payment and delivery on a specified date in the future. We will describe the conditions to these contracts and the commissions we or the selling securityholders must pay for solicitation of these contracts in the prospectus supplement</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or the selling securityholders may provide agents and underwriters with indemnification against civil liabilities, including liabilities under the Securities Act, or contribution with respect to payments that the agents or underwriters may make with respect to these liabilities. Agents and underwriters may engage in transactions with, or perform services for, us or the selling securityholders in the ordinary course of business.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Securities we or the selling securityholders may offer, other than common stock, may be new issues and may have no established trading market. Any underwriters may make a market in these securities, but will not be obligated to do so and may discontinue any market making at any time without notice. We cannot guarantee the liquidity of the trading markets for any securities.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Any underwriter may engage in over-allotment, stabilizing transactions, short-covering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over-allotment option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Any underwriters or agents that are qualified market makers on the Nasdaq Global Market may engage in passive market making transactions in the common stock on the Nasdaq Global Market in accordance with Regulation M under the Exchange Act, during the business day prior to the pricing of the offering, before the commencement of offers or sales of the common stock.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compliance with guidelines of the Financial Industry Regulatory Authority, or FINRA, the maximum consideration or discount to be received by any FINRA member or independent broker dealer may not exceed 8% of the aggregate amount of the securities offered pursuant to this prospectus and any applicable prospectus supplement.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LEGAL MATTERS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Cooley LLP will pass upon the validity of the securities offered by this prospectus, and any supplement thereto, unless otherwise indicated in the applicable prospectus supplement. Additional legal matters may be passed upon for us or any underwriters, dealers or agents, by counsel that we will name in the applicable prospectus supplement.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EXPERTS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financial statements incorporated in this Prospectus by reference to the Annual Report on Form 10-K for the year ended December 31, 2022, have been so incorporated in reliance on the report of PricewaterhouseCoopers LLP, an independent registered public accounting firm, given on the authority of said firm as experts in auditing and accounting.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200"/>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3" name="Frame6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WHERE YOU CAN FIND ADDITIONAL INFORMATION</w:t>
      </w:r>
    </w:p>
    <w:p>
      <w:pPr>
        <w:pStyle w:val="TextBody"/>
        <w:spacing w:lineRule="auto" w:line="288" w:before="0" w:after="180"/>
        <w:ind w:left="0" w:right="0" w:firstLine="360"/>
        <w:jc w:val="both"/>
        <w:rPr/>
      </w:pPr>
      <w:r>
        <w:rPr>
          <w:rFonts w:ascii="Times New Roman;sans-serif" w:hAnsi="Times New Roman;sans-serif"/>
          <w:b w:val="false"/>
          <w:color w:val="000000"/>
          <w:sz w:val="20"/>
        </w:rPr>
        <w:t xml:space="preserve">This prospectus is part of the registration statement on Form S-3 we filed with the SEC under the Securities Act and does not contain all the information set forth in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for a copy of such contract, agreement or other document. Because we are subject to the information and reporting requirements of the Exchange Act, we file annual, quarterly and current reports, proxy statements and other information with the SEC. Our SEC filings are available to the public over the Internet at the SEC’s website at </w:t>
      </w:r>
      <w:r>
        <w:rPr>
          <w:rFonts w:ascii="Times New Roman;sans-serif" w:hAnsi="Times New Roman;sans-serif"/>
          <w:b w:val="false"/>
          <w:color w:val="0000FF"/>
          <w:sz w:val="20"/>
          <w:u w:val="single"/>
        </w:rPr>
        <w:t>www.sec.gov</w:t>
      </w:r>
      <w:r>
        <w:rPr>
          <w:rFonts w:ascii="Times New Roman;sans-serif" w:hAnsi="Times New Roman;sans-serif"/>
          <w:b w:val="false"/>
          <w:color w:val="000000"/>
          <w:sz w:val="20"/>
        </w:rPr>
        <w: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200"/>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4" name="Frame6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INCORPORATION OF CERTAIN INFORMATION BY REFERENCE</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 while information that we file later with the SEC will automatically update and supersede the information in this prospectus. We incorporate by reference into this prospectus and the registration statement of which this prospectus is a part the information or documents listed below that we have filed with the SEC (Commission File No. 001-38701)):</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our </w:t>
      </w:r>
      <w:hyperlink r:id="rId11">
        <w:r>
          <w:rPr>
            <w:rStyle w:val="InternetLink"/>
            <w:rFonts w:ascii="Times New Roman;sans-serif" w:hAnsi="Times New Roman;sans-serif"/>
            <w:b w:val="false"/>
            <w:color w:val="0000FF"/>
            <w:sz w:val="20"/>
            <w:u w:val="single"/>
          </w:rPr>
          <w:t>Annual Report on Form 10-K, for the year ended December 31, 2022</w:t>
        </w:r>
      </w:hyperlink>
      <w:r>
        <w:rPr>
          <w:rFonts w:ascii="Times New Roman;sans-serif" w:hAnsi="Times New Roman;sans-serif"/>
          <w:b w:val="false"/>
          <w:color w:val="000000"/>
          <w:sz w:val="20"/>
        </w:rPr>
        <w:t xml:space="preserve">, filed with the SEC on March 2, 2023;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our </w:t>
      </w:r>
      <w:hyperlink r:id="rId12">
        <w:r>
          <w:rPr>
            <w:rStyle w:val="InternetLink"/>
            <w:rFonts w:ascii="Times New Roman;sans-serif" w:hAnsi="Times New Roman;sans-serif"/>
            <w:b w:val="false"/>
            <w:color w:val="0000FF"/>
            <w:sz w:val="20"/>
            <w:u w:val="single"/>
          </w:rPr>
          <w:t>Quarterly Report on Form 10-Q</w:t>
        </w:r>
      </w:hyperlink>
      <w:r>
        <w:rPr>
          <w:color w:val="000000"/>
        </w:rPr>
        <w:t xml:space="preserve"> </w:t>
      </w:r>
      <w:r>
        <w:rPr>
          <w:rFonts w:ascii="Times New Roman;sans-serif" w:hAnsi="Times New Roman;sans-serif"/>
          <w:b w:val="false"/>
          <w:color w:val="000000"/>
          <w:sz w:val="20"/>
        </w:rPr>
        <w:t>filed with the SEC on May 2, 2023;</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our Current Report on Form 8-K filed with the SEC on </w:t>
      </w:r>
      <w:hyperlink r:id="rId13">
        <w:r>
          <w:rPr>
            <w:rStyle w:val="InternetLink"/>
            <w:rFonts w:ascii="Times New Roman;sans-serif" w:hAnsi="Times New Roman;sans-serif"/>
            <w:b w:val="false"/>
            <w:color w:val="0000FF"/>
            <w:sz w:val="20"/>
            <w:u w:val="single"/>
          </w:rPr>
          <w:t>January 9, 2023</w:t>
        </w:r>
      </w:hyperlink>
      <w:r>
        <w:rPr>
          <w:color w:val="000000"/>
        </w:rPr>
        <w:t xml:space="preserve"> </w:t>
      </w:r>
      <w:r>
        <w:rPr>
          <w:rFonts w:ascii="Times New Roman;sans-serif" w:hAnsi="Times New Roman;sans-serif"/>
          <w:b w:val="false"/>
          <w:color w:val="000000"/>
          <w:sz w:val="20"/>
        </w:rPr>
        <w:t>(other than Item 2.02, Item 7.01 and related exhibits);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 xml:space="preserve">Our </w:t>
      </w:r>
      <w:hyperlink r:id="rId14">
        <w:r>
          <w:rPr>
            <w:rStyle w:val="InternetLink"/>
            <w:rFonts w:ascii="Times New Roman;sans-serif" w:hAnsi="Times New Roman;sans-serif"/>
            <w:b w:val="false"/>
            <w:color w:val="0000FF"/>
            <w:sz w:val="20"/>
            <w:u w:val="single"/>
          </w:rPr>
          <w:t>Definitive Proxy Statement on Schedule 14A</w:t>
        </w:r>
      </w:hyperlink>
      <w:r>
        <w:rPr>
          <w:rFonts w:ascii="Times New Roman;sans-serif" w:hAnsi="Times New Roman;sans-serif"/>
          <w:b w:val="false"/>
          <w:color w:val="000000"/>
          <w:sz w:val="20"/>
        </w:rPr>
        <w:t>, filed with the SEC on April 21, 2023 (but only with respect to information required by Part III of our Annual Report on Form 10-K for the year ended December 31, 2022); and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the description of our common stock set forth in our registration statement on </w:t>
      </w:r>
      <w:hyperlink r:id="rId15">
        <w:r>
          <w:rPr>
            <w:rStyle w:val="InternetLink"/>
            <w:rFonts w:ascii="Times New Roman;sans-serif" w:hAnsi="Times New Roman;sans-serif"/>
            <w:b w:val="false"/>
            <w:color w:val="0000FF"/>
            <w:sz w:val="20"/>
            <w:u w:val="single"/>
          </w:rPr>
          <w:t>Form 8-A, filed with the SEC on October 11, 2018</w:t>
        </w:r>
      </w:hyperlink>
      <w:r>
        <w:rPr>
          <w:rFonts w:ascii="Times New Roman;sans-serif" w:hAnsi="Times New Roman;sans-serif"/>
          <w:b w:val="false"/>
          <w:color w:val="000000"/>
          <w:sz w:val="20"/>
        </w:rPr>
        <w:t xml:space="preserve">, including any amendment or report filed for the purpose of updating such description, including </w:t>
      </w:r>
      <w:hyperlink r:id="rId16">
        <w:r>
          <w:rPr>
            <w:rStyle w:val="InternetLink"/>
            <w:rFonts w:ascii="Times New Roman;sans-serif" w:hAnsi="Times New Roman;sans-serif"/>
            <w:b w:val="false"/>
            <w:color w:val="0000FF"/>
            <w:sz w:val="20"/>
            <w:u w:val="single"/>
          </w:rPr>
          <w:t>Exhibit 4.3</w:t>
        </w:r>
      </w:hyperlink>
      <w:r>
        <w:rPr>
          <w:color w:val="000000"/>
        </w:rPr>
        <w:t xml:space="preserve"> </w:t>
      </w:r>
      <w:r>
        <w:rPr>
          <w:rFonts w:ascii="Times New Roman;sans-serif" w:hAnsi="Times New Roman;sans-serif"/>
          <w:b w:val="false"/>
          <w:color w:val="000000"/>
          <w:sz w:val="20"/>
        </w:rPr>
        <w:t>to our Quarterly Report on Form 10-Q for the quarter ended March 31, 2020 filed with the SEC on May 5, 2020.</w:t>
      </w:r>
    </w:p>
    <w:p>
      <w:pPr>
        <w:pStyle w:val="TextBody"/>
        <w:spacing w:lineRule="auto" w:line="288" w:before="0" w:after="180"/>
        <w:ind w:left="0" w:right="0" w:firstLine="450"/>
        <w:jc w:val="both"/>
        <w:rPr/>
      </w:pPr>
      <w:r>
        <w:rPr>
          <w:color w:val="000000"/>
        </w:rPr>
        <w:t> </w:t>
      </w:r>
      <w:r>
        <w:rPr>
          <w:rFonts w:ascii="Times New Roman;sans-serif" w:hAnsi="Times New Roman;sans-serif"/>
          <w:b w:val="false"/>
          <w:color w:val="000000"/>
          <w:sz w:val="20"/>
        </w:rPr>
        <w:t>We also incorporate by reference any future filings (other than current reports furnished under Item 2.02 or Item 7.01 of Form 8-K and exhibits filed on such form that are related to such items unless such Form 8-K expressly provides to the contrary) made with the SEC pursuant to Sections 13(a), 13(c), 14 or 15(d) of the Exchange Act, until we file a post-effective amendment that indicates the termination of the offering of the securities made by this prospectus, which will become a part of this prospectus from the date that such documents are filed with the SEC. Information in such future filings updates and supplements the information provided in this prospectus. Any statements in any such future filings will automatically be deemed to modify and supersede any information in any document we previously filed with the SEC that is incorporated or deemed to be incorporated herein by reference to the extent that statements in the later-filed document modify or replace such earlier statements. We will furnish without charge to each person, including any beneficial owner, to whom a prospectus is delivered, upon written or oral request, a copy of any or all of the documents incorporated by reference into this prospectus but not delivered with the prospectus, including exhibits that are specifically incorporated by reference into such documents. You should direct any requests for documents to:</w:t>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SI-BONE, Inc.</w:t>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471 El Camino Real, Suite 101</w:t>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Santa Clara, California 95050</w:t>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Attn: Corporate Secretary</w:t>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(408) 207</w:t>
        <w:noBreakHyphen/>
        <w:t>0700</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200"/>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5" name="Frame6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jc w:val="center"/>
        <w:rPr/>
      </w:pPr>
      <w:r>
        <w:rPr/>
      </w:r>
    </w:p>
    <w:p>
      <w:pPr>
        <w:pStyle w:val="TextBody"/>
        <w:spacing w:before="0" w:after="0"/>
        <w:jc w:val="center"/>
        <w:rPr/>
      </w:pPr>
      <w:r>
        <w:rPr/>
      </w:r>
    </w:p>
    <w:p>
      <w:pPr>
        <w:pStyle w:val="TextBody"/>
        <w:spacing w:lineRule="auto" w:line="417" w:before="0" w:after="0"/>
        <w:jc w:val="center"/>
        <w:rPr>
          <w:rFonts w:ascii="Times New Roman;sans-serif" w:hAnsi="Times New Roman;sans-serif"/>
          <w:b/>
          <w:color w:val="000000"/>
          <w:sz w:val="28"/>
        </w:rPr>
      </w:pPr>
      <w:r>
        <w:rPr>
          <w:rFonts w:ascii="Times New Roman;sans-serif" w:hAnsi="Times New Roman;sans-serif"/>
          <w:b/>
          <w:color w:val="000000"/>
          <w:sz w:val="28"/>
        </w:rPr>
        <w:t>3,775,000 Shares</w:t>
      </w:r>
    </w:p>
    <w:p>
      <w:pPr>
        <w:pStyle w:val="TextBody"/>
        <w:spacing w:before="0" w:after="0"/>
        <w:jc w:val="center"/>
        <w:rPr/>
      </w:pPr>
      <w:r>
        <w:rPr/>
      </w:r>
    </w:p>
    <w:p>
      <w:pPr>
        <w:pStyle w:val="TextBody"/>
        <w:spacing w:before="0" w:after="0"/>
        <w:jc w:val="center"/>
        <w:rPr/>
      </w:pPr>
      <w:r>
        <w:rPr/>
        <w:drawing>
          <wp:inline distT="0" distB="63500" distL="0" distR="0">
            <wp:extent cx="2381250" cy="1362075"/>
            <wp:effectExtent l="0" t="0" r="0" b="0"/>
            <wp:docPr id="6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3" descr=""/>
                    <pic:cNvPicPr>
                      <a:picLocks noChangeAspect="1" noChangeArrowheads="1"/>
                    </pic:cNvPicPr>
                  </pic:nvPicPr>
                  <pic:blipFill>
                    <a:blip r:embed="rId17"/>
                    <a:stretch>
                      <a:fillRect/>
                    </a:stretch>
                  </pic:blipFill>
                  <pic:spPr bwMode="auto">
                    <a:xfrm>
                      <a:off x="0" y="0"/>
                      <a:ext cx="2381250" cy="1362075"/>
                    </a:xfrm>
                    <a:prstGeom prst="rect">
                      <a:avLst/>
                    </a:prstGeom>
                  </pic:spPr>
                </pic:pic>
              </a:graphicData>
            </a:graphic>
          </wp:inline>
        </w:drawing>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0" w:after="240"/>
        <w:jc w:val="center"/>
        <w:rPr>
          <w:rFonts w:ascii="Times New Roman;sans-serif" w:hAnsi="Times New Roman;sans-serif"/>
          <w:b/>
          <w:color w:val="000000"/>
          <w:sz w:val="28"/>
        </w:rPr>
      </w:pPr>
      <w:r>
        <w:rPr>
          <w:rFonts w:ascii="Times New Roman;sans-serif" w:hAnsi="Times New Roman;sans-serif"/>
          <w:b/>
          <w:color w:val="000000"/>
          <w:sz w:val="28"/>
        </w:rPr>
        <w:t>Common Stock</w:t>
      </w:r>
    </w:p>
    <w:p>
      <w:pPr>
        <w:pStyle w:val="TextBody"/>
        <w:spacing w:before="0" w:after="240"/>
        <w:jc w:val="center"/>
        <w:rPr/>
      </w:pPr>
      <w:r>
        <w:rPr/>
      </w:r>
    </w:p>
    <w:p>
      <w:pPr>
        <w:pStyle w:val="TextBody"/>
        <w:spacing w:lineRule="auto" w:line="288" w:before="0" w:after="240"/>
        <w:jc w:val="center"/>
        <w:rPr>
          <w:rFonts w:ascii="Times New Roman;sans-serif" w:hAnsi="Times New Roman;sans-serif"/>
          <w:b/>
          <w:color w:val="000000"/>
          <w:sz w:val="28"/>
        </w:rPr>
      </w:pPr>
      <w:r>
        <w:rPr>
          <w:rFonts w:ascii="Times New Roman;sans-serif" w:hAnsi="Times New Roman;sans-serif"/>
          <w:b/>
          <w:color w:val="000000"/>
          <w:sz w:val="28"/>
        </w:rPr>
        <w:t>Prospectus</w:t>
      </w:r>
    </w:p>
    <w:tbl>
      <w:tblPr>
        <w:tblW w:w="6585" w:type="dxa"/>
        <w:jc w:val="center"/>
        <w:tblInd w:w="0" w:type="dxa"/>
        <w:tblCellMar>
          <w:top w:w="28" w:type="dxa"/>
          <w:left w:w="28" w:type="dxa"/>
          <w:bottom w:w="28" w:type="dxa"/>
          <w:right w:w="28" w:type="dxa"/>
        </w:tblCellMar>
      </w:tblPr>
      <w:tblGrid>
        <w:gridCol w:w="919"/>
        <w:gridCol w:w="807"/>
        <w:gridCol w:w="809"/>
        <w:gridCol w:w="859"/>
        <w:gridCol w:w="859"/>
        <w:gridCol w:w="861"/>
        <w:gridCol w:w="431"/>
        <w:gridCol w:w="431"/>
        <w:gridCol w:w="609"/>
      </w:tblGrid>
      <w:tr>
        <w:trPr/>
        <w:tc>
          <w:tcPr>
            <w:tcW w:w="919" w:type="dxa"/>
            <w:tcBorders/>
            <w:shd w:fill="auto" w:val="clear"/>
            <w:vAlign w:val="center"/>
          </w:tcPr>
          <w:p>
            <w:pPr>
              <w:pStyle w:val="TableContents"/>
              <w:spacing w:before="0" w:after="283"/>
              <w:rPr>
                <w:sz w:val="4"/>
                <w:szCs w:val="4"/>
              </w:rPr>
            </w:pPr>
            <w:r>
              <w:rPr>
                <w:sz w:val="4"/>
                <w:szCs w:val="4"/>
              </w:rPr>
            </w:r>
          </w:p>
        </w:tc>
        <w:tc>
          <w:tcPr>
            <w:tcW w:w="807" w:type="dxa"/>
            <w:tcBorders/>
            <w:shd w:fill="auto" w:val="clear"/>
            <w:vAlign w:val="center"/>
          </w:tcPr>
          <w:p>
            <w:pPr>
              <w:pStyle w:val="TableContents"/>
              <w:spacing w:before="0" w:after="283"/>
              <w:rPr>
                <w:sz w:val="4"/>
                <w:szCs w:val="4"/>
              </w:rPr>
            </w:pPr>
            <w:r>
              <w:rPr>
                <w:sz w:val="4"/>
                <w:szCs w:val="4"/>
              </w:rPr>
            </w:r>
          </w:p>
        </w:tc>
        <w:tc>
          <w:tcPr>
            <w:tcW w:w="809" w:type="dxa"/>
            <w:tcBorders/>
            <w:shd w:fill="auto" w:val="clear"/>
            <w:vAlign w:val="center"/>
          </w:tcPr>
          <w:p>
            <w:pPr>
              <w:pStyle w:val="TableContents"/>
              <w:spacing w:before="0" w:after="283"/>
              <w:rPr>
                <w:sz w:val="4"/>
                <w:szCs w:val="4"/>
              </w:rPr>
            </w:pPr>
            <w:r>
              <w:rPr>
                <w:sz w:val="4"/>
                <w:szCs w:val="4"/>
              </w:rPr>
            </w:r>
          </w:p>
        </w:tc>
        <w:tc>
          <w:tcPr>
            <w:tcW w:w="859" w:type="dxa"/>
            <w:tcBorders/>
            <w:shd w:fill="auto" w:val="clear"/>
            <w:vAlign w:val="center"/>
          </w:tcPr>
          <w:p>
            <w:pPr>
              <w:pStyle w:val="TableContents"/>
              <w:spacing w:before="0" w:after="283"/>
              <w:rPr>
                <w:sz w:val="4"/>
                <w:szCs w:val="4"/>
              </w:rPr>
            </w:pPr>
            <w:r>
              <w:rPr>
                <w:sz w:val="4"/>
                <w:szCs w:val="4"/>
              </w:rPr>
            </w:r>
          </w:p>
        </w:tc>
        <w:tc>
          <w:tcPr>
            <w:tcW w:w="859" w:type="dxa"/>
            <w:tcBorders/>
            <w:shd w:fill="auto" w:val="clear"/>
            <w:vAlign w:val="center"/>
          </w:tcPr>
          <w:p>
            <w:pPr>
              <w:pStyle w:val="TableContents"/>
              <w:spacing w:before="0" w:after="283"/>
              <w:rPr>
                <w:sz w:val="4"/>
                <w:szCs w:val="4"/>
              </w:rPr>
            </w:pPr>
            <w:r>
              <w:rPr>
                <w:sz w:val="4"/>
                <w:szCs w:val="4"/>
              </w:rPr>
            </w:r>
          </w:p>
        </w:tc>
        <w:tc>
          <w:tcPr>
            <w:tcW w:w="861"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c>
          <w:tcPr>
            <w:tcW w:w="609" w:type="dxa"/>
            <w:tcBorders/>
            <w:shd w:fill="auto" w:val="clear"/>
            <w:vAlign w:val="center"/>
          </w:tcPr>
          <w:p>
            <w:pPr>
              <w:pStyle w:val="TableContents"/>
              <w:spacing w:before="0" w:after="283"/>
              <w:rPr>
                <w:sz w:val="4"/>
                <w:szCs w:val="4"/>
              </w:rPr>
            </w:pPr>
            <w:r>
              <w:rPr>
                <w:sz w:val="4"/>
                <w:szCs w:val="4"/>
              </w:rPr>
            </w:r>
          </w:p>
        </w:tc>
      </w:tr>
      <w:tr>
        <w:trPr/>
        <w:tc>
          <w:tcPr>
            <w:tcW w:w="25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36"/>
              </w:rPr>
            </w:pPr>
            <w:r>
              <w:rPr>
                <w:rFonts w:ascii="Times New Roman;sans-serif" w:hAnsi="Times New Roman;sans-serif"/>
                <w:b/>
                <w:color w:val="000000"/>
                <w:sz w:val="36"/>
              </w:rPr>
              <w:t>BofA Securities</w:t>
            </w:r>
          </w:p>
        </w:tc>
        <w:tc>
          <w:tcPr>
            <w:tcW w:w="257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36"/>
              </w:rPr>
            </w:pPr>
            <w:r>
              <w:rPr>
                <w:rFonts w:ascii="Times New Roman;sans-serif" w:hAnsi="Times New Roman;sans-serif"/>
                <w:b/>
                <w:color w:val="000000"/>
                <w:sz w:val="36"/>
              </w:rPr>
              <w:t>Morgan Stanley</w:t>
            </w:r>
          </w:p>
        </w:tc>
        <w:tc>
          <w:tcPr>
            <w:tcW w:w="147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36"/>
              </w:rPr>
            </w:pPr>
            <w:r>
              <w:rPr>
                <w:rFonts w:ascii="Times New Roman;sans-serif" w:hAnsi="Times New Roman;sans-serif"/>
                <w:b/>
                <w:color w:val="000000"/>
                <w:sz w:val="36"/>
              </w:rPr>
              <w:t>Jefferies</w:t>
            </w:r>
          </w:p>
        </w:tc>
      </w:tr>
      <w:tr>
        <w:trPr/>
        <w:tc>
          <w:tcPr>
            <w:tcW w:w="253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8"/>
              </w:rPr>
            </w:pPr>
            <w:r>
              <w:rPr>
                <w:rFonts w:ascii="Times New Roman;sans-serif" w:hAnsi="Times New Roman;sans-serif"/>
                <w:b/>
                <w:color w:val="000000"/>
                <w:sz w:val="28"/>
              </w:rPr>
              <w:t>Canaccord Genuity</w:t>
            </w:r>
          </w:p>
        </w:tc>
        <w:tc>
          <w:tcPr>
            <w:tcW w:w="25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8"/>
              </w:rPr>
            </w:pPr>
            <w:r>
              <w:rPr>
                <w:rFonts w:ascii="Times New Roman;sans-serif" w:hAnsi="Times New Roman;sans-serif"/>
                <w:b/>
                <w:color w:val="000000"/>
                <w:sz w:val="28"/>
              </w:rPr>
              <w:t>Cantor</w:t>
            </w:r>
          </w:p>
        </w:tc>
      </w:tr>
    </w:tbl>
    <w:p>
      <w:pPr>
        <w:pStyle w:val="TextBody"/>
        <w:spacing w:before="0" w:after="240"/>
        <w:ind w:left="0" w:right="0" w:firstLine="360"/>
        <w:jc w:val="center"/>
        <w:rPr/>
      </w:pPr>
      <w:r>
        <w:rPr/>
      </w:r>
    </w:p>
    <w:p>
      <w:pPr>
        <w:pStyle w:val="TextBody"/>
        <w:spacing w:before="0" w:after="240"/>
        <w:ind w:left="0" w:right="0" w:firstLine="360"/>
        <w:jc w:val="center"/>
        <w:rPr/>
      </w:pPr>
      <w:r>
        <w:rPr/>
      </w:r>
    </w:p>
    <w:p>
      <w:pPr>
        <w:pStyle w:val="TextBody"/>
        <w:spacing w:before="0" w:after="240"/>
        <w:ind w:left="0" w:right="0" w:firstLine="360"/>
        <w:jc w:val="center"/>
        <w:rPr/>
      </w:pPr>
      <w:r>
        <w:rPr/>
      </w:r>
    </w:p>
    <w:p>
      <w:pPr>
        <w:pStyle w:val="TextBody"/>
        <w:spacing w:lineRule="auto" w:line="417"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 2023</w:t>
      </w:r>
      <w:r>
        <w:br w:type="page"/>
      </w:r>
    </w:p>
    <w:p>
      <w:pPr>
        <w:pStyle w:val="TextBody"/>
        <w:spacing w:before="0" w:after="283"/>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0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00"/>
                        <w:jc w:val="center"/>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459839/000145983923000020/sibn-20221231.htm" TargetMode="External"/><Relationship Id="rId4" Type="http://schemas.openxmlformats.org/officeDocument/2006/relationships/hyperlink" Target="https://www.sec.gov/ix?doc=/Archives/edgar/data/0001459839/000145983923000063/sibn-20230331.htm" TargetMode="External"/><Relationship Id="rId5" Type="http://schemas.openxmlformats.org/officeDocument/2006/relationships/hyperlink" Target="https://www.sec.gov/ix?doc=/Archives/edgar/data/1459839/000145983923000003/sibn-20230106.htm" TargetMode="External"/><Relationship Id="rId6" Type="http://schemas.openxmlformats.org/officeDocument/2006/relationships/hyperlink" Target="https://www.sec.gov/Archives/edgar/data/1459839/000145983923000036/sibn2023proxystatement.htm" TargetMode="External"/><Relationship Id="rId7" Type="http://schemas.openxmlformats.org/officeDocument/2006/relationships/hyperlink" Target="https://www.sec.gov/Archives/edgar/data/1459839/000119312518297571/d486750d8a12b.htm" TargetMode="External"/><Relationship Id="rId8" Type="http://schemas.openxmlformats.org/officeDocument/2006/relationships/hyperlink" Target="https://www.sec.gov/Archives/edgar/data/1459839/000119312518297571/d486750d8a12b.htm" TargetMode="External"/><Relationship Id="rId9" Type="http://schemas.openxmlformats.org/officeDocument/2006/relationships/hyperlink" Target="https://www.sec.gov/Archives/edgar/data/1459839/000145983920000047/exhibit43descriptionof.htm" TargetMode="External"/><Relationship Id="rId10" Type="http://schemas.openxmlformats.org/officeDocument/2006/relationships/image" Target="media/image2.jpeg"/><Relationship Id="rId11" Type="http://schemas.openxmlformats.org/officeDocument/2006/relationships/hyperlink" Target="https://www.sec.gov/ix?doc=/Archives/edgar/data/1459839/000145983923000020/sibn-20221231.htm" TargetMode="External"/><Relationship Id="rId12" Type="http://schemas.openxmlformats.org/officeDocument/2006/relationships/hyperlink" Target="https://www.sec.gov/ix?doc=/Archives/edgar/data/0001459839/000145983923000063/sibn-20230331.htm" TargetMode="External"/><Relationship Id="rId13" Type="http://schemas.openxmlformats.org/officeDocument/2006/relationships/hyperlink" Target="https://www.sec.gov/ix?doc=/Archives/edgar/data/1459839/000145983923000003/sibn-20230106.htm" TargetMode="External"/><Relationship Id="rId14" Type="http://schemas.openxmlformats.org/officeDocument/2006/relationships/hyperlink" Target="https://www.sec.gov/Archives/edgar/data/1459839/000145983923000036/sibn2023proxystatement.htm" TargetMode="External"/><Relationship Id="rId15" Type="http://schemas.openxmlformats.org/officeDocument/2006/relationships/hyperlink" Target="http://www.sec.gov/Archives/edgar/data/1459839/000119312518297571/d486750d8a12b.htm" TargetMode="External"/><Relationship Id="rId16" Type="http://schemas.openxmlformats.org/officeDocument/2006/relationships/hyperlink" Target="https://www.sec.gov/Archives/edgar/data/1459839/000145983920000047/exhibit43descriptionof.htm" TargetMode="External"/><Relationship Id="rId17" Type="http://schemas.openxmlformats.org/officeDocument/2006/relationships/image" Target="media/image3.jpeg"/><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64</Pages>
  <Words>31503</Words>
  <CharactersWithSpaces>198803</CharactersWithSpaces>
  <Paragraphs>989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