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SI-Bone,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825704109</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118" w:lineRule="exact"/>
        <w:rPr>
          <w:sz w:val="24"/>
          <w:szCs w:val="24"/>
          <w:color w:val="auto"/>
        </w:rPr>
      </w:pPr>
    </w:p>
    <w:tbl>
      <w:tblPr>
        <w:tblLayout w:type="fixed"/>
        <w:tblInd w:w="220" w:type="dxa"/>
        <w:tblCellMar>
          <w:top w:w="0" w:type="dxa"/>
          <w:left w:w="0" w:type="dxa"/>
          <w:bottom w:w="0" w:type="dxa"/>
          <w:right w:w="0" w:type="dxa"/>
        </w:tblCellMar>
      </w:tblPr>
      <w:tr>
        <w:trPr>
          <w:trHeight w:val="203"/>
        </w:trPr>
        <w:tc>
          <w:tcPr>
            <w:tcW w:w="25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2400"/>
              <w:spacing w:after="0"/>
              <w:rPr>
                <w:sz w:val="20"/>
                <w:szCs w:val="20"/>
                <w:color w:val="auto"/>
              </w:rPr>
            </w:pPr>
            <w:r>
              <w:rPr>
                <w:rFonts w:ascii="Times New Roman" w:cs="Times New Roman" w:eastAsia="Times New Roman" w:hAnsi="Times New Roman"/>
                <w:sz w:val="16"/>
                <w:szCs w:val="16"/>
                <w:color w:val="auto"/>
                <w:w w:val="99"/>
              </w:rPr>
              <w:t>Rule 13d-1(b)</w:t>
            </w:r>
          </w:p>
        </w:tc>
      </w:tr>
      <w:tr>
        <w:trPr>
          <w:trHeight w:val="203"/>
        </w:trPr>
        <w:tc>
          <w:tcPr>
            <w:tcW w:w="25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Rule 13d-1(c)</w:t>
            </w:r>
          </w:p>
        </w:tc>
      </w:tr>
      <w:tr>
        <w:trPr>
          <w:trHeight w:val="272"/>
        </w:trPr>
        <w:tc>
          <w:tcPr>
            <w:tcW w:w="25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2400"/>
              <w:spacing w:after="0"/>
              <w:rPr>
                <w:sz w:val="20"/>
                <w:szCs w:val="20"/>
                <w:color w:val="auto"/>
              </w:rPr>
            </w:pPr>
            <w:r>
              <w:rPr>
                <w:rFonts w:ascii="Times New Roman" w:cs="Times New Roman" w:eastAsia="Times New Roman" w:hAnsi="Times New Roman"/>
                <w:sz w:val="16"/>
                <w:szCs w:val="16"/>
                <w:color w:val="auto"/>
                <w:w w:val="99"/>
              </w:rPr>
              <w:t>Rule 13d-1(d)</w:t>
            </w:r>
          </w:p>
        </w:tc>
      </w:tr>
    </w:tbl>
    <w:p>
      <w:pPr>
        <w:spacing w:after="0" w:line="182" w:lineRule="exact"/>
        <w:rPr>
          <w:sz w:val="24"/>
          <w:szCs w:val="24"/>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7"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CUSIP No </w:t>
            </w: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color w:val="auto"/>
                <w:w w:val="99"/>
              </w:rPr>
              <w:t>825704109</w:t>
            </w:r>
          </w:p>
        </w:tc>
        <w:tc>
          <w:tcPr>
            <w:tcW w:w="1340" w:type="dxa"/>
            <w:vAlign w:val="bottom"/>
            <w:tcBorders>
              <w:bottom w:val="single" w:sz="8" w:color="auto"/>
            </w:tcBorders>
          </w:tcPr>
          <w:p>
            <w:pPr>
              <w:spacing w:after="0"/>
              <w:rPr>
                <w:sz w:val="18"/>
                <w:szCs w:val="18"/>
                <w:color w:val="auto"/>
              </w:rPr>
            </w:pPr>
          </w:p>
        </w:tc>
        <w:tc>
          <w:tcPr>
            <w:tcW w:w="5140" w:type="dxa"/>
            <w:vAlign w:val="bottom"/>
          </w:tcPr>
          <w:p>
            <w:pPr>
              <w:spacing w:after="0"/>
              <w:rPr>
                <w:sz w:val="18"/>
                <w:szCs w:val="18"/>
                <w:color w:val="auto"/>
              </w:rPr>
            </w:pPr>
          </w:p>
        </w:tc>
        <w:tc>
          <w:tcPr>
            <w:tcW w:w="250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Page 2 of 7</w:t>
            </w:r>
          </w:p>
        </w:tc>
        <w:tc>
          <w:tcPr>
            <w:tcW w:w="0" w:type="dxa"/>
            <w:vAlign w:val="bottom"/>
          </w:tcPr>
          <w:p>
            <w:pPr>
              <w:spacing w:after="0"/>
              <w:rPr>
                <w:sz w:val="1"/>
                <w:szCs w:val="1"/>
                <w:color w:val="auto"/>
              </w:rPr>
            </w:pPr>
          </w:p>
        </w:tc>
      </w:tr>
      <w:tr>
        <w:trPr>
          <w:trHeight w:val="199"/>
        </w:trPr>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6"/>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 w:type="dxa"/>
            <w:vAlign w:val="bottom"/>
            <w:tcBorders>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200" w:type="dxa"/>
            <w:vAlign w:val="bottom"/>
            <w:tcBorders>
              <w:right w:val="single" w:sz="8" w:color="auto"/>
            </w:tcBorders>
          </w:tcPr>
          <w:p>
            <w:pPr>
              <w:spacing w:after="0"/>
              <w:rPr>
                <w:sz w:val="19"/>
                <w:szCs w:val="19"/>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NAME OF REPORTING PERSONS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First Light Asset Management, LLC</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I.R.S. IDENTIFICATION NO. OF ABOVE PERSONS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(ENTITIES ONLY)</w:t>
            </w:r>
          </w:p>
        </w:tc>
        <w:tc>
          <w:tcPr>
            <w:tcW w:w="13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46-3521994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00" w:type="dxa"/>
            <w:vAlign w:val="bottom"/>
            <w:tcBorders>
              <w:left w:val="single" w:sz="8" w:color="auto"/>
            </w:tcBorders>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060" w:type="dxa"/>
            <w:vAlign w:val="bottom"/>
            <w:gridSpan w:val="6"/>
          </w:tcPr>
          <w:p>
            <w:pPr>
              <w:spacing w:after="0"/>
              <w:rPr>
                <w:sz w:val="4"/>
                <w:szCs w:val="4"/>
                <w:color w:val="auto"/>
              </w:rPr>
            </w:pPr>
          </w:p>
        </w:tc>
        <w:tc>
          <w:tcPr>
            <w:tcW w:w="2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00" w:type="dxa"/>
            <w:vAlign w:val="bottom"/>
            <w:tcBorders>
              <w:top w:val="single" w:sz="8" w:color="auto"/>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00" w:type="dxa"/>
            <w:vAlign w:val="bottom"/>
            <w:tcBorders>
              <w:top w:val="single" w:sz="8" w:color="auto"/>
              <w:right w:val="single" w:sz="8" w:color="auto"/>
            </w:tcBorders>
          </w:tcPr>
          <w:p>
            <w:pPr>
              <w:spacing w:after="0"/>
              <w:rPr>
                <w:sz w:val="16"/>
                <w:szCs w:val="16"/>
                <w:color w:val="auto"/>
              </w:rPr>
            </w:pPr>
          </w:p>
        </w:tc>
        <w:tc>
          <w:tcPr>
            <w:tcW w:w="806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480" w:type="dxa"/>
            <w:vAlign w:val="bottom"/>
            <w:tcBorders>
              <w:top w:val="single" w:sz="8" w:color="auto"/>
            </w:tcBorders>
          </w:tcPr>
          <w:p>
            <w:pPr>
              <w:ind w:left="1780"/>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00" w:type="dxa"/>
            <w:vAlign w:val="bottom"/>
            <w:tcBorders>
              <w:left w:val="single" w:sz="8" w:color="auto"/>
            </w:tcBorders>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500" w:type="dxa"/>
            <w:vAlign w:val="bottom"/>
            <w:gridSpan w:val="2"/>
          </w:tcPr>
          <w:p>
            <w:pPr>
              <w:ind w:left="1780"/>
              <w:spacing w:after="0" w:line="184" w:lineRule="exact"/>
              <w:rPr>
                <w:sz w:val="20"/>
                <w:szCs w:val="20"/>
                <w:color w:val="auto"/>
              </w:rPr>
            </w:pP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
        </w:trPr>
        <w:tc>
          <w:tcPr>
            <w:tcW w:w="50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2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SEC USE ONLY</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Borders>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200" w:type="dxa"/>
            <w:vAlign w:val="bottom"/>
            <w:tcBorders>
              <w:right w:val="single" w:sz="8" w:color="auto"/>
            </w:tcBorders>
          </w:tcPr>
          <w:p>
            <w:pPr>
              <w:spacing w:after="0"/>
              <w:rPr>
                <w:sz w:val="19"/>
                <w:szCs w:val="19"/>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Pr>
          <w:p>
            <w:pPr>
              <w:spacing w:after="0"/>
              <w:rPr>
                <w:sz w:val="19"/>
                <w:szCs w:val="19"/>
                <w:color w:val="auto"/>
              </w:rPr>
            </w:pPr>
          </w:p>
        </w:tc>
        <w:tc>
          <w:tcPr>
            <w:tcW w:w="360" w:type="dxa"/>
            <w:vAlign w:val="bottom"/>
            <w:tcBorders>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0</w:t>
            </w:r>
          </w:p>
        </w:tc>
        <w:tc>
          <w:tcPr>
            <w:tcW w:w="51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500" w:type="dxa"/>
            <w:vAlign w:val="bottom"/>
            <w:tcBorders>
              <w:left w:val="single" w:sz="8" w:color="auto"/>
            </w:tcBorders>
          </w:tcPr>
          <w:p>
            <w:pPr>
              <w:spacing w:after="0"/>
              <w:rPr>
                <w:sz w:val="11"/>
                <w:szCs w:val="11"/>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48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tcBorders>
            <w:vMerge w:val="continue"/>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6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gridSpan w:val="4"/>
          </w:tcPr>
          <w:p>
            <w:pPr>
              <w:jc w:val="center"/>
              <w:spacing w:after="0" w:line="175" w:lineRule="exact"/>
              <w:rPr>
                <w:sz w:val="20"/>
                <w:szCs w:val="20"/>
                <w:color w:val="auto"/>
              </w:rPr>
            </w:pPr>
            <w:r>
              <w:rPr>
                <w:rFonts w:ascii="Times New Roman" w:cs="Times New Roman" w:eastAsia="Times New Roman" w:hAnsi="Times New Roman"/>
                <w:sz w:val="16"/>
                <w:szCs w:val="16"/>
                <w:color w:val="auto"/>
              </w:rPr>
              <w:t>BENEFICIALLY</w:t>
            </w:r>
          </w:p>
        </w:tc>
        <w:tc>
          <w:tcPr>
            <w:tcW w:w="200" w:type="dxa"/>
            <w:vAlign w:val="bottom"/>
          </w:tcPr>
          <w:p>
            <w:pPr>
              <w:spacing w:after="0"/>
              <w:rPr>
                <w:sz w:val="15"/>
                <w:szCs w:val="15"/>
                <w:color w:val="auto"/>
              </w:rPr>
            </w:pPr>
          </w:p>
        </w:tc>
        <w:tc>
          <w:tcPr>
            <w:tcW w:w="360" w:type="dxa"/>
            <w:vAlign w:val="bottom"/>
            <w:tcBorders>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w:t>
            </w:r>
          </w:p>
        </w:tc>
        <w:tc>
          <w:tcPr>
            <w:tcW w:w="6480" w:type="dxa"/>
            <w:vAlign w:val="bottom"/>
            <w:gridSpan w:val="2"/>
            <w:vMerge w:val="continue"/>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20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2,532,227</w:t>
            </w:r>
          </w:p>
        </w:tc>
        <w:tc>
          <w:tcPr>
            <w:tcW w:w="51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4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200" w:type="dxa"/>
            <w:vAlign w:val="bottom"/>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0</w:t>
            </w:r>
          </w:p>
        </w:tc>
        <w:tc>
          <w:tcPr>
            <w:tcW w:w="5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72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51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PERSON</w:t>
            </w:r>
          </w:p>
        </w:tc>
        <w:tc>
          <w:tcPr>
            <w:tcW w:w="48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00" w:type="dxa"/>
            <w:vAlign w:val="bottom"/>
            <w:tcBorders>
              <w:left w:val="single" w:sz="8" w:color="auto"/>
            </w:tcBorders>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w:t>
            </w:r>
          </w:p>
        </w:tc>
        <w:tc>
          <w:tcPr>
            <w:tcW w:w="6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WITH:</w:t>
            </w:r>
          </w:p>
        </w:tc>
        <w:tc>
          <w:tcPr>
            <w:tcW w:w="4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6480" w:type="dxa"/>
            <w:vAlign w:val="bottom"/>
            <w:gridSpan w:val="2"/>
            <w:vMerge w:val="continue"/>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2,532,227</w:t>
            </w:r>
          </w:p>
        </w:tc>
        <w:tc>
          <w:tcPr>
            <w:tcW w:w="51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00" w:type="dxa"/>
            <w:vAlign w:val="bottom"/>
            <w:tcBorders>
              <w:left w:val="single" w:sz="8" w:color="auto"/>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00" w:type="dxa"/>
            <w:vAlign w:val="bottom"/>
            <w:tcBorders>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200" w:type="dxa"/>
            <w:vAlign w:val="bottom"/>
            <w:tcBorders>
              <w:right w:val="single" w:sz="8" w:color="auto"/>
            </w:tcBorders>
          </w:tcPr>
          <w:p>
            <w:pPr>
              <w:spacing w:after="0"/>
              <w:rPr>
                <w:sz w:val="19"/>
                <w:szCs w:val="19"/>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2,532,227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10</w:t>
            </w:r>
          </w:p>
        </w:tc>
        <w:tc>
          <w:tcPr>
            <w:tcW w:w="200" w:type="dxa"/>
            <w:vAlign w:val="bottom"/>
            <w:tcBorders>
              <w:bottom w:val="single" w:sz="8" w:color="auto"/>
              <w:right w:val="single" w:sz="8" w:color="auto"/>
            </w:tcBorders>
          </w:tcPr>
          <w:p>
            <w:pPr>
              <w:spacing w:after="0"/>
              <w:rPr>
                <w:sz w:val="18"/>
                <w:szCs w:val="18"/>
                <w:color w:val="auto"/>
              </w:rPr>
            </w:pPr>
          </w:p>
        </w:tc>
        <w:tc>
          <w:tcPr>
            <w:tcW w:w="80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480" w:type="dxa"/>
            <w:vAlign w:val="bottom"/>
            <w:tcBorders>
              <w:bottom w:val="single" w:sz="8" w:color="auto"/>
            </w:tcBorders>
          </w:tcPr>
          <w:p>
            <w:pPr>
              <w:ind w:left="1740"/>
              <w:spacing w:after="0" w:line="161" w:lineRule="exact"/>
              <w:rPr>
                <w:sz w:val="20"/>
                <w:szCs w:val="20"/>
                <w:color w:val="auto"/>
              </w:rPr>
            </w:pPr>
            <w:r>
              <w:rPr>
                <w:rFonts w:ascii="MS PGothic" w:cs="MS PGothic" w:eastAsia="MS PGothic" w:hAnsi="MS PGothic"/>
                <w:sz w:val="16"/>
                <w:szCs w:val="16"/>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Borders>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11</w:t>
            </w:r>
          </w:p>
        </w:tc>
        <w:tc>
          <w:tcPr>
            <w:tcW w:w="200" w:type="dxa"/>
            <w:vAlign w:val="bottom"/>
            <w:tcBorders>
              <w:right w:val="single" w:sz="8" w:color="auto"/>
            </w:tcBorders>
          </w:tcPr>
          <w:p>
            <w:pPr>
              <w:spacing w:after="0"/>
              <w:rPr>
                <w:sz w:val="19"/>
                <w:szCs w:val="19"/>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6.25%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0" w:type="dxa"/>
            <w:vAlign w:val="bottom"/>
            <w:tcBorders>
              <w:lef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200" w:type="dxa"/>
            <w:vAlign w:val="bottom"/>
            <w:tcBorders>
              <w:right w:val="single" w:sz="8" w:color="auto"/>
            </w:tcBorders>
          </w:tcPr>
          <w:p>
            <w:pPr>
              <w:spacing w:after="0"/>
              <w:rPr>
                <w:sz w:val="19"/>
                <w:szCs w:val="19"/>
                <w:color w:val="auto"/>
              </w:rPr>
            </w:pPr>
          </w:p>
        </w:tc>
        <w:tc>
          <w:tcPr>
            <w:tcW w:w="806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IA</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4"/>
        </w:trPr>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CUSIP No </w:t>
            </w:r>
            <w:r>
              <w:rPr>
                <w:rFonts w:ascii="Times New Roman" w:cs="Times New Roman" w:eastAsia="Times New Roman" w:hAnsi="Times New Roman"/>
                <w:sz w:val="16"/>
                <w:szCs w:val="16"/>
                <w:color w:val="auto"/>
              </w:rPr>
              <w:t>.</w:t>
            </w: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w w:val="99"/>
              </w:rPr>
              <w:t>825704109</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Page 3 of 7</w:t>
            </w:r>
          </w:p>
        </w:tc>
        <w:tc>
          <w:tcPr>
            <w:tcW w:w="0" w:type="dxa"/>
            <w:vAlign w:val="bottom"/>
          </w:tcPr>
          <w:p>
            <w:pPr>
              <w:spacing w:after="0"/>
              <w:rPr>
                <w:sz w:val="1"/>
                <w:szCs w:val="1"/>
                <w:color w:val="auto"/>
              </w:rPr>
            </w:pPr>
          </w:p>
        </w:tc>
      </w:tr>
      <w:tr>
        <w:trPr>
          <w:trHeight w:val="199"/>
        </w:trPr>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NAME OF REPORTING PERSONS</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Mathew P. Arens</w:t>
            </w: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940" w:type="dxa"/>
            <w:vAlign w:val="bottom"/>
            <w:tcBorders>
              <w:left w:val="single" w:sz="8" w:color="auto"/>
              <w:right w:val="single" w:sz="8" w:color="auto"/>
            </w:tcBorders>
          </w:tcPr>
          <w:p>
            <w:pPr>
              <w:spacing w:after="0"/>
              <w:rPr>
                <w:sz w:val="24"/>
                <w:szCs w:val="24"/>
                <w:color w:val="auto"/>
              </w:rPr>
            </w:pP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I.R.S. IDENTIFICATION NO. OF ABOVE PERSONS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(ENTITIES ONLY)</w:t>
            </w: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gridSpan w:val="4"/>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78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420" w:type="dxa"/>
            <w:vAlign w:val="bottom"/>
          </w:tcPr>
          <w:p>
            <w:pPr>
              <w:ind w:left="1860"/>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940" w:type="dxa"/>
            <w:vAlign w:val="bottom"/>
            <w:tcBorders>
              <w:left w:val="single" w:sz="8" w:color="auto"/>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2420" w:type="dxa"/>
            <w:vAlign w:val="bottom"/>
          </w:tcPr>
          <w:p>
            <w:pPr>
              <w:ind w:left="1860"/>
              <w:spacing w:after="0" w:line="184" w:lineRule="exact"/>
              <w:rPr>
                <w:sz w:val="20"/>
                <w:szCs w:val="20"/>
                <w:color w:val="auto"/>
              </w:rPr>
            </w:pP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w w:val="98"/>
              </w:rPr>
              <w:t>SEC USE ONLY</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United State of America</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260" w:type="dxa"/>
            <w:vAlign w:val="bottom"/>
          </w:tcPr>
          <w:p>
            <w:pPr>
              <w:spacing w:after="0"/>
              <w:rPr>
                <w:sz w:val="19"/>
                <w:szCs w:val="19"/>
                <w:color w:val="auto"/>
              </w:rPr>
            </w:pPr>
          </w:p>
        </w:tc>
        <w:tc>
          <w:tcPr>
            <w:tcW w:w="32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6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0</w:t>
            </w:r>
          </w:p>
        </w:tc>
        <w:tc>
          <w:tcPr>
            <w:tcW w:w="5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518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6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BENEFICIALLY</w:t>
            </w:r>
          </w:p>
        </w:tc>
        <w:tc>
          <w:tcPr>
            <w:tcW w:w="260" w:type="dxa"/>
            <w:vAlign w:val="bottom"/>
          </w:tcPr>
          <w:p>
            <w:pPr>
              <w:spacing w:after="0"/>
              <w:rPr>
                <w:sz w:val="15"/>
                <w:szCs w:val="15"/>
                <w:color w:val="auto"/>
              </w:rPr>
            </w:pPr>
          </w:p>
        </w:tc>
        <w:tc>
          <w:tcPr>
            <w:tcW w:w="32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6</w:t>
            </w:r>
          </w:p>
        </w:tc>
        <w:tc>
          <w:tcPr>
            <w:tcW w:w="638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260" w:type="dxa"/>
            <w:vAlign w:val="bottom"/>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2,552,227</w:t>
            </w:r>
          </w:p>
        </w:tc>
        <w:tc>
          <w:tcPr>
            <w:tcW w:w="5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260" w:type="dxa"/>
            <w:vAlign w:val="bottom"/>
          </w:tcPr>
          <w:p>
            <w:pPr>
              <w:spacing w:after="0"/>
              <w:rPr>
                <w:sz w:val="16"/>
                <w:szCs w:val="16"/>
                <w:color w:val="auto"/>
              </w:rPr>
            </w:pPr>
          </w:p>
        </w:tc>
        <w:tc>
          <w:tcPr>
            <w:tcW w:w="32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7</w:t>
            </w:r>
          </w:p>
        </w:tc>
        <w:tc>
          <w:tcPr>
            <w:tcW w:w="6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260" w:type="dxa"/>
            <w:vAlign w:val="bottom"/>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0</w:t>
            </w:r>
          </w:p>
        </w:tc>
        <w:tc>
          <w:tcPr>
            <w:tcW w:w="5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860" w:type="dxa"/>
            <w:vAlign w:val="bottom"/>
            <w:tcBorders>
              <w:left w:val="single" w:sz="8" w:color="auto"/>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200" w:type="dxa"/>
            <w:vAlign w:val="bottom"/>
            <w:vMerge w:val="continue"/>
          </w:tcPr>
          <w:p>
            <w:pPr>
              <w:spacing w:after="0"/>
              <w:rPr>
                <w:sz w:val="5"/>
                <w:szCs w:val="5"/>
                <w:color w:val="auto"/>
              </w:rPr>
            </w:pPr>
          </w:p>
        </w:tc>
        <w:tc>
          <w:tcPr>
            <w:tcW w:w="51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PERSON</w:t>
            </w: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8</w:t>
            </w:r>
          </w:p>
        </w:tc>
        <w:tc>
          <w:tcPr>
            <w:tcW w:w="6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WITH:</w:t>
            </w:r>
          </w:p>
        </w:tc>
        <w:tc>
          <w:tcPr>
            <w:tcW w:w="260" w:type="dxa"/>
            <w:vAlign w:val="bottom"/>
          </w:tcPr>
          <w:p>
            <w:pPr>
              <w:spacing w:after="0"/>
              <w:rPr>
                <w:sz w:val="9"/>
                <w:szCs w:val="9"/>
                <w:color w:val="auto"/>
              </w:rPr>
            </w:pPr>
          </w:p>
        </w:tc>
        <w:tc>
          <w:tcPr>
            <w:tcW w:w="320" w:type="dxa"/>
            <w:vAlign w:val="bottom"/>
            <w:tcBorders>
              <w:right w:val="single" w:sz="8" w:color="auto"/>
            </w:tcBorders>
            <w:vMerge w:val="continue"/>
          </w:tcPr>
          <w:p>
            <w:pPr>
              <w:spacing w:after="0"/>
              <w:rPr>
                <w:sz w:val="9"/>
                <w:szCs w:val="9"/>
                <w:color w:val="auto"/>
              </w:rPr>
            </w:pPr>
          </w:p>
        </w:tc>
        <w:tc>
          <w:tcPr>
            <w:tcW w:w="6380" w:type="dxa"/>
            <w:vAlign w:val="bottom"/>
            <w:gridSpan w:val="2"/>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2,552,227</w:t>
            </w:r>
          </w:p>
        </w:tc>
        <w:tc>
          <w:tcPr>
            <w:tcW w:w="5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4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2,552,227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w:t>
            </w:r>
          </w:p>
        </w:tc>
        <w:tc>
          <w:tcPr>
            <w:tcW w:w="78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420" w:type="dxa"/>
            <w:vAlign w:val="bottom"/>
            <w:tcBorders>
              <w:bottom w:val="single" w:sz="8" w:color="auto"/>
            </w:tcBorders>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11</w:t>
            </w: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6.30%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78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6"/>
        </w:trPr>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CUSIP No</w:t>
            </w:r>
            <w:r>
              <w:rPr>
                <w:rFonts w:ascii="Times New Roman" w:cs="Times New Roman" w:eastAsia="Times New Roman" w:hAnsi="Times New Roman"/>
                <w:sz w:val="16"/>
                <w:szCs w:val="16"/>
                <w:color w:val="auto"/>
              </w:rPr>
              <w:t>.</w:t>
            </w:r>
          </w:p>
        </w:tc>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825704109</w:t>
            </w:r>
          </w:p>
        </w:tc>
        <w:tc>
          <w:tcPr>
            <w:tcW w:w="4360" w:type="dxa"/>
            <w:vAlign w:val="bottom"/>
          </w:tcPr>
          <w:p>
            <w:pPr>
              <w:spacing w:after="0"/>
              <w:rPr>
                <w:sz w:val="18"/>
                <w:szCs w:val="18"/>
                <w:color w:val="auto"/>
              </w:rPr>
            </w:pPr>
          </w:p>
        </w:tc>
        <w:tc>
          <w:tcPr>
            <w:tcW w:w="3380" w:type="dxa"/>
            <w:vAlign w:val="bottom"/>
          </w:tcPr>
          <w:p>
            <w:pPr>
              <w:ind w:left="2640"/>
              <w:spacing w:after="0"/>
              <w:rPr>
                <w:sz w:val="20"/>
                <w:szCs w:val="20"/>
                <w:color w:val="auto"/>
              </w:rPr>
            </w:pPr>
            <w:r>
              <w:rPr>
                <w:rFonts w:ascii="Times New Roman" w:cs="Times New Roman" w:eastAsia="Times New Roman" w:hAnsi="Times New Roman"/>
                <w:sz w:val="16"/>
                <w:szCs w:val="16"/>
                <w:color w:val="auto"/>
                <w:w w:val="99"/>
              </w:rPr>
              <w:t>Page 4 of 7</w:t>
            </w:r>
          </w:p>
        </w:tc>
      </w:tr>
      <w:tr>
        <w:trPr>
          <w:trHeight w:val="388"/>
        </w:trPr>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Name of Issuer:</w:t>
            </w:r>
          </w:p>
        </w:tc>
        <w:tc>
          <w:tcPr>
            <w:tcW w:w="338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SI-Bone, Inc.</w:t>
            </w:r>
          </w:p>
        </w:tc>
        <w:tc>
          <w:tcPr>
            <w:tcW w:w="3380" w:type="dxa"/>
            <w:vAlign w:val="bottom"/>
          </w:tcPr>
          <w:p>
            <w:pPr>
              <w:spacing w:after="0"/>
              <w:rPr>
                <w:sz w:val="18"/>
                <w:szCs w:val="18"/>
                <w:color w:val="auto"/>
              </w:rPr>
            </w:pPr>
          </w:p>
        </w:tc>
      </w:tr>
      <w:tr>
        <w:trPr>
          <w:trHeight w:val="397"/>
        </w:trPr>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1(b).</w:t>
            </w: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Address of Issuer’s Principal Executive Offices:</w:t>
            </w:r>
          </w:p>
        </w:tc>
        <w:tc>
          <w:tcPr>
            <w:tcW w:w="338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471 El Camino Real, Suite 101, Santa Clara, CA 95050</w:t>
            </w:r>
          </w:p>
        </w:tc>
        <w:tc>
          <w:tcPr>
            <w:tcW w:w="3380" w:type="dxa"/>
            <w:vAlign w:val="bottom"/>
          </w:tcPr>
          <w:p>
            <w:pPr>
              <w:spacing w:after="0"/>
              <w:rPr>
                <w:sz w:val="18"/>
                <w:szCs w:val="18"/>
                <w:color w:val="auto"/>
              </w:rPr>
            </w:pPr>
          </w:p>
        </w:tc>
      </w:tr>
      <w:tr>
        <w:trPr>
          <w:trHeight w:val="397"/>
        </w:trPr>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2(a).</w:t>
            </w: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Name of Person Filing:</w:t>
            </w:r>
          </w:p>
        </w:tc>
        <w:tc>
          <w:tcPr>
            <w:tcW w:w="338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This Schedule 13G is being jointly filed by the following:</w:t>
            </w:r>
          </w:p>
        </w:tc>
        <w:tc>
          <w:tcPr>
            <w:tcW w:w="3380" w:type="dxa"/>
            <w:vAlign w:val="bottom"/>
          </w:tcPr>
          <w:p>
            <w:pPr>
              <w:spacing w:after="0"/>
              <w:rPr>
                <w:sz w:val="18"/>
                <w:szCs w:val="18"/>
                <w:color w:val="auto"/>
              </w:rPr>
            </w:pPr>
          </w:p>
        </w:tc>
      </w:tr>
      <w:tr>
        <w:trPr>
          <w:trHeight w:val="397"/>
        </w:trPr>
        <w:tc>
          <w:tcPr>
            <w:tcW w:w="1240" w:type="dxa"/>
            <w:vAlign w:val="bottom"/>
          </w:tcPr>
          <w:p>
            <w:pPr>
              <w:spacing w:after="0"/>
              <w:rPr>
                <w:sz w:val="24"/>
                <w:szCs w:val="24"/>
                <w:color w:val="auto"/>
              </w:rPr>
            </w:pP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First Light Asset Management, LLC</w:t>
            </w:r>
          </w:p>
        </w:tc>
        <w:tc>
          <w:tcPr>
            <w:tcW w:w="338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Mathew P. Arens (“Mr. Arens”)</w:t>
            </w:r>
          </w:p>
        </w:tc>
        <w:tc>
          <w:tcPr>
            <w:tcW w:w="3380" w:type="dxa"/>
            <w:vAlign w:val="bottom"/>
          </w:tcPr>
          <w:p>
            <w:pPr>
              <w:spacing w:after="0"/>
              <w:rPr>
                <w:sz w:val="18"/>
                <w:szCs w:val="18"/>
                <w:color w:val="auto"/>
              </w:rPr>
            </w:pPr>
          </w:p>
        </w:tc>
      </w:tr>
    </w:tbl>
    <w:p>
      <w:pPr>
        <w:spacing w:after="0" w:line="195" w:lineRule="exact"/>
        <w:rPr>
          <w:sz w:val="20"/>
          <w:szCs w:val="20"/>
          <w:color w:val="auto"/>
        </w:rPr>
      </w:pPr>
    </w:p>
    <w:p>
      <w:pPr>
        <w:ind w:left="1480" w:right="20"/>
        <w:spacing w:after="0" w:line="269" w:lineRule="auto"/>
        <w:rPr>
          <w:sz w:val="20"/>
          <w:szCs w:val="20"/>
          <w:color w:val="auto"/>
        </w:rPr>
      </w:pPr>
      <w:r>
        <w:rPr>
          <w:rFonts w:ascii="Times New Roman" w:cs="Times New Roman" w:eastAsia="Times New Roman" w:hAnsi="Times New Roman"/>
          <w:sz w:val="16"/>
          <w:szCs w:val="16"/>
          <w:color w:val="auto"/>
        </w:rPr>
        <w:t>The Manager may be deemed to be the beneficial owner of 2,532,227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Mr. Arens also directly holds 20,000 Shares held in joint accounts over which he shares control. The Manager and Mr. Arens are filing this Schedule 13G with respect to these Shares pursuant to Rule 13d-1(b) under the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The Manager and Mr. Arens may be deemed to be the beneficial owner of the total amount of Shares set forth across from its or his respective name</w:t>
            </w:r>
          </w:p>
        </w:tc>
      </w:tr>
      <w:tr>
        <w:trPr>
          <w:trHeight w:val="203"/>
        </w:trPr>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Item 4 below. The filing of this Schedule 13G shall not be construed as an admission that the reporting persons or any of their affiliates are the</w:t>
            </w:r>
          </w:p>
        </w:tc>
      </w:tr>
      <w:tr>
        <w:trPr>
          <w:trHeight w:val="203"/>
        </w:trPr>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beneficial owner of any securities covered by this Schedule 13G for any other purposes other than Section 13(d) of the Securities Exchange Act of</w:t>
            </w:r>
          </w:p>
        </w:tc>
      </w:tr>
      <w:tr>
        <w:trPr>
          <w:trHeight w:val="210"/>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1934.</w:t>
            </w:r>
          </w:p>
        </w:tc>
        <w:tc>
          <w:tcPr>
            <w:tcW w:w="9360" w:type="dxa"/>
            <w:vAlign w:val="bottom"/>
          </w:tcPr>
          <w:p>
            <w:pPr>
              <w:spacing w:after="0"/>
              <w:rPr>
                <w:sz w:val="18"/>
                <w:szCs w:val="18"/>
                <w:color w:val="auto"/>
              </w:rPr>
            </w:pPr>
          </w:p>
        </w:tc>
      </w:tr>
      <w:tr>
        <w:trPr>
          <w:trHeight w:val="39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2(b).</w:t>
            </w:r>
          </w:p>
        </w:tc>
        <w:tc>
          <w:tcPr>
            <w:tcW w:w="480" w:type="dxa"/>
            <w:vAlign w:val="bottom"/>
          </w:tcPr>
          <w:p>
            <w:pPr>
              <w:spacing w:after="0"/>
              <w:rPr>
                <w:sz w:val="24"/>
                <w:szCs w:val="24"/>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Address of Principal Business Office or, if None, Residence:</w:t>
            </w:r>
          </w:p>
        </w:tc>
      </w:tr>
      <w:tr>
        <w:trPr>
          <w:trHeight w:val="210"/>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Each of the reporting persons identified in Item 2(a) has its principal business office at:</w:t>
            </w:r>
          </w:p>
        </w:tc>
      </w:tr>
      <w:tr>
        <w:trPr>
          <w:trHeight w:val="405"/>
        </w:trPr>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3300 Edinborough Way, Suite 201, Edina, MN 55435</w:t>
            </w:r>
          </w:p>
        </w:tc>
      </w:tr>
      <w:tr>
        <w:trPr>
          <w:trHeight w:val="39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2(c).</w:t>
            </w:r>
          </w:p>
        </w:tc>
        <w:tc>
          <w:tcPr>
            <w:tcW w:w="480" w:type="dxa"/>
            <w:vAlign w:val="bottom"/>
          </w:tcPr>
          <w:p>
            <w:pPr>
              <w:spacing w:after="0"/>
              <w:rPr>
                <w:sz w:val="24"/>
                <w:szCs w:val="24"/>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Citizenship:</w:t>
            </w:r>
          </w:p>
        </w:tc>
      </w:tr>
      <w:tr>
        <w:trPr>
          <w:trHeight w:val="203"/>
        </w:trPr>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First Light Asset Management, LLC – Delaware limited liability company</w:t>
            </w:r>
          </w:p>
        </w:tc>
      </w:tr>
      <w:tr>
        <w:trPr>
          <w:trHeight w:val="210"/>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Mathew P. Arens – United States citizen</w:t>
            </w:r>
          </w:p>
        </w:tc>
      </w:tr>
      <w:tr>
        <w:trPr>
          <w:trHeight w:val="39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2(d).</w:t>
            </w:r>
          </w:p>
        </w:tc>
        <w:tc>
          <w:tcPr>
            <w:tcW w:w="480" w:type="dxa"/>
            <w:vAlign w:val="bottom"/>
          </w:tcPr>
          <w:p>
            <w:pPr>
              <w:spacing w:after="0"/>
              <w:rPr>
                <w:sz w:val="24"/>
                <w:szCs w:val="24"/>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Title of Class of Securities:</w:t>
            </w:r>
          </w:p>
        </w:tc>
      </w:tr>
      <w:tr>
        <w:trPr>
          <w:trHeight w:val="210"/>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Common Stock, $0.01 par value</w:t>
            </w:r>
          </w:p>
        </w:tc>
      </w:tr>
      <w:tr>
        <w:trPr>
          <w:trHeight w:val="397"/>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2(e).</w:t>
            </w:r>
          </w:p>
        </w:tc>
        <w:tc>
          <w:tcPr>
            <w:tcW w:w="480" w:type="dxa"/>
            <w:vAlign w:val="bottom"/>
          </w:tcPr>
          <w:p>
            <w:pPr>
              <w:spacing w:after="0"/>
              <w:rPr>
                <w:sz w:val="24"/>
                <w:szCs w:val="24"/>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CUSIP Number:</w:t>
            </w:r>
          </w:p>
        </w:tc>
      </w:tr>
      <w:tr>
        <w:trPr>
          <w:trHeight w:val="210"/>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825704109</w:t>
            </w:r>
          </w:p>
        </w:tc>
      </w:tr>
      <w:tr>
        <w:trPr>
          <w:trHeight w:val="361"/>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If This Statement is Filed Pursuant to §§240.13d-1(b), or 240.13d-2(b) or (c), Check Whether the Person Filing is a:</w:t>
            </w:r>
          </w:p>
        </w:tc>
      </w:tr>
      <w:tr>
        <w:trPr>
          <w:trHeight w:val="272"/>
        </w:trPr>
        <w:tc>
          <w:tcPr>
            <w:tcW w:w="92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Broker or dealer registered under Section 15 of the Act (15 U.S.C. 78o).</w:t>
            </w:r>
          </w:p>
        </w:tc>
      </w:tr>
      <w:tr>
        <w:trPr>
          <w:trHeight w:val="405"/>
        </w:trPr>
        <w:tc>
          <w:tcPr>
            <w:tcW w:w="9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Bank as defined in Section 3(a)(6) of the Act (15 U.S.C. 78c).</w:t>
            </w:r>
          </w:p>
        </w:tc>
      </w:tr>
      <w:tr>
        <w:trPr>
          <w:trHeight w:val="405"/>
        </w:trPr>
        <w:tc>
          <w:tcPr>
            <w:tcW w:w="9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Insurance company as defined in Section 3(a)(19) of the Act (15 U.S.C. 78c).</w:t>
            </w:r>
          </w:p>
        </w:tc>
      </w:tr>
      <w:tr>
        <w:trPr>
          <w:trHeight w:val="405"/>
        </w:trPr>
        <w:tc>
          <w:tcPr>
            <w:tcW w:w="9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company registered under Section 8 of the Investment Company Act of 1940 (15 U.S.C. 80a-8).</w:t>
            </w:r>
          </w:p>
        </w:tc>
      </w:tr>
      <w:tr>
        <w:trPr>
          <w:trHeight w:val="405"/>
        </w:trPr>
        <w:tc>
          <w:tcPr>
            <w:tcW w:w="9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 investment adviser in accordance with §240.13d-1(b)(1)(ii)(E);</w:t>
            </w:r>
          </w:p>
        </w:tc>
      </w:tr>
      <w:tr>
        <w:trPr>
          <w:trHeight w:val="533"/>
        </w:trPr>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5" w:right="339" w:bottom="1440" w:gutter="0" w:footer="0" w:header="0"/>
        </w:sectPr>
      </w:pPr>
    </w:p>
    <w:bookmarkStart w:id="4" w:name="page5"/>
    <w:bookmarkEnd w:id="4"/>
    <w:p>
      <w:pPr>
        <w:spacing w:after="0"/>
        <w:tabs>
          <w:tab w:leader="none" w:pos="1100" w:val="left"/>
          <w:tab w:leader="none" w:pos="10480" w:val="left"/>
        </w:tabs>
        <w:rPr>
          <w:sz w:val="20"/>
          <w:szCs w:val="20"/>
          <w:color w:val="auto"/>
        </w:rPr>
      </w:pPr>
      <w:r>
        <w:rPr>
          <w:rFonts w:ascii="Times New Roman" w:cs="Times New Roman" w:eastAsia="Times New Roman" w:hAnsi="Times New Roman"/>
          <w:sz w:val="16"/>
          <w:szCs w:val="16"/>
          <w:b w:val="1"/>
          <w:bCs w:val="1"/>
          <w:color w:val="auto"/>
        </w:rPr>
        <w:t xml:space="preserve">CUSIP No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825704109</w:t>
      </w:r>
      <w:r>
        <w:rPr>
          <w:sz w:val="20"/>
          <w:szCs w:val="20"/>
          <w:color w:val="auto"/>
        </w:rPr>
        <w:tab/>
      </w:r>
      <w:r>
        <w:rPr>
          <w:rFonts w:ascii="Times New Roman" w:cs="Times New Roman" w:eastAsia="Times New Roman" w:hAnsi="Times New Roman"/>
          <w:sz w:val="16"/>
          <w:szCs w:val="16"/>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21590</wp:posOffset>
            </wp:positionV>
            <wp:extent cx="1517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81" w:lineRule="exact"/>
        <w:rPr>
          <w:sz w:val="20"/>
          <w:szCs w:val="20"/>
          <w:color w:val="auto"/>
        </w:rPr>
      </w:pPr>
    </w:p>
    <w:p>
      <w:pPr>
        <w:ind w:left="1440" w:hanging="433"/>
        <w:spacing w:after="0" w:line="184" w:lineRule="exact"/>
        <w:tabs>
          <w:tab w:leader="none" w:pos="144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An employee benefit plan or endowment fund in accordance with §240.13d-1(b)(1)(ii)(F);</w:t>
      </w:r>
    </w:p>
    <w:p>
      <w:pPr>
        <w:spacing w:after="0" w:line="221" w:lineRule="exact"/>
        <w:rPr>
          <w:rFonts w:ascii="Times New Roman" w:cs="Times New Roman" w:eastAsia="Times New Roman" w:hAnsi="Times New Roman"/>
          <w:sz w:val="16"/>
          <w:szCs w:val="16"/>
          <w:color w:val="auto"/>
        </w:rPr>
      </w:pPr>
    </w:p>
    <w:p>
      <w:pPr>
        <w:ind w:left="1440" w:hanging="433"/>
        <w:spacing w:after="0" w:line="184" w:lineRule="exact"/>
        <w:tabs>
          <w:tab w:leader="none" w:pos="144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 parent holding company or control person in accordance with §240.13d-1(b)(ii)(G);</w:t>
      </w:r>
    </w:p>
    <w:p>
      <w:pPr>
        <w:spacing w:after="0" w:line="221" w:lineRule="exact"/>
        <w:rPr>
          <w:rFonts w:ascii="Times New Roman" w:cs="Times New Roman" w:eastAsia="Times New Roman" w:hAnsi="Times New Roman"/>
          <w:sz w:val="16"/>
          <w:szCs w:val="16"/>
          <w:color w:val="auto"/>
        </w:rPr>
      </w:pPr>
    </w:p>
    <w:p>
      <w:pPr>
        <w:ind w:left="1440" w:hanging="433"/>
        <w:spacing w:after="0" w:line="184" w:lineRule="exact"/>
        <w:tabs>
          <w:tab w:leader="none" w:pos="144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 savings association as defined in Section 3(b) of the Federal Deposit Insurance Act (12 U.S.C. 1813);</w:t>
      </w:r>
    </w:p>
    <w:p>
      <w:pPr>
        <w:spacing w:after="0" w:line="221" w:lineRule="exact"/>
        <w:rPr>
          <w:rFonts w:ascii="Times New Roman" w:cs="Times New Roman" w:eastAsia="Times New Roman" w:hAnsi="Times New Roman"/>
          <w:sz w:val="16"/>
          <w:szCs w:val="16"/>
          <w:color w:val="auto"/>
        </w:rPr>
      </w:pPr>
    </w:p>
    <w:p>
      <w:pPr>
        <w:ind w:left="1700" w:right="180" w:hanging="693"/>
        <w:spacing w:after="0" w:line="224" w:lineRule="exact"/>
        <w:tabs>
          <w:tab w:leader="none" w:pos="143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(15 U.S.C. 80a-3);</w:t>
      </w:r>
    </w:p>
    <w:p>
      <w:pPr>
        <w:spacing w:after="0" w:line="159" w:lineRule="exact"/>
        <w:rPr>
          <w:rFonts w:ascii="Times New Roman" w:cs="Times New Roman" w:eastAsia="Times New Roman" w:hAnsi="Times New Roman"/>
          <w:sz w:val="16"/>
          <w:szCs w:val="16"/>
          <w:color w:val="auto"/>
        </w:rPr>
      </w:pPr>
    </w:p>
    <w:p>
      <w:pPr>
        <w:ind w:left="1440" w:hanging="433"/>
        <w:spacing w:after="0" w:line="184" w:lineRule="exact"/>
        <w:tabs>
          <w:tab w:leader="none" w:pos="144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Group, in accordance with §240.13d-1(b)(1)(ii)(J).</w:t>
      </w:r>
    </w:p>
    <w:p>
      <w:pPr>
        <w:spacing w:after="0" w:line="25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Provide the following information regarding the aggregate number and percentage of the class of securities of the issuer identified in Item 1.</w:t>
      </w:r>
    </w:p>
    <w:p>
      <w:pPr>
        <w:spacing w:after="0" w:line="221" w:lineRule="exact"/>
        <w:rPr>
          <w:sz w:val="20"/>
          <w:szCs w:val="20"/>
          <w:color w:val="auto"/>
        </w:rPr>
      </w:pPr>
    </w:p>
    <w:p>
      <w:pPr>
        <w:ind w:left="1440" w:hanging="433"/>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w:t>
      </w:r>
    </w:p>
    <w:p>
      <w:pPr>
        <w:spacing w:after="0" w:line="26" w:lineRule="exact"/>
        <w:rPr>
          <w:rFonts w:ascii="Times New Roman" w:cs="Times New Roman" w:eastAsia="Times New Roman" w:hAnsi="Times New Roman"/>
          <w:sz w:val="16"/>
          <w:szCs w:val="16"/>
          <w:color w:val="auto"/>
        </w:rPr>
      </w:pPr>
    </w:p>
    <w:p>
      <w:pPr>
        <w:ind w:left="1440" w:right="66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Light Asset Management, LLC – 2,532,227 Mathew P. Arens – 2,552,227</w:t>
      </w:r>
    </w:p>
    <w:p>
      <w:pPr>
        <w:spacing w:after="0" w:line="158" w:lineRule="exact"/>
        <w:rPr>
          <w:rFonts w:ascii="Times New Roman" w:cs="Times New Roman" w:eastAsia="Times New Roman" w:hAnsi="Times New Roman"/>
          <w:sz w:val="16"/>
          <w:szCs w:val="16"/>
          <w:color w:val="auto"/>
        </w:rPr>
      </w:pPr>
    </w:p>
    <w:p>
      <w:pPr>
        <w:ind w:left="1440" w:hanging="433"/>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w:t>
      </w:r>
    </w:p>
    <w:p>
      <w:pPr>
        <w:spacing w:after="0" w:line="26" w:lineRule="exact"/>
        <w:rPr>
          <w:rFonts w:ascii="Times New Roman" w:cs="Times New Roman" w:eastAsia="Times New Roman" w:hAnsi="Times New Roman"/>
          <w:sz w:val="16"/>
          <w:szCs w:val="16"/>
          <w:color w:val="auto"/>
        </w:rPr>
      </w:pPr>
    </w:p>
    <w:p>
      <w:pPr>
        <w:ind w:left="1440" w:right="68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Light Asset Management, LLC – 6.25% Mathew P. Arens – 6.30%</w:t>
      </w:r>
    </w:p>
    <w:p>
      <w:pPr>
        <w:spacing w:after="0" w:line="158" w:lineRule="exact"/>
        <w:rPr>
          <w:rFonts w:ascii="Times New Roman" w:cs="Times New Roman" w:eastAsia="Times New Roman" w:hAnsi="Times New Roman"/>
          <w:sz w:val="16"/>
          <w:szCs w:val="16"/>
          <w:color w:val="auto"/>
        </w:rPr>
      </w:pPr>
    </w:p>
    <w:p>
      <w:pPr>
        <w:ind w:left="1440" w:hanging="433"/>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such person has:</w:t>
      </w:r>
    </w:p>
    <w:p>
      <w:pPr>
        <w:spacing w:after="0" w:line="221" w:lineRule="exact"/>
        <w:rPr>
          <w:rFonts w:ascii="Times New Roman" w:cs="Times New Roman" w:eastAsia="Times New Roman" w:hAnsi="Times New Roman"/>
          <w:sz w:val="16"/>
          <w:szCs w:val="16"/>
          <w:color w:val="auto"/>
        </w:rPr>
      </w:pPr>
    </w:p>
    <w:p>
      <w:pPr>
        <w:ind w:left="1700" w:right="6920" w:hanging="261"/>
        <w:spacing w:after="0" w:line="281" w:lineRule="auto"/>
        <w:tabs>
          <w:tab w:leader="none" w:pos="17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First Light Asset Management, LLC – 0 Mathew P. Arens – 0</w:t>
      </w:r>
    </w:p>
    <w:p>
      <w:pPr>
        <w:spacing w:after="0" w:line="163" w:lineRule="exact"/>
        <w:rPr>
          <w:rFonts w:ascii="Times New Roman" w:cs="Times New Roman" w:eastAsia="Times New Roman" w:hAnsi="Times New Roman"/>
          <w:sz w:val="16"/>
          <w:szCs w:val="16"/>
          <w:color w:val="auto"/>
        </w:rPr>
      </w:pPr>
    </w:p>
    <w:p>
      <w:pPr>
        <w:ind w:left="1700" w:hanging="261"/>
        <w:spacing w:after="0"/>
        <w:tabs>
          <w:tab w:leader="none" w:pos="17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w:t>
      </w:r>
    </w:p>
    <w:p>
      <w:pPr>
        <w:spacing w:after="0" w:line="26" w:lineRule="exact"/>
        <w:rPr>
          <w:rFonts w:ascii="Times New Roman" w:cs="Times New Roman" w:eastAsia="Times New Roman" w:hAnsi="Times New Roman"/>
          <w:sz w:val="16"/>
          <w:szCs w:val="16"/>
          <w:color w:val="auto"/>
        </w:rPr>
      </w:pPr>
    </w:p>
    <w:p>
      <w:pPr>
        <w:ind w:left="1700" w:right="63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Light Asset Management, LLC – 2,532,227 Mathew P. Arens – 2,552,227</w:t>
      </w:r>
    </w:p>
    <w:p>
      <w:pPr>
        <w:spacing w:after="0" w:line="158" w:lineRule="exact"/>
        <w:rPr>
          <w:rFonts w:ascii="Times New Roman" w:cs="Times New Roman" w:eastAsia="Times New Roman" w:hAnsi="Times New Roman"/>
          <w:sz w:val="16"/>
          <w:szCs w:val="16"/>
          <w:color w:val="auto"/>
        </w:rPr>
      </w:pPr>
    </w:p>
    <w:p>
      <w:pPr>
        <w:ind w:left="1700" w:right="6180" w:hanging="261"/>
        <w:spacing w:after="0" w:line="281" w:lineRule="auto"/>
        <w:tabs>
          <w:tab w:leader="none" w:pos="17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First Light Asset Management, LLC – 0 Mathew P. Arens – 0</w:t>
      </w:r>
    </w:p>
    <w:p>
      <w:pPr>
        <w:spacing w:after="0" w:line="163" w:lineRule="exact"/>
        <w:rPr>
          <w:rFonts w:ascii="Times New Roman" w:cs="Times New Roman" w:eastAsia="Times New Roman" w:hAnsi="Times New Roman"/>
          <w:sz w:val="16"/>
          <w:szCs w:val="16"/>
          <w:color w:val="auto"/>
        </w:rPr>
      </w:pPr>
    </w:p>
    <w:p>
      <w:pPr>
        <w:ind w:left="1700" w:right="6020" w:hanging="261"/>
        <w:spacing w:after="0" w:line="281" w:lineRule="auto"/>
        <w:tabs>
          <w:tab w:leader="none" w:pos="17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First Light Asset Management, LLC – 2,532,227 Mathew P. Arens – 2,552,227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5" w:name="page6"/>
    <w:bookmarkEnd w:id="5"/>
    <w:p>
      <w:pPr>
        <w:spacing w:after="0"/>
        <w:tabs>
          <w:tab w:leader="none" w:pos="1240" w:val="left"/>
          <w:tab w:leader="none" w:pos="10480" w:val="left"/>
        </w:tabs>
        <w:rPr>
          <w:sz w:val="20"/>
          <w:szCs w:val="20"/>
          <w:color w:val="auto"/>
        </w:rPr>
      </w:pPr>
      <w:r>
        <w:rPr>
          <w:rFonts w:ascii="Times New Roman" w:cs="Times New Roman" w:eastAsia="Times New Roman" w:hAnsi="Times New Roman"/>
          <w:sz w:val="16"/>
          <w:szCs w:val="16"/>
          <w:b w:val="1"/>
          <w:bCs w:val="1"/>
          <w:color w:val="auto"/>
        </w:rPr>
        <w:t xml:space="preserve">CUSIP No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825704109</w:t>
      </w:r>
      <w:r>
        <w:rPr>
          <w:sz w:val="20"/>
          <w:szCs w:val="20"/>
          <w:color w:val="auto"/>
        </w:rPr>
        <w:tab/>
      </w:r>
      <w:r>
        <w:rPr>
          <w:rFonts w:ascii="Times New Roman" w:cs="Times New Roman" w:eastAsia="Times New Roman" w:hAnsi="Times New Roman"/>
          <w:sz w:val="16"/>
          <w:szCs w:val="16"/>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21590</wp:posOffset>
            </wp:positionV>
            <wp:extent cx="1499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28" w:lineRule="exact"/>
        <w:rPr>
          <w:sz w:val="20"/>
          <w:szCs w:val="20"/>
          <w:color w:val="auto"/>
        </w:rPr>
      </w:pPr>
    </w:p>
    <w:p>
      <w:pPr>
        <w:ind w:left="1140" w:right="460"/>
        <w:spacing w:after="0" w:line="216" w:lineRule="exact"/>
        <w:rPr>
          <w:sz w:val="20"/>
          <w:szCs w:val="20"/>
          <w:color w:val="auto"/>
        </w:rPr>
      </w:pPr>
      <w:r>
        <w:rPr>
          <w:rFonts w:ascii="Times New Roman" w:cs="Times New Roman" w:eastAsia="Times New Roman" w:hAnsi="Times New Roman"/>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1" w:lineRule="exact"/>
        <w:rPr>
          <w:sz w:val="20"/>
          <w:szCs w:val="20"/>
          <w:color w:val="auto"/>
        </w:rPr>
      </w:pPr>
    </w:p>
    <w:p>
      <w:pPr>
        <w:ind w:left="1140" w:right="220" w:hanging="1133"/>
        <w:spacing w:after="0" w:line="270" w:lineRule="auto"/>
        <w:tabs>
          <w:tab w:leader="none" w:pos="112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2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Certification.</w:t>
      </w:r>
    </w:p>
    <w:p>
      <w:pPr>
        <w:spacing w:after="0" w:line="169"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FIRST LIGHT ASSET MANAGEMENT, LLC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Date: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February 14, 2024</w:t>
            </w:r>
          </w:p>
        </w:tc>
      </w:tr>
      <w:tr>
        <w:trPr>
          <w:trHeight w:val="405"/>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Kurt T. Peterson</w:t>
            </w:r>
          </w:p>
        </w:tc>
      </w:tr>
      <w:tr>
        <w:trPr>
          <w:trHeight w:val="188"/>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Kurt T. Peterson</w:t>
            </w:r>
          </w:p>
        </w:tc>
      </w:t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Chief Compliance Officer</w:t>
            </w:r>
          </w:p>
        </w:tc>
      </w:tr>
      <w:tr>
        <w:trPr>
          <w:trHeight w:val="608"/>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Date: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February 14, 2024</w:t>
            </w:r>
          </w:p>
        </w:tc>
      </w:tr>
      <w:tr>
        <w:trPr>
          <w:trHeight w:val="405"/>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Signature: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Mathew P. Arens</w:t>
            </w:r>
          </w:p>
        </w:tc>
      </w:t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Mathew P. Arens</w:t>
            </w:r>
          </w:p>
        </w:tc>
      </w:tr>
      <w:tr>
        <w:trPr>
          <w:trHeight w:val="951"/>
        </w:trPr>
        <w:tc>
          <w:tcPr>
            <w:tcW w:w="6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5" w:right="339" w:bottom="1440" w:gutter="0" w:footer="0" w:header="0"/>
        </w:sectPr>
      </w:pPr>
    </w:p>
    <w:bookmarkStart w:id="6" w:name="page7"/>
    <w:bookmarkEnd w:id="6"/>
    <w:p>
      <w:pPr>
        <w:spacing w:after="0"/>
        <w:tabs>
          <w:tab w:leader="none" w:pos="1240" w:val="left"/>
          <w:tab w:leader="none" w:pos="10480" w:val="left"/>
        </w:tabs>
        <w:rPr>
          <w:sz w:val="20"/>
          <w:szCs w:val="20"/>
          <w:color w:val="auto"/>
        </w:rPr>
      </w:pPr>
      <w:r>
        <w:rPr>
          <w:rFonts w:ascii="Times New Roman" w:cs="Times New Roman" w:eastAsia="Times New Roman" w:hAnsi="Times New Roman"/>
          <w:sz w:val="16"/>
          <w:szCs w:val="16"/>
          <w:b w:val="1"/>
          <w:bCs w:val="1"/>
          <w:color w:val="auto"/>
        </w:rPr>
        <w:t xml:space="preserve">CUSIP No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825704109</w:t>
      </w:r>
      <w:r>
        <w:rPr>
          <w:sz w:val="20"/>
          <w:szCs w:val="20"/>
          <w:color w:val="auto"/>
        </w:rPr>
        <w:tab/>
      </w:r>
      <w:r>
        <w:rPr>
          <w:rFonts w:ascii="Times New Roman" w:cs="Times New Roman" w:eastAsia="Times New Roman" w:hAnsi="Times New Roman"/>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21590</wp:posOffset>
            </wp:positionV>
            <wp:extent cx="1499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JOINT FILING AGREEMENT</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Undersigned agree that the statement on Schedule 13G with respect to the common stock of SI-Bone, Inc dated as of February 14, 2024, is, and any amendment thereto signed by each of the undersigned shall be, filed on behalf of each of them pursuant to and in accordance with the provisions of Rule 13d-1(k) under the Securities Exchange Act of 1934, as amended.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FIRST LIGHT ASSET MANAGEMENT, LLC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Kurt T. Peterson</w:t>
            </w:r>
          </w:p>
        </w:tc>
      </w:tr>
      <w:tr>
        <w:trPr>
          <w:trHeight w:val="188"/>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Kurt T. Peterson</w:t>
            </w:r>
          </w:p>
        </w:tc>
      </w:t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Chief Compliance Officer</w:t>
            </w:r>
          </w:p>
        </w:tc>
      </w:tr>
      <w:tr>
        <w:trPr>
          <w:trHeight w:val="607"/>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Signature: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Mathew P. Arens</w:t>
            </w:r>
          </w:p>
        </w:tc>
      </w:tr>
      <w:tr>
        <w:trPr>
          <w:trHeight w:val="210"/>
        </w:trPr>
        <w:tc>
          <w:tcPr>
            <w:tcW w:w="674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Mathew P. Arens</w:t>
            </w:r>
          </w:p>
        </w:tc>
      </w:tr>
      <w:tr>
        <w:trPr>
          <w:trHeight w:val="964"/>
        </w:trPr>
        <w:tc>
          <w:tcPr>
            <w:tcW w:w="6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6"/>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2024-02-14T17:30:12Z</dcterms:created>
  <dcterms:modified xsi:type="dcterms:W3CDTF">2024-02-14T17:30:12Z</dcterms:modified>
</cp:coreProperties>
</file>