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reported):June 16, 2022</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00" w:hanging="593"/>
        <w:spacing w:after="0"/>
        <w:tabs>
          <w:tab w:leader="none" w:pos="1600"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4" w:lineRule="exact"/>
        <w:rPr>
          <w:sz w:val="24"/>
          <w:szCs w:val="24"/>
          <w:color w:val="auto"/>
        </w:rPr>
      </w:pPr>
    </w:p>
    <w:p>
      <w:pPr>
        <w:jc w:val="cente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1308735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3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On June 16, 2022, SI-BONE,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2022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 total of 31,085,279 shares of the Company’s common stock were present or represented by proxy at the Annual Meeting, which represented approximately 92% of the Company’s 33,883,545 shares of common stock that were outstanding and entitled to vote at the meeting as of the record date of April 18, 2022.</w:t>
      </w:r>
    </w:p>
    <w:p>
      <w:pPr>
        <w:spacing w:after="0" w:line="203"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following is a brief description of each matter voted upon at the Annual Meeting, as well as the final tally of the number of votes cast: (a) for or withheld with respect to the election of directors; (b) for or against, as well as abstentions, for the ratification of the appointment of PricewaterhouseCoopers LLP as the Company’s independent registered public accounting firm for the fiscal year ending December 31, 2022; (c) for or against, as well as abstentions, for the advisory vote to approve executive compensation; and (d) for the frequency preferred by the stockholders (one year, two years, or three years), as well as abstentions, for the solicitation of approval on an advisory basis of the compensation paid to the Company’s named executive officers. Broker non-votes are also reported. A more complete description of each matter is set forth in the Company’s definitive proxy statement filed with the Securities and Exchange Commission on April 22, 2022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both"/>
        <w:ind w:left="1060" w:hanging="1052"/>
        <w:spacing w:after="0" w:line="258"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1:</w:t>
      </w:r>
      <w:r>
        <w:rPr>
          <w:sz w:val="20"/>
          <w:szCs w:val="20"/>
          <w:color w:val="auto"/>
        </w:rPr>
        <w:tab/>
      </w:r>
      <w:r>
        <w:rPr>
          <w:rFonts w:ascii="Times New Roman" w:cs="Times New Roman" w:eastAsia="Times New Roman" w:hAnsi="Times New Roman"/>
          <w:sz w:val="18"/>
          <w:szCs w:val="18"/>
          <w:color w:val="auto"/>
        </w:rPr>
        <w:t>Each of the three directors proposed by the Company for election was elected by the following votes to serve until SI-BONE’s 2025 Annual Meeting of Stockholders, or until his or her respective successor has been elected and qualified. The tabulation of votes on this matter was as follows:</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Withheld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Votes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E. Davis, Jr.</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22,258,157</w:t>
            </w:r>
          </w:p>
        </w:tc>
        <w:tc>
          <w:tcPr>
            <w:tcW w:w="14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6,218,772</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2,608,350</w:t>
            </w:r>
          </w:p>
        </w:tc>
        <w:tc>
          <w:tcPr>
            <w:tcW w:w="0" w:type="dxa"/>
            <w:vAlign w:val="bottom"/>
          </w:tcPr>
          <w:p>
            <w:pPr>
              <w:spacing w:after="0"/>
              <w:rPr>
                <w:sz w:val="1"/>
                <w:szCs w:val="1"/>
                <w:color w:val="auto"/>
              </w:rPr>
            </w:pP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Laura A. Francis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22,461,912</w:t>
            </w:r>
          </w:p>
        </w:tc>
        <w:tc>
          <w:tcPr>
            <w:tcW w:w="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6,015,017</w:t>
            </w: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2,608,350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Jeryl L. Hilleman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22,264,826</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6,212,103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2,608,350</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Proposal 2:</w:t>
      </w:r>
      <w:r>
        <w:rPr>
          <w:sz w:val="20"/>
          <w:szCs w:val="20"/>
          <w:color w:val="auto"/>
        </w:rPr>
        <w:tab/>
      </w: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w:t>
      </w:r>
    </w:p>
    <w:p>
      <w:pPr>
        <w:spacing w:after="0" w:line="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December 31, 2022, was ratified. The tabulation of votes on this matter was as follows:</w:t>
      </w:r>
    </w:p>
    <w:p>
      <w:pPr>
        <w:spacing w:after="0" w:line="266" w:lineRule="exact"/>
        <w:rPr>
          <w:sz w:val="20"/>
          <w:szCs w:val="20"/>
          <w:color w:val="auto"/>
        </w:rPr>
      </w:pPr>
    </w:p>
    <w:tbl>
      <w:tblPr>
        <w:tblLayout w:type="fixed"/>
        <w:tblInd w:w="116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190"/>
        </w:trPr>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9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17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30,826,650</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63,402</w:t>
            </w:r>
          </w:p>
        </w:tc>
        <w:tc>
          <w:tcPr>
            <w:tcW w:w="28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195,227</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bl>
    <w:p>
      <w:pPr>
        <w:spacing w:after="0" w:line="317" w:lineRule="exact"/>
        <w:rPr>
          <w:sz w:val="20"/>
          <w:szCs w:val="20"/>
          <w:color w:val="auto"/>
        </w:rPr>
      </w:pPr>
    </w:p>
    <w:p>
      <w:pPr>
        <w:ind w:left="1060" w:hanging="1052"/>
        <w:spacing w:after="0" w:line="266"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3:</w:t>
      </w:r>
      <w:r>
        <w:rPr>
          <w:sz w:val="20"/>
          <w:szCs w:val="20"/>
          <w:color w:val="auto"/>
        </w:rPr>
        <w:tab/>
      </w:r>
      <w:r>
        <w:rPr>
          <w:rFonts w:ascii="Times New Roman" w:cs="Times New Roman" w:eastAsia="Times New Roman" w:hAnsi="Times New Roman"/>
          <w:sz w:val="18"/>
          <w:szCs w:val="18"/>
          <w:color w:val="auto"/>
        </w:rPr>
        <w:t>The compensation of the Company’s named executive officers as disclosed in the Proxy Statement was approved on an advisory basis. The tabulation of votes on this matter was as follows:</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204"/>
        </w:trPr>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4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3"/>
        </w:trPr>
        <w:tc>
          <w:tcPr>
            <w:tcW w:w="17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17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27,368,699</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1,028,365</w:t>
            </w:r>
          </w:p>
        </w:tc>
        <w:tc>
          <w:tcPr>
            <w:tcW w:w="280" w:type="dxa"/>
            <w:vAlign w:val="bottom"/>
            <w:shd w:val="clear" w:color="auto" w:fill="CCEEFF"/>
          </w:tcPr>
          <w:p>
            <w:pPr>
              <w:spacing w:after="0"/>
              <w:rPr>
                <w:sz w:val="21"/>
                <w:szCs w:val="21"/>
                <w:color w:val="auto"/>
              </w:rPr>
            </w:pPr>
          </w:p>
        </w:tc>
        <w:tc>
          <w:tcPr>
            <w:tcW w:w="2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79,865</w:t>
            </w:r>
          </w:p>
        </w:tc>
        <w:tc>
          <w:tcPr>
            <w:tcW w:w="24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2,608,350</w:t>
            </w:r>
          </w:p>
        </w:tc>
      </w:tr>
    </w:tbl>
    <w:p>
      <w:pPr>
        <w:spacing w:after="0" w:line="304" w:lineRule="exact"/>
        <w:rPr>
          <w:sz w:val="20"/>
          <w:szCs w:val="20"/>
          <w:color w:val="auto"/>
        </w:rPr>
      </w:pPr>
    </w:p>
    <w:p>
      <w:pPr>
        <w:ind w:left="1060" w:hanging="1052"/>
        <w:spacing w:after="0" w:line="282"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4:</w:t>
      </w:r>
      <w:r>
        <w:rPr>
          <w:sz w:val="20"/>
          <w:szCs w:val="20"/>
          <w:color w:val="auto"/>
        </w:rPr>
        <w:tab/>
      </w:r>
      <w:r>
        <w:rPr>
          <w:rFonts w:ascii="Times New Roman" w:cs="Times New Roman" w:eastAsia="Times New Roman" w:hAnsi="Times New Roman"/>
          <w:sz w:val="18"/>
          <w:szCs w:val="18"/>
          <w:color w:val="auto"/>
        </w:rPr>
        <w:t>The stockholders approved, on a non-binding advisory basis, to hold future non-binding advisory votes to approve the Company’s executive compensation every year. The voting results were as follows: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Every one year</w:t>
            </w: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Every two years</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Every three years</w:t>
            </w:r>
          </w:p>
        </w:tc>
        <w:tc>
          <w:tcPr>
            <w:tcW w:w="16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
        </w:trPr>
        <w:tc>
          <w:tcPr>
            <w:tcW w:w="1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0"/>
        </w:trPr>
        <w:tc>
          <w:tcPr>
            <w:tcW w:w="17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27,946,939</w:t>
            </w: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23,187</w:t>
            </w:r>
          </w:p>
        </w:tc>
        <w:tc>
          <w:tcPr>
            <w:tcW w:w="28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436,470</w:t>
            </w:r>
          </w:p>
        </w:tc>
        <w:tc>
          <w:tcPr>
            <w:tcW w:w="320" w:type="dxa"/>
            <w:vAlign w:val="bottom"/>
            <w:shd w:val="clear" w:color="auto" w:fill="CCEEFF"/>
          </w:tcPr>
          <w:p>
            <w:pPr>
              <w:spacing w:after="0"/>
              <w:rPr>
                <w:sz w:val="21"/>
                <w:szCs w:val="21"/>
                <w:color w:val="auto"/>
              </w:rPr>
            </w:pPr>
          </w:p>
        </w:tc>
        <w:tc>
          <w:tcPr>
            <w:tcW w:w="16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70,333</w:t>
            </w:r>
          </w:p>
        </w:tc>
      </w:tr>
    </w:tbl>
    <w:p>
      <w:pPr>
        <w:spacing w:after="0" w:line="76" w:lineRule="exact"/>
        <w:rPr>
          <w:sz w:val="20"/>
          <w:szCs w:val="20"/>
          <w:color w:val="auto"/>
        </w:rPr>
      </w:pPr>
    </w:p>
    <w:p>
      <w:pPr>
        <w:jc w:val="both"/>
        <w:ind w:left="1060"/>
        <w:spacing w:after="0" w:line="246" w:lineRule="auto"/>
        <w:rPr>
          <w:sz w:val="20"/>
          <w:szCs w:val="20"/>
          <w:color w:val="auto"/>
        </w:rPr>
      </w:pPr>
      <w:r>
        <w:rPr>
          <w:rFonts w:ascii="Times New Roman" w:cs="Times New Roman" w:eastAsia="Times New Roman" w:hAnsi="Times New Roman"/>
          <w:sz w:val="18"/>
          <w:szCs w:val="18"/>
          <w:color w:val="auto"/>
        </w:rPr>
        <w:t>The Company has determined, in light of and consistent with the advisory vote of its stockholders as to the preferred frequency of stockholder advisory votes on executive compensation, to include a stockholder advisory vote on executive compensation in its annual meeting proxy materials in each of the next in each of the next six years. Under Section 14A(a)(2) of the Securities Exchange Act of 1934, as amended, the Company will hold the next non-binding advisory vote on the frequency of future stockholder advisory votes to approve the Company’s executive compensation no later than its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96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17, 2022</w:t>
            </w:r>
          </w:p>
        </w:tc>
        <w:tc>
          <w:tcPr>
            <w:tcW w:w="21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28"/>
        </w:trPr>
        <w:tc>
          <w:tcPr>
            <w:tcW w:w="6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bl>
    <w:p>
      <w:pPr>
        <w:ind w:left="54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2022-06-17T15:12:48Z</dcterms:created>
  <dcterms:modified xsi:type="dcterms:W3CDTF">2022-06-17T15:12:48Z</dcterms:modified>
</cp:coreProperties>
</file>