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Washington, D.C. 20549</w:t>
      </w:r>
    </w:p>
    <w:p>
      <w:pPr>
        <w:ind w:left="298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FORM 8-K</w:t>
      </w:r>
    </w:p>
    <w:p>
      <w:pPr>
        <w:spacing w:after="0" w:line="1" w:lineRule="exact"/>
        <w:rPr>
          <w:sz w:val="24"/>
          <w:szCs w:val="24"/>
          <w:color w:val="auto"/>
        </w:rPr>
      </w:pPr>
    </w:p>
    <w:p>
      <w:pPr>
        <w:ind w:left="298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5"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Date of report (Date of earliest event reported): July 24, 2019</w:t>
      </w:r>
    </w:p>
    <w:p>
      <w:pPr>
        <w:spacing w:after="0" w:line="8" w:lineRule="exact"/>
        <w:rPr>
          <w:sz w:val="24"/>
          <w:szCs w:val="24"/>
          <w:color w:val="auto"/>
        </w:rPr>
      </w:pPr>
    </w:p>
    <w:p>
      <w:pPr>
        <w:ind w:left="298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SI-BONE, INC.</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its charter)</w:t>
      </w:r>
    </w:p>
    <w:p>
      <w:pPr>
        <w:ind w:left="298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170" w:lineRule="exact"/>
        <w:rPr>
          <w:sz w:val="24"/>
          <w:szCs w:val="24"/>
          <w:color w:val="auto"/>
        </w:rPr>
      </w:pPr>
    </w:p>
    <w:tbl>
      <w:tblPr>
        <w:tblLayout w:type="fixed"/>
        <w:tblInd w:w="740" w:type="dxa"/>
        <w:tblCellMar>
          <w:top w:w="0" w:type="dxa"/>
          <w:left w:w="0" w:type="dxa"/>
          <w:bottom w:w="0" w:type="dxa"/>
          <w:right w:w="0" w:type="dxa"/>
        </w:tblCellMar>
      </w:tblPr>
      <w:tr>
        <w:trPr>
          <w:trHeight w:val="210"/>
        </w:trPr>
        <w:tc>
          <w:tcPr>
            <w:tcW w:w="2640" w:type="dxa"/>
            <w:vAlign w:val="bottom"/>
          </w:tcPr>
          <w:p>
            <w:pPr>
              <w:jc w:val="center"/>
              <w:ind w:right="579"/>
              <w:spacing w:after="0"/>
              <w:rPr>
                <w:sz w:val="20"/>
                <w:szCs w:val="20"/>
                <w:color w:val="auto"/>
              </w:rPr>
            </w:pPr>
            <w:r>
              <w:rPr>
                <w:rFonts w:ascii="Arial" w:cs="Arial" w:eastAsia="Arial" w:hAnsi="Arial"/>
                <w:sz w:val="16"/>
                <w:szCs w:val="16"/>
                <w:b w:val="1"/>
                <w:bCs w:val="1"/>
                <w:color w:val="auto"/>
                <w:w w:val="93"/>
              </w:rPr>
              <w:t>Delaware</w:t>
            </w:r>
          </w:p>
        </w:tc>
        <w:tc>
          <w:tcPr>
            <w:tcW w:w="478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001-38701</w:t>
            </w:r>
          </w:p>
        </w:tc>
        <w:tc>
          <w:tcPr>
            <w:tcW w:w="1980" w:type="dxa"/>
            <w:vAlign w:val="bottom"/>
          </w:tcPr>
          <w:p>
            <w:pPr>
              <w:jc w:val="right"/>
              <w:ind w:right="59"/>
              <w:spacing w:after="0"/>
              <w:rPr>
                <w:sz w:val="20"/>
                <w:szCs w:val="20"/>
                <w:color w:val="auto"/>
              </w:rPr>
            </w:pPr>
            <w:r>
              <w:rPr>
                <w:rFonts w:ascii="Arial" w:cs="Arial" w:eastAsia="Arial" w:hAnsi="Arial"/>
                <w:sz w:val="16"/>
                <w:szCs w:val="16"/>
                <w:b w:val="1"/>
                <w:bCs w:val="1"/>
                <w:color w:val="auto"/>
              </w:rPr>
              <w:t>26-2216351</w:t>
            </w:r>
          </w:p>
        </w:tc>
      </w:tr>
      <w:tr>
        <w:trPr>
          <w:trHeight w:val="253"/>
        </w:trPr>
        <w:tc>
          <w:tcPr>
            <w:tcW w:w="2640" w:type="dxa"/>
            <w:vAlign w:val="bottom"/>
          </w:tcPr>
          <w:p>
            <w:pPr>
              <w:jc w:val="center"/>
              <w:ind w:right="599"/>
              <w:spacing w:after="0"/>
              <w:rPr>
                <w:sz w:val="20"/>
                <w:szCs w:val="20"/>
                <w:color w:val="auto"/>
              </w:rPr>
            </w:pPr>
            <w:r>
              <w:rPr>
                <w:rFonts w:ascii="Arial" w:cs="Arial" w:eastAsia="Arial" w:hAnsi="Arial"/>
                <w:sz w:val="16"/>
                <w:szCs w:val="16"/>
                <w:color w:val="auto"/>
                <w:w w:val="93"/>
              </w:rPr>
              <w:t>(State or other jurisdiction of</w:t>
            </w:r>
          </w:p>
        </w:tc>
        <w:tc>
          <w:tcPr>
            <w:tcW w:w="4780" w:type="dxa"/>
            <w:vAlign w:val="bottom"/>
          </w:tcPr>
          <w:p>
            <w:pPr>
              <w:jc w:val="center"/>
              <w:ind w:right="119"/>
              <w:spacing w:after="0"/>
              <w:rPr>
                <w:sz w:val="20"/>
                <w:szCs w:val="20"/>
                <w:color w:val="auto"/>
              </w:rPr>
            </w:pPr>
            <w:r>
              <w:rPr>
                <w:rFonts w:ascii="Arial" w:cs="Arial" w:eastAsia="Arial" w:hAnsi="Arial"/>
                <w:sz w:val="16"/>
                <w:szCs w:val="16"/>
                <w:color w:val="auto"/>
                <w:w w:val="92"/>
              </w:rPr>
              <w:t>(Commission</w:t>
            </w:r>
          </w:p>
        </w:tc>
        <w:tc>
          <w:tcPr>
            <w:tcW w:w="1980" w:type="dxa"/>
            <w:vAlign w:val="bottom"/>
          </w:tcPr>
          <w:p>
            <w:pPr>
              <w:jc w:val="center"/>
              <w:ind w:left="699"/>
              <w:spacing w:after="0"/>
              <w:rPr>
                <w:sz w:val="20"/>
                <w:szCs w:val="20"/>
                <w:color w:val="auto"/>
              </w:rPr>
            </w:pPr>
            <w:r>
              <w:rPr>
                <w:rFonts w:ascii="Arial" w:cs="Arial" w:eastAsia="Arial" w:hAnsi="Arial"/>
                <w:sz w:val="16"/>
                <w:szCs w:val="16"/>
                <w:color w:val="auto"/>
                <w:w w:val="95"/>
              </w:rPr>
              <w:t>(I.R.S. Employer</w:t>
            </w:r>
          </w:p>
        </w:tc>
      </w:tr>
      <w:tr>
        <w:trPr>
          <w:trHeight w:val="206"/>
        </w:trPr>
        <w:tc>
          <w:tcPr>
            <w:tcW w:w="2640" w:type="dxa"/>
            <w:vAlign w:val="bottom"/>
          </w:tcPr>
          <w:p>
            <w:pPr>
              <w:jc w:val="center"/>
              <w:ind w:right="599"/>
              <w:spacing w:after="0"/>
              <w:rPr>
                <w:sz w:val="20"/>
                <w:szCs w:val="20"/>
                <w:color w:val="auto"/>
              </w:rPr>
            </w:pPr>
            <w:r>
              <w:rPr>
                <w:rFonts w:ascii="Arial" w:cs="Arial" w:eastAsia="Arial" w:hAnsi="Arial"/>
                <w:sz w:val="16"/>
                <w:szCs w:val="16"/>
                <w:color w:val="auto"/>
                <w:w w:val="94"/>
              </w:rPr>
              <w:t>incorporation or organization)</w:t>
            </w:r>
          </w:p>
        </w:tc>
        <w:tc>
          <w:tcPr>
            <w:tcW w:w="4780" w:type="dxa"/>
            <w:vAlign w:val="bottom"/>
          </w:tcPr>
          <w:p>
            <w:pPr>
              <w:jc w:val="center"/>
              <w:ind w:right="139"/>
              <w:spacing w:after="0"/>
              <w:rPr>
                <w:sz w:val="20"/>
                <w:szCs w:val="20"/>
                <w:color w:val="auto"/>
              </w:rPr>
            </w:pPr>
            <w:r>
              <w:rPr>
                <w:rFonts w:ascii="Arial" w:cs="Arial" w:eastAsia="Arial" w:hAnsi="Arial"/>
                <w:sz w:val="16"/>
                <w:szCs w:val="16"/>
                <w:color w:val="auto"/>
                <w:w w:val="95"/>
              </w:rPr>
              <w:t>File Number)</w:t>
            </w:r>
          </w:p>
        </w:tc>
        <w:tc>
          <w:tcPr>
            <w:tcW w:w="1980" w:type="dxa"/>
            <w:vAlign w:val="bottom"/>
          </w:tcPr>
          <w:p>
            <w:pPr>
              <w:jc w:val="center"/>
              <w:ind w:left="699"/>
              <w:spacing w:after="0"/>
              <w:rPr>
                <w:sz w:val="20"/>
                <w:szCs w:val="20"/>
                <w:color w:val="auto"/>
              </w:rPr>
            </w:pPr>
            <w:r>
              <w:rPr>
                <w:rFonts w:ascii="Arial" w:cs="Arial" w:eastAsia="Arial" w:hAnsi="Arial"/>
                <w:sz w:val="16"/>
                <w:szCs w:val="16"/>
                <w:color w:val="auto"/>
                <w:w w:val="96"/>
              </w:rPr>
              <w:t>Identification No.)</w:t>
            </w:r>
          </w:p>
        </w:tc>
      </w:tr>
      <w:tr>
        <w:trPr>
          <w:trHeight w:val="397"/>
        </w:trPr>
        <w:tc>
          <w:tcPr>
            <w:tcW w:w="2640" w:type="dxa"/>
            <w:vAlign w:val="bottom"/>
          </w:tcPr>
          <w:p>
            <w:pPr>
              <w:spacing w:after="0"/>
              <w:rPr>
                <w:sz w:val="24"/>
                <w:szCs w:val="24"/>
                <w:color w:val="auto"/>
              </w:rPr>
            </w:pPr>
          </w:p>
        </w:tc>
        <w:tc>
          <w:tcPr>
            <w:tcW w:w="47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471 El Camino Real</w:t>
            </w:r>
          </w:p>
        </w:tc>
        <w:tc>
          <w:tcPr>
            <w:tcW w:w="1980" w:type="dxa"/>
            <w:vAlign w:val="bottom"/>
          </w:tcPr>
          <w:p>
            <w:pPr>
              <w:spacing w:after="0"/>
              <w:rPr>
                <w:sz w:val="24"/>
                <w:szCs w:val="24"/>
                <w:color w:val="auto"/>
              </w:rPr>
            </w:pPr>
          </w:p>
        </w:tc>
      </w:tr>
      <w:tr>
        <w:trPr>
          <w:trHeight w:val="189"/>
        </w:trPr>
        <w:tc>
          <w:tcPr>
            <w:tcW w:w="2640" w:type="dxa"/>
            <w:vAlign w:val="bottom"/>
          </w:tcPr>
          <w:p>
            <w:pPr>
              <w:spacing w:after="0"/>
              <w:rPr>
                <w:sz w:val="16"/>
                <w:szCs w:val="16"/>
                <w:color w:val="auto"/>
              </w:rPr>
            </w:pPr>
          </w:p>
        </w:tc>
        <w:tc>
          <w:tcPr>
            <w:tcW w:w="478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Suite 101</w:t>
            </w:r>
          </w:p>
        </w:tc>
        <w:tc>
          <w:tcPr>
            <w:tcW w:w="1980" w:type="dxa"/>
            <w:vAlign w:val="bottom"/>
          </w:tcPr>
          <w:p>
            <w:pPr>
              <w:spacing w:after="0"/>
              <w:rPr>
                <w:sz w:val="16"/>
                <w:szCs w:val="16"/>
                <w:color w:val="auto"/>
              </w:rPr>
            </w:pPr>
          </w:p>
        </w:tc>
      </w:tr>
      <w:tr>
        <w:trPr>
          <w:trHeight w:val="193"/>
        </w:trPr>
        <w:tc>
          <w:tcPr>
            <w:tcW w:w="2640" w:type="dxa"/>
            <w:vAlign w:val="bottom"/>
          </w:tcPr>
          <w:p>
            <w:pPr>
              <w:spacing w:after="0"/>
              <w:rPr>
                <w:sz w:val="16"/>
                <w:szCs w:val="16"/>
                <w:color w:val="auto"/>
              </w:rPr>
            </w:pPr>
          </w:p>
        </w:tc>
        <w:tc>
          <w:tcPr>
            <w:tcW w:w="478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Santa Clara, CA 95050</w:t>
            </w:r>
          </w:p>
        </w:tc>
        <w:tc>
          <w:tcPr>
            <w:tcW w:w="1980" w:type="dxa"/>
            <w:vAlign w:val="bottom"/>
          </w:tcPr>
          <w:p>
            <w:pPr>
              <w:spacing w:after="0"/>
              <w:rPr>
                <w:sz w:val="16"/>
                <w:szCs w:val="16"/>
                <w:color w:val="auto"/>
              </w:rPr>
            </w:pPr>
          </w:p>
        </w:tc>
      </w:tr>
      <w:tr>
        <w:trPr>
          <w:trHeight w:val="206"/>
        </w:trPr>
        <w:tc>
          <w:tcPr>
            <w:tcW w:w="2640" w:type="dxa"/>
            <w:vAlign w:val="bottom"/>
          </w:tcPr>
          <w:p>
            <w:pPr>
              <w:spacing w:after="0"/>
              <w:rPr>
                <w:sz w:val="17"/>
                <w:szCs w:val="17"/>
                <w:color w:val="auto"/>
              </w:rPr>
            </w:pPr>
          </w:p>
        </w:tc>
        <w:tc>
          <w:tcPr>
            <w:tcW w:w="4780" w:type="dxa"/>
            <w:vAlign w:val="bottom"/>
          </w:tcPr>
          <w:p>
            <w:pPr>
              <w:jc w:val="center"/>
              <w:ind w:right="19"/>
              <w:spacing w:after="0"/>
              <w:rPr>
                <w:sz w:val="20"/>
                <w:szCs w:val="20"/>
                <w:color w:val="auto"/>
              </w:rPr>
            </w:pPr>
            <w:r>
              <w:rPr>
                <w:rFonts w:ascii="Arial" w:cs="Arial" w:eastAsia="Arial" w:hAnsi="Arial"/>
                <w:sz w:val="16"/>
                <w:szCs w:val="16"/>
                <w:color w:val="auto"/>
                <w:w w:val="93"/>
              </w:rPr>
              <w:t>(Address of principal executive offices) (Zip Code)</w:t>
            </w:r>
          </w:p>
        </w:tc>
        <w:tc>
          <w:tcPr>
            <w:tcW w:w="1980" w:type="dxa"/>
            <w:vAlign w:val="bottom"/>
          </w:tcPr>
          <w:p>
            <w:pPr>
              <w:spacing w:after="0"/>
              <w:rPr>
                <w:sz w:val="17"/>
                <w:szCs w:val="17"/>
                <w:color w:val="auto"/>
              </w:rPr>
            </w:pPr>
          </w:p>
        </w:tc>
      </w:tr>
      <w:tr>
        <w:trPr>
          <w:trHeight w:val="388"/>
        </w:trPr>
        <w:tc>
          <w:tcPr>
            <w:tcW w:w="2640" w:type="dxa"/>
            <w:vAlign w:val="bottom"/>
          </w:tcPr>
          <w:p>
            <w:pPr>
              <w:spacing w:after="0"/>
              <w:rPr>
                <w:sz w:val="24"/>
                <w:szCs w:val="24"/>
                <w:color w:val="auto"/>
              </w:rPr>
            </w:pPr>
          </w:p>
        </w:tc>
        <w:tc>
          <w:tcPr>
            <w:tcW w:w="47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(408) 207-0700</w:t>
            </w:r>
          </w:p>
        </w:tc>
        <w:tc>
          <w:tcPr>
            <w:tcW w:w="1980" w:type="dxa"/>
            <w:vAlign w:val="bottom"/>
          </w:tcPr>
          <w:p>
            <w:pPr>
              <w:spacing w:after="0"/>
              <w:rPr>
                <w:sz w:val="24"/>
                <w:szCs w:val="24"/>
                <w:color w:val="auto"/>
              </w:rPr>
            </w:pPr>
          </w:p>
        </w:tc>
      </w:tr>
      <w:tr>
        <w:trPr>
          <w:trHeight w:val="206"/>
        </w:trPr>
        <w:tc>
          <w:tcPr>
            <w:tcW w:w="2640" w:type="dxa"/>
            <w:vAlign w:val="bottom"/>
          </w:tcPr>
          <w:p>
            <w:pPr>
              <w:spacing w:after="0"/>
              <w:rPr>
                <w:sz w:val="17"/>
                <w:szCs w:val="17"/>
                <w:color w:val="auto"/>
              </w:rPr>
            </w:pPr>
          </w:p>
        </w:tc>
        <w:tc>
          <w:tcPr>
            <w:tcW w:w="4780" w:type="dxa"/>
            <w:vAlign w:val="bottom"/>
          </w:tcPr>
          <w:p>
            <w:pPr>
              <w:jc w:val="center"/>
              <w:ind w:right="39"/>
              <w:spacing w:after="0"/>
              <w:rPr>
                <w:sz w:val="20"/>
                <w:szCs w:val="20"/>
                <w:color w:val="auto"/>
              </w:rPr>
            </w:pPr>
            <w:r>
              <w:rPr>
                <w:rFonts w:ascii="Arial" w:cs="Arial" w:eastAsia="Arial" w:hAnsi="Arial"/>
                <w:sz w:val="16"/>
                <w:szCs w:val="16"/>
                <w:color w:val="auto"/>
                <w:w w:val="90"/>
              </w:rPr>
              <w:t>(Registrant’s telephone number, include area code)</w:t>
            </w:r>
          </w:p>
        </w:tc>
        <w:tc>
          <w:tcPr>
            <w:tcW w:w="1980" w:type="dxa"/>
            <w:vAlign w:val="bottom"/>
          </w:tcPr>
          <w:p>
            <w:pPr>
              <w:spacing w:after="0"/>
              <w:rPr>
                <w:sz w:val="17"/>
                <w:szCs w:val="17"/>
                <w:color w:val="auto"/>
              </w:rPr>
            </w:pPr>
          </w:p>
        </w:tc>
      </w:tr>
    </w:tbl>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N/A</w:t>
      </w:r>
    </w:p>
    <w:p>
      <w:pPr>
        <w:spacing w:after="0" w:line="23" w:lineRule="exact"/>
        <w:rPr>
          <w:sz w:val="24"/>
          <w:szCs w:val="24"/>
          <w:color w:val="auto"/>
        </w:rPr>
      </w:pPr>
    </w:p>
    <w:p>
      <w:pPr>
        <w:ind w:left="358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8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5" w:lineRule="exact"/>
        <w:rPr>
          <w:sz w:val="24"/>
          <w:szCs w:val="24"/>
          <w:color w:val="auto"/>
        </w:rPr>
      </w:pPr>
    </w:p>
    <w:tbl>
      <w:tblPr>
        <w:tblLayout w:type="fixed"/>
        <w:tblInd w:w="104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2600" w:type="dxa"/>
            <w:vAlign w:val="bottom"/>
            <w:gridSpan w:val="2"/>
          </w:tcPr>
          <w:p>
            <w:pPr>
              <w:jc w:val="center"/>
              <w:ind w:right="1400"/>
              <w:spacing w:after="0"/>
              <w:rPr>
                <w:sz w:val="20"/>
                <w:szCs w:val="20"/>
                <w:color w:val="auto"/>
              </w:rPr>
            </w:pPr>
            <w:r>
              <w:rPr>
                <w:rFonts w:ascii="Arial" w:cs="Arial" w:eastAsia="Arial" w:hAnsi="Arial"/>
                <w:sz w:val="16"/>
                <w:szCs w:val="16"/>
                <w:b w:val="1"/>
                <w:bCs w:val="1"/>
                <w:color w:val="auto"/>
                <w:w w:val="87"/>
              </w:rPr>
              <w:t>Title of each class</w:t>
            </w:r>
          </w:p>
        </w:tc>
        <w:tc>
          <w:tcPr>
            <w:tcW w:w="23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3560" w:type="dxa"/>
            <w:vAlign w:val="bottom"/>
            <w:gridSpan w:val="2"/>
          </w:tcPr>
          <w:p>
            <w:pPr>
              <w:jc w:val="center"/>
              <w:ind w:left="459"/>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71"/>
        </w:trPr>
        <w:tc>
          <w:tcPr>
            <w:tcW w:w="3440" w:type="dxa"/>
            <w:vAlign w:val="bottom"/>
            <w:gridSpan w:val="3"/>
          </w:tcPr>
          <w:p>
            <w:pPr>
              <w:jc w:val="center"/>
              <w:ind w:right="560"/>
              <w:spacing w:after="0"/>
              <w:rPr>
                <w:sz w:val="20"/>
                <w:szCs w:val="20"/>
                <w:color w:val="auto"/>
              </w:rPr>
            </w:pPr>
            <w:r>
              <w:rPr>
                <w:rFonts w:ascii="Arial" w:cs="Arial" w:eastAsia="Arial" w:hAnsi="Arial"/>
                <w:sz w:val="16"/>
                <w:szCs w:val="16"/>
                <w:color w:val="auto"/>
                <w:w w:val="90"/>
              </w:rPr>
              <w:t>Common Stock, par value $0.0001 per share</w:t>
            </w:r>
          </w:p>
        </w:tc>
        <w:tc>
          <w:tcPr>
            <w:tcW w:w="540" w:type="dxa"/>
            <w:vAlign w:val="bottom"/>
          </w:tcPr>
          <w:p>
            <w:pPr>
              <w:spacing w:after="0"/>
              <w:rPr>
                <w:sz w:val="23"/>
                <w:szCs w:val="23"/>
                <w:color w:val="auto"/>
              </w:rPr>
            </w:pPr>
          </w:p>
        </w:tc>
        <w:tc>
          <w:tcPr>
            <w:tcW w:w="1840" w:type="dxa"/>
            <w:vAlign w:val="bottom"/>
            <w:gridSpan w:val="2"/>
          </w:tcPr>
          <w:p>
            <w:pPr>
              <w:jc w:val="center"/>
              <w:ind w:right="540"/>
              <w:spacing w:after="0"/>
              <w:rPr>
                <w:sz w:val="20"/>
                <w:szCs w:val="20"/>
                <w:color w:val="auto"/>
              </w:rPr>
            </w:pPr>
            <w:r>
              <w:rPr>
                <w:rFonts w:ascii="Arial" w:cs="Arial" w:eastAsia="Arial" w:hAnsi="Arial"/>
                <w:sz w:val="16"/>
                <w:szCs w:val="16"/>
                <w:color w:val="auto"/>
              </w:rPr>
              <w:t>SIBN</w:t>
            </w:r>
          </w:p>
        </w:tc>
        <w:tc>
          <w:tcPr>
            <w:tcW w:w="540" w:type="dxa"/>
            <w:vAlign w:val="bottom"/>
          </w:tcPr>
          <w:p>
            <w:pPr>
              <w:spacing w:after="0"/>
              <w:rPr>
                <w:sz w:val="23"/>
                <w:szCs w:val="23"/>
                <w:color w:val="auto"/>
              </w:rPr>
            </w:pPr>
          </w:p>
        </w:tc>
        <w:tc>
          <w:tcPr>
            <w:tcW w:w="3020" w:type="dxa"/>
            <w:vAlign w:val="bottom"/>
          </w:tcPr>
          <w:p>
            <w:pPr>
              <w:jc w:val="center"/>
              <w:spacing w:after="0"/>
              <w:rPr>
                <w:sz w:val="20"/>
                <w:szCs w:val="20"/>
                <w:color w:val="auto"/>
              </w:rPr>
            </w:pPr>
            <w:r>
              <w:rPr>
                <w:rFonts w:ascii="Arial" w:cs="Arial" w:eastAsia="Arial" w:hAnsi="Arial"/>
                <w:sz w:val="16"/>
                <w:szCs w:val="16"/>
                <w:color w:val="auto"/>
                <w:w w:val="93"/>
              </w:rPr>
              <w:t>The Nasdaq Global Market</w:t>
            </w:r>
          </w:p>
        </w:tc>
      </w:tr>
    </w:tbl>
    <w:p>
      <w:pPr>
        <w:spacing w:after="0" w:line="21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95" w:lineRule="exact"/>
        <w:rPr>
          <w:sz w:val="24"/>
          <w:szCs w:val="24"/>
          <w:color w:val="auto"/>
        </w:rPr>
      </w:pPr>
    </w:p>
    <w:p>
      <w:pPr>
        <w:ind w:left="1080" w:hanging="478"/>
        <w:spacing w:after="0"/>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7" w:lineRule="exact"/>
        <w:rPr>
          <w:rFonts w:ascii="Arial" w:cs="Arial" w:eastAsia="Arial" w:hAnsi="Arial"/>
          <w:sz w:val="16"/>
          <w:szCs w:val="16"/>
          <w:color w:val="auto"/>
        </w:rPr>
      </w:pPr>
    </w:p>
    <w:p>
      <w:pPr>
        <w:ind w:left="1080" w:hanging="478"/>
        <w:spacing w:after="0"/>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Arial" w:cs="Arial" w:eastAsia="Arial" w:hAnsi="Arial"/>
          <w:sz w:val="16"/>
          <w:szCs w:val="16"/>
          <w:color w:val="auto"/>
        </w:rPr>
      </w:pPr>
    </w:p>
    <w:p>
      <w:pPr>
        <w:ind w:left="1080" w:hanging="478"/>
        <w:spacing w:after="0"/>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07" w:lineRule="exact"/>
        <w:rPr>
          <w:rFonts w:ascii="Arial" w:cs="Arial" w:eastAsia="Arial" w:hAnsi="Arial"/>
          <w:sz w:val="16"/>
          <w:szCs w:val="16"/>
          <w:color w:val="auto"/>
        </w:rPr>
      </w:pPr>
    </w:p>
    <w:p>
      <w:pPr>
        <w:ind w:left="1080" w:hanging="478"/>
        <w:spacing w:after="0"/>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3" w:lineRule="exact"/>
        <w:rPr>
          <w:sz w:val="24"/>
          <w:szCs w:val="24"/>
          <w:color w:val="auto"/>
        </w:rPr>
      </w:pPr>
    </w:p>
    <w:p>
      <w:pPr>
        <w:ind w:left="660"/>
        <w:spacing w:after="0" w:line="184" w:lineRule="exact"/>
        <w:tabs>
          <w:tab w:leader="none" w:pos="260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1" w:lineRule="exact"/>
        <w:rPr>
          <w:sz w:val="24"/>
          <w:szCs w:val="24"/>
          <w:color w:val="auto"/>
        </w:rPr>
      </w:pPr>
    </w:p>
    <w:p>
      <w:pPr>
        <w:ind w:right="10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60"/>
          </w:cols>
          <w:pgMar w:left="240" w:top="684"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29"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On August 6, 2019, SI-BONE, Inc. (the "Company") issued a press release (the “Press Release”) announcing results for the quarter ended June 30, 2019. A copy of the Press Release is attached as Exhibit 99.1 to this current report on Form 8-K and is incorporated by reference herein.</w:t>
      </w:r>
    </w:p>
    <w:p>
      <w:pPr>
        <w:spacing w:after="0" w:line="14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On July 24, 2019, the Company appointed Laura A. Francis, the Company’s Chief Financial Officer, also as the Company’s Chief Operating Officer, effective July 25, 2019. In connection with this appointment, on July 24, 2019, the Company’s Compensation Committee approved changes to Ms. Francis’s compensation.</w:t>
      </w:r>
    </w:p>
    <w:p>
      <w:pPr>
        <w:spacing w:after="0" w:line="18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Ms. Francis, age 52, has served as the Company’s Chief Financial Officer since May 2015. Prior to joining the Company, Ms. Francis was the Chief Financial Officer for Auxogyn, Inc., a women’s health company, from December 2012 to September 2014. From September 2004 to December 2012, Ms. Francis served as Vice President of Finance, Chief Financial Officer and Treasurer for Promega Corporation, a life science reagent company. From March 2002 to September 2004, Ms. Francis served as the Chief Financial Officer of Bruker BioSciences Corporation, a public life science instrumentation company. From May 2001 to March 2002, Ms. Francis served as Chief Financial Officer and Chief Operating Officer of Nutra-Park Inc., an agricultural biotechnology company. From April 1999 to May 2001, Ms. Francis was Chief Financial Officer of Hypercosm, Inc., a software company. From October 1995 to April 1999, Ms. Francis was an engagement manager with McKinsey &amp; Company, a consulting firm. Early in her career, Ms. Francis was an audit manager with Coopers &amp; Lybrand, an accounting firm. Since January 2019, Ms. Francis has served as a member of the board of directors of ShockWave Medical, Inc, a medical device company. Ms. Francis received a B.B.A. from the University of Wisconsin and an M.B.A. from Stanford University.</w:t>
      </w:r>
    </w:p>
    <w:p>
      <w:pPr>
        <w:spacing w:after="0" w:line="16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connection with her appointment as Chief Operating Officer, in addition to her role as Chief Financial Officer, the Compensation Committee approved changes to Ms. Francis’s compensation. As Chief Financial Officer and Chief Operating Officer, Ms. Francis’s base salary will be $375,000 per year. Assuming that the Company achieves certain operational targets established by the Compensation Committee for the Company’s corporate bonus plan, Ms. Francis will be eligible to earn up to 50% of her base salary as an incentive payment, which will be prorated for 2019. In connection with Ms. Francis’s appointment as Chief Operating Officer, the Compensation Committee approved the grant to Ms. Francis of a restricted stock unit which will settle into 20,000 shares of the Company’s common stock, subject to vesting over a four-year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120" w:type="dxa"/>
            <w:vAlign w:val="bottom"/>
          </w:tcPr>
          <w:p>
            <w:pPr>
              <w:ind w:left="18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7120" w:type="dxa"/>
            <w:vAlign w:val="bottom"/>
            <w:tcBorders>
              <w:bottom w:val="single" w:sz="8" w:color="auto"/>
            </w:tcBorders>
          </w:tcPr>
          <w:p>
            <w:pPr>
              <w:spacing w:after="0"/>
              <w:rPr>
                <w:sz w:val="2"/>
                <w:szCs w:val="2"/>
                <w:color w:val="auto"/>
              </w:rPr>
            </w:pPr>
          </w:p>
        </w:tc>
      </w:tr>
      <w:tr>
        <w:trPr>
          <w:trHeight w:val="466"/>
        </w:trPr>
        <w:tc>
          <w:tcPr>
            <w:tcW w:w="960" w:type="dxa"/>
            <w:vAlign w:val="bottom"/>
          </w:tcPr>
          <w:p>
            <w:pPr>
              <w:ind w:left="40"/>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Borders>
              <w:bottom w:val="single" w:sz="8" w:color="0000FF"/>
            </w:tcBorders>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Press release dated August 6, 2019</w:t>
              </w:r>
            </w:hyperlink>
          </w:p>
        </w:tc>
        <w:tc>
          <w:tcPr>
            <w:tcW w:w="71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SI-BONE, INC.</w:t>
      </w:r>
    </w:p>
    <w:p>
      <w:pPr>
        <w:spacing w:after="0" w:line="337" w:lineRule="exact"/>
        <w:rPr>
          <w:sz w:val="20"/>
          <w:szCs w:val="20"/>
          <w:color w:val="auto"/>
        </w:rPr>
      </w:pPr>
    </w:p>
    <w:p>
      <w:pPr>
        <w:ind w:left="40"/>
        <w:spacing w:after="0"/>
        <w:tabs>
          <w:tab w:leader="none" w:pos="940" w:val="left"/>
          <w:tab w:leader="none" w:pos="4820" w:val="left"/>
          <w:tab w:leader="none" w:pos="5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31750</wp:posOffset>
            </wp:positionV>
            <wp:extent cx="37649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Laura A. Francis</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Operating Officer and Chief Financial Officer</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20"/>
          </w:cols>
          <w:pgMar w:left="240" w:top="580" w:right="9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5930900</wp:posOffset>
            </wp:positionH>
            <wp:positionV relativeFrom="paragraph">
              <wp:posOffset>17145</wp:posOffset>
            </wp:positionV>
            <wp:extent cx="1320800" cy="754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080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SI-BONE, Inc. Reports Second Quarter 2019 Financial Results</w:t>
      </w:r>
    </w:p>
    <w:p>
      <w:pPr>
        <w:spacing w:after="0" w:line="243" w:lineRule="exact"/>
        <w:rPr>
          <w:sz w:val="20"/>
          <w:szCs w:val="20"/>
          <w:color w:val="auto"/>
        </w:rPr>
      </w:pPr>
    </w:p>
    <w:p>
      <w:pPr>
        <w:spacing w:after="0" w:line="323" w:lineRule="auto"/>
        <w:rPr>
          <w:sz w:val="20"/>
          <w:szCs w:val="20"/>
          <w:color w:val="auto"/>
        </w:rPr>
      </w:pPr>
      <w:r>
        <w:rPr>
          <w:rFonts w:ascii="Arial" w:cs="Arial" w:eastAsia="Arial" w:hAnsi="Arial"/>
          <w:sz w:val="20"/>
          <w:szCs w:val="20"/>
          <w:b w:val="1"/>
          <w:bCs w:val="1"/>
          <w:color w:val="auto"/>
        </w:rPr>
        <w:t xml:space="preserve">SANTA CLARA, Calif. </w:t>
      </w:r>
      <w:r>
        <w:rPr>
          <w:rFonts w:ascii="Arial" w:cs="Arial" w:eastAsia="Arial" w:hAnsi="Arial"/>
          <w:sz w:val="20"/>
          <w:szCs w:val="20"/>
          <w:color w:val="auto"/>
        </w:rPr>
        <w:t>August 6, 2019 - SI-BONE, Inc. (Nasdaq:SIBN), a medical device company dedicated to solving musculoskeletal</w:t>
      </w:r>
      <w:r>
        <w:rPr>
          <w:rFonts w:ascii="Arial" w:cs="Arial" w:eastAsia="Arial" w:hAnsi="Arial"/>
          <w:sz w:val="20"/>
          <w:szCs w:val="20"/>
          <w:b w:val="1"/>
          <w:bCs w:val="1"/>
          <w:color w:val="auto"/>
        </w:rPr>
        <w:t xml:space="preserve"> </w:t>
      </w:r>
      <w:r>
        <w:rPr>
          <w:rFonts w:ascii="Arial" w:cs="Arial" w:eastAsia="Arial" w:hAnsi="Arial"/>
          <w:sz w:val="20"/>
          <w:szCs w:val="20"/>
          <w:color w:val="auto"/>
        </w:rPr>
        <w:t>disorders of the sacropelvic anatomy, today reported financial results for the quarter ended June 30, 2019.</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Highlights</w:t>
      </w:r>
    </w:p>
    <w:p>
      <w:pPr>
        <w:spacing w:after="0" w:line="60"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Revenue of $16.3 million for the second quarter 2019, representing a 19% increase over second quarter 2018</w:t>
      </w:r>
    </w:p>
    <w:p>
      <w:pPr>
        <w:spacing w:after="0" w:line="107"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color w:val="auto"/>
        </w:rPr>
        <w:t>U.S. revenue of $15.0 million for the second quarter 2019, representing a 24% increase over second quarter 2018</w:t>
      </w:r>
    </w:p>
    <w:p>
      <w:pPr>
        <w:spacing w:after="0" w:line="107" w:lineRule="exact"/>
        <w:rPr>
          <w:rFonts w:ascii="Arial" w:cs="Arial" w:eastAsia="Arial" w:hAnsi="Arial"/>
          <w:sz w:val="20"/>
          <w:szCs w:val="20"/>
          <w:color w:val="auto"/>
        </w:rPr>
      </w:pPr>
    </w:p>
    <w:p>
      <w:pPr>
        <w:ind w:left="340" w:hanging="332"/>
        <w:spacing w:after="0"/>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color w:val="auto"/>
        </w:rPr>
        <w:t>Surpassed 40,000 iFuse procedures performed by more than 1,900 surgeons worldwide</w:t>
      </w:r>
    </w:p>
    <w:p>
      <w:pPr>
        <w:spacing w:after="0" w:line="107" w:lineRule="exact"/>
        <w:rPr>
          <w:rFonts w:ascii="Arial" w:cs="Arial" w:eastAsia="Arial" w:hAnsi="Arial"/>
          <w:sz w:val="20"/>
          <w:szCs w:val="20"/>
          <w:color w:val="auto"/>
        </w:rPr>
      </w:pPr>
    </w:p>
    <w:p>
      <w:pPr>
        <w:ind w:left="340" w:hanging="332"/>
        <w:spacing w:after="0" w:line="352" w:lineRule="auto"/>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color w:val="auto"/>
        </w:rPr>
        <w:t>Submitted for publication 5-year follow-up results from LOIS, a long-term prospective study, demonstrating durability of the clinical benefits related to the iFuse procedure</w:t>
      </w:r>
    </w:p>
    <w:p>
      <w:pPr>
        <w:ind w:left="340" w:hanging="332"/>
        <w:spacing w:after="0" w:line="352" w:lineRule="auto"/>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color w:val="auto"/>
        </w:rPr>
        <w:t>Launched iFuse Bedrock technology in the United States, encompassing fusion to augment stabilization of the sacroiliac joint in long-construct procedures</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20"/>
          <w:szCs w:val="20"/>
          <w:color w:val="auto"/>
        </w:rPr>
        <w:t>Welcomed Mark Foley and Heyward Donigan to the board of directors</w:t>
      </w:r>
    </w:p>
    <w:p>
      <w:pPr>
        <w:spacing w:after="0" w:line="107"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20"/>
          <w:szCs w:val="20"/>
          <w:color w:val="auto"/>
        </w:rPr>
      </w:pPr>
      <w:r>
        <w:rPr>
          <w:rFonts w:ascii="Arial" w:cs="Arial" w:eastAsia="Arial" w:hAnsi="Arial"/>
          <w:sz w:val="20"/>
          <w:szCs w:val="20"/>
          <w:color w:val="auto"/>
        </w:rPr>
        <w:t>Promoted Laura Francis to Chief Operating Officer in addition to her current responsibilities as Chief Financial Officer</w:t>
      </w:r>
    </w:p>
    <w:p>
      <w:pPr>
        <w:spacing w:after="0" w:line="391"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auto"/>
        </w:rPr>
        <w:t>“We are pleased with our second quarter results which reflect continued commercial momentum, particularly in the U.S., as we expand our footprint for providing differentiated surgical devices in the sacropelvic space,” said Jeffrey Dunn, President, Chief Executive Officer, and Chairman. “During the quarter, we made meaningful investments in our sales force and surgeon training, which we believe will enable us to further capitalize on exclusive payor coverage decisions.”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2019 Financial Results</w:t>
      </w:r>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20"/>
          <w:szCs w:val="20"/>
          <w:color w:val="auto"/>
        </w:rPr>
        <w:t>Revenue was $16.3 million in the second quarter 2019, a 19% increase from $13.7 million in the corresponding prior year period. U.S. revenue for the second quarter 2019 was $15.0 million, an increase of 24% from the corresponding prior year period primarily driven by growth of domestic case volumes. Our international revenue was $1.3 million in the second quarter 2019.</w:t>
      </w:r>
    </w:p>
    <w:p>
      <w:pPr>
        <w:spacing w:after="0" w:line="187"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Gross margin was 90% for the second quarter 2019, as compared to 91% in the corresponding prior year period. The change in gross margin was due to an increase in personnel in operations to support the growth of the business.</w:t>
      </w:r>
    </w:p>
    <w:p>
      <w:pPr>
        <w:spacing w:after="0" w:line="176"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auto"/>
        </w:rPr>
        <w:t>Operating expenses were $22.9 million in the second quarter 2019, as compared to $14.2 million in the corresponding prior year period, an increase of 61%. The increase in operating expense was primarily driven by increased sales hiring, surgeon training, and marketing activity. In addition, we incurred higher general and administrative expenses from new public company costs and increased stock-based compensation expenses.</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Operating loss was $8.1 million in the second quarter 2019, as compared to $1.7 million in the corresponding prior year period.</w:t>
      </w:r>
    </w:p>
    <w:p>
      <w:pPr>
        <w:spacing w:after="0" w:line="283" w:lineRule="exact"/>
        <w:rPr>
          <w:sz w:val="20"/>
          <w:szCs w:val="20"/>
          <w:color w:val="auto"/>
        </w:rPr>
      </w:pPr>
    </w:p>
    <w:p>
      <w:pPr>
        <w:jc w:val="both"/>
        <w:ind w:right="20"/>
        <w:spacing w:after="0" w:line="317" w:lineRule="auto"/>
        <w:rPr>
          <w:sz w:val="20"/>
          <w:szCs w:val="20"/>
          <w:color w:val="auto"/>
        </w:rPr>
      </w:pPr>
      <w:r>
        <w:rPr>
          <w:rFonts w:ascii="Arial" w:cs="Arial" w:eastAsia="Arial" w:hAnsi="Arial"/>
          <w:sz w:val="20"/>
          <w:szCs w:val="20"/>
          <w:color w:val="auto"/>
        </w:rPr>
        <w:t>Net loss was $8.7 million, or $0.35 per diluted share for the second quarter 2019, as compared to $3.1 million, or $0.87 per diluted share in the corresponding prior year period.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Cash and marketable securities were $108.5 million as of June 30, 2019.</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2019 Financial Guidance</w:t>
      </w:r>
    </w:p>
    <w:p>
      <w:pPr>
        <w:spacing w:after="0" w:line="262"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SI-BONE continues to expect full year 2019 revenue to be in the range of $65.0 million to $66.5 million, representing growth of 17-20% over full year 2018 revenue.</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Webcast and Conference Call Information</w:t>
      </w:r>
    </w:p>
    <w:p>
      <w:pPr>
        <w:spacing w:after="0" w:line="316"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 xml:space="preserve">SI-BONE will host a conference call to discuss the second quarter 2019 financial results after market close on Tuesday, August 6, 2019 at 4:30 P.M. Eastern Time. The conference call can be accessed live over the phone </w:t>
      </w:r>
      <w:r>
        <w:rPr>
          <w:rFonts w:ascii="Arial" w:cs="Arial" w:eastAsia="Arial" w:hAnsi="Arial"/>
          <w:sz w:val="19"/>
          <w:szCs w:val="19"/>
          <w:color w:val="222222"/>
        </w:rPr>
        <w:t>(866)</w:t>
      </w:r>
      <w:r>
        <w:rPr>
          <w:rFonts w:ascii="Arial" w:cs="Arial" w:eastAsia="Arial" w:hAnsi="Arial"/>
          <w:sz w:val="19"/>
          <w:szCs w:val="19"/>
          <w:color w:val="auto"/>
        </w:rPr>
        <w:t xml:space="preserve"> 470-1968 for domestic callers or </w:t>
      </w:r>
      <w:r>
        <w:rPr>
          <w:rFonts w:ascii="Arial" w:cs="Arial" w:eastAsia="Arial" w:hAnsi="Arial"/>
          <w:sz w:val="19"/>
          <w:szCs w:val="19"/>
          <w:color w:val="222222"/>
        </w:rPr>
        <w:t>(409) 217-8248</w:t>
      </w:r>
      <w:r>
        <w:rPr>
          <w:rFonts w:ascii="Arial" w:cs="Arial" w:eastAsia="Arial" w:hAnsi="Arial"/>
          <w:sz w:val="19"/>
          <w:szCs w:val="19"/>
          <w:color w:val="auto"/>
        </w:rPr>
        <w:t xml:space="preserve"> for international callers, using conference ID: 5682385. The webcast can be accessed at </w:t>
      </w:r>
      <w:r>
        <w:rPr>
          <w:rFonts w:ascii="Arial" w:cs="Arial" w:eastAsia="Arial" w:hAnsi="Arial"/>
          <w:sz w:val="19"/>
          <w:szCs w:val="19"/>
          <w:u w:val="single" w:color="auto"/>
          <w:color w:val="0000EE"/>
        </w:rPr>
        <w:t>https://investor.si-bone.com</w:t>
      </w:r>
      <w:r>
        <w:rPr>
          <w:rFonts w:ascii="Arial" w:cs="Arial" w:eastAsia="Arial" w:hAnsi="Arial"/>
          <w:sz w:val="19"/>
          <w:szCs w:val="19"/>
          <w:color w:val="auto"/>
        </w:rPr>
        <w:t>.</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SI-BONE, Inc.</w:t>
      </w:r>
    </w:p>
    <w:p>
      <w:pPr>
        <w:spacing w:after="0" w:line="343" w:lineRule="exact"/>
        <w:rPr>
          <w:sz w:val="20"/>
          <w:szCs w:val="20"/>
          <w:color w:val="auto"/>
        </w:rPr>
      </w:pPr>
    </w:p>
    <w:p>
      <w:pPr>
        <w:jc w:val="both"/>
        <w:spacing w:after="0" w:line="279" w:lineRule="exact"/>
        <w:rPr>
          <w:sz w:val="20"/>
          <w:szCs w:val="20"/>
          <w:color w:val="auto"/>
        </w:rPr>
      </w:pPr>
      <w:r>
        <w:rPr>
          <w:rFonts w:ascii="Arial" w:cs="Arial" w:eastAsia="Arial" w:hAnsi="Arial"/>
          <w:sz w:val="20"/>
          <w:szCs w:val="20"/>
          <w:color w:val="auto"/>
        </w:rPr>
        <w:t>SI</w:t>
      </w:r>
      <w:r>
        <w:rPr>
          <w:rFonts w:ascii="MS PGothic" w:cs="MS PGothic" w:eastAsia="MS PGothic" w:hAnsi="MS PGothic"/>
          <w:sz w:val="20"/>
          <w:szCs w:val="20"/>
          <w:color w:val="auto"/>
        </w:rPr>
        <w:t>‐</w:t>
      </w:r>
      <w:r>
        <w:rPr>
          <w:rFonts w:ascii="Arial" w:cs="Arial" w:eastAsia="Arial" w:hAnsi="Arial"/>
          <w:sz w:val="20"/>
          <w:szCs w:val="20"/>
          <w:color w:val="auto"/>
        </w:rPr>
        <w:t>BONE is a medical device company that pioneered the iFuse Implant System, a minimally invasive surgical system for fusion of the sacroiliac joint to treat sacroiliac joint dysfunction. The SI joint is the last major joint with a clinically proven surgical treatment. The iFuse Implant, commercially available since 2009, is the only SI joint fusion device supported by multiple prospective clinical studies showing improved pain, patient function and quality of life resulting from treatment. There are over 70 peer</w:t>
      </w:r>
      <w:r>
        <w:rPr>
          <w:rFonts w:ascii="MS PGothic" w:cs="MS PGothic" w:eastAsia="MS PGothic" w:hAnsi="MS PGothic"/>
          <w:sz w:val="20"/>
          <w:szCs w:val="20"/>
          <w:color w:val="auto"/>
        </w:rPr>
        <w:t>‐</w:t>
      </w:r>
      <w:r>
        <w:rPr>
          <w:rFonts w:ascii="Arial" w:cs="Arial" w:eastAsia="Arial" w:hAnsi="Arial"/>
          <w:sz w:val="20"/>
          <w:szCs w:val="20"/>
          <w:color w:val="auto"/>
        </w:rPr>
        <w:t>reviewed publications supporting the safety, durable effectiveness, and biomechanical and economic benefits unique to iFuse (</w:t>
      </w:r>
      <w:r>
        <w:rPr>
          <w:rFonts w:ascii="Arial" w:cs="Arial" w:eastAsia="Arial" w:hAnsi="Arial"/>
          <w:sz w:val="20"/>
          <w:szCs w:val="20"/>
          <w:u w:val="single" w:color="auto"/>
          <w:color w:val="0000EE"/>
        </w:rPr>
        <w:t>www.si-bone.com/results</w:t>
      </w:r>
      <w:r>
        <w:rPr>
          <w:rFonts w:ascii="Arial" w:cs="Arial" w:eastAsia="Arial" w:hAnsi="Arial"/>
          <w:sz w:val="20"/>
          <w:szCs w:val="20"/>
          <w:color w:val="auto"/>
        </w:rPr>
        <w:t>). This body of evidence has enabled multiple government and private insurance payors to establish coverage of minimally invasive SI joint fusion exclusively when performed with the iFuse Implant System.</w:t>
      </w:r>
    </w:p>
    <w:p>
      <w:pPr>
        <w:spacing w:after="0" w:line="317"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The iFuse Implant System is intended for sacroiliac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6 months. The iFuse Implant System is also intended for sacroiliac fusion to augment immobilization and stabilization of the sacroiliac joint in skeletally mature patients undergoing sacropelvic fixation as part of a lumbar or thoracolumbar fusion. There are potential risks associated with the iFuse Implant System. It may not be appropriate for all patients and all patients may not benefit.</w:t>
      </w:r>
    </w:p>
    <w:p>
      <w:pPr>
        <w:sectPr>
          <w:pgSz w:w="11900" w:h="16838" w:orient="portrait"/>
          <w:cols w:equalWidth="0" w:num="1">
            <w:col w:w="11420"/>
          </w:cols>
          <w:pgMar w:left="240" w:top="609"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Forward Looking Statements</w:t>
      </w:r>
    </w:p>
    <w:p>
      <w:pPr>
        <w:spacing w:after="0" w:line="343" w:lineRule="exact"/>
        <w:rPr>
          <w:sz w:val="20"/>
          <w:szCs w:val="20"/>
          <w:color w:val="auto"/>
        </w:rPr>
      </w:pPr>
    </w:p>
    <w:p>
      <w:pPr>
        <w:jc w:val="both"/>
        <w:spacing w:after="0" w:line="335" w:lineRule="auto"/>
        <w:rPr>
          <w:sz w:val="20"/>
          <w:szCs w:val="20"/>
          <w:color w:val="auto"/>
        </w:rPr>
      </w:pPr>
      <w:r>
        <w:rPr>
          <w:rFonts w:ascii="Arial" w:cs="Arial" w:eastAsia="Arial" w:hAnsi="Arial"/>
          <w:sz w:val="18"/>
          <w:szCs w:val="18"/>
          <w:color w:val="auto"/>
        </w:rPr>
        <w:t>The statements in this press release regarding SI-BONE’s continued growth and financial outlook are “forward-looking” statements. These forward-looking statements are based on SI-BONE’s current expectations and inherently involve significant risks and uncertainties. These statements and risks include SI-BONE’s ability to expand its sales and marketing capabilities and increase surgeon demand for iFuse, increase revenue through new products, obtain favorable coverage and reimbursement determinations from third-party payors, and fulfill its projections about 2019 full year revenue. Actual results and the timing of events could differ materially from those anticipated in such forward-looking statements as a result of the risks and uncertainties, which are described in SI-BONE’s filings on Form 10-K and Form 10-Q and SI-BONE’s other filings with the Securities and Exchange Commission (SEC) available at the SEC’s Internet site (</w:t>
      </w:r>
      <w:r>
        <w:rPr>
          <w:rFonts w:ascii="Arial" w:cs="Arial" w:eastAsia="Arial" w:hAnsi="Arial"/>
          <w:sz w:val="18"/>
          <w:szCs w:val="18"/>
          <w:u w:val="single" w:color="auto"/>
          <w:color w:val="0000EE"/>
        </w:rPr>
        <w:t>www.sec.gov</w:t>
      </w:r>
      <w:r>
        <w:rPr>
          <w:rFonts w:ascii="Arial" w:cs="Arial" w:eastAsia="Arial" w:hAnsi="Arial"/>
          <w:sz w:val="18"/>
          <w:szCs w:val="18"/>
          <w:color w:val="auto"/>
        </w:rPr>
        <w:t>). SI-BONE does not undertake any obligation to update forward-looking statements and expressly disclaims any obligations or undertaking to release publicly any updates or revisions to any forward-looking statements contained herein.</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Lynn Lewis or Carrie Mendivil</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investors@SI-BONE.com</w:t>
      </w:r>
    </w:p>
    <w:p>
      <w:pPr>
        <w:sectPr>
          <w:pgSz w:w="11900" w:h="16838" w:orient="portrait"/>
          <w:cols w:equalWidth="0" w:num="1">
            <w:col w:w="11420"/>
          </w:cols>
          <w:pgMar w:left="240" w:top="60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June 30,</w:t>
            </w:r>
          </w:p>
        </w:tc>
        <w:tc>
          <w:tcPr>
            <w:tcW w:w="260" w:type="dxa"/>
            <w:vAlign w:val="bottom"/>
          </w:tcPr>
          <w:p>
            <w:pPr>
              <w:spacing w:after="0"/>
              <w:rPr>
                <w:sz w:val="20"/>
                <w:szCs w:val="20"/>
                <w:color w:val="auto"/>
              </w:rPr>
            </w:pPr>
          </w:p>
        </w:tc>
        <w:tc>
          <w:tcPr>
            <w:tcW w:w="268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7"/>
        </w:trPr>
        <w:tc>
          <w:tcPr>
            <w:tcW w:w="5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27"/>
        </w:trPr>
        <w:tc>
          <w:tcPr>
            <w:tcW w:w="5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16,317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13,663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31,308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26,375</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3,114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2,230</w:t>
            </w:r>
          </w:p>
        </w:tc>
      </w:tr>
      <w:tr>
        <w:trPr>
          <w:trHeight w:val="27"/>
        </w:trPr>
        <w:tc>
          <w:tcPr>
            <w:tcW w:w="5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5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14,729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12,481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28,194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24,145</w:t>
            </w:r>
          </w:p>
        </w:tc>
      </w:tr>
      <w:tr>
        <w:trPr>
          <w:trHeight w:val="237"/>
        </w:trPr>
        <w:tc>
          <w:tcPr>
            <w:tcW w:w="5020" w:type="dxa"/>
            <w:vAlign w:val="bottom"/>
          </w:tcPr>
          <w:p>
            <w:pPr>
              <w:ind w:left="260"/>
              <w:spacing w:after="0"/>
              <w:rPr>
                <w:sz w:val="20"/>
                <w:szCs w:val="20"/>
                <w:color w:val="auto"/>
              </w:rPr>
            </w:pPr>
            <w:r>
              <w:rPr>
                <w:rFonts w:ascii="Arial" w:cs="Arial" w:eastAsia="Arial" w:hAnsi="Arial"/>
                <w:sz w:val="18"/>
                <w:szCs w:val="18"/>
                <w:color w:val="auto"/>
              </w:rPr>
              <w:t>Gross margin</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351"/>
        </w:trPr>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16,727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10,318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32,542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21,285</w:t>
            </w:r>
          </w:p>
        </w:tc>
      </w:tr>
      <w:tr>
        <w:trPr>
          <w:trHeight w:val="27"/>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2,502</w:t>
            </w:r>
          </w:p>
        </w:tc>
      </w:tr>
      <w:tr>
        <w:trPr>
          <w:trHeight w:val="243"/>
        </w:trPr>
        <w:tc>
          <w:tcPr>
            <w:tcW w:w="502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4,194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2,564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8,960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4,972</w:t>
            </w:r>
          </w:p>
        </w:tc>
      </w:tr>
      <w:tr>
        <w:trPr>
          <w:trHeight w:val="27"/>
        </w:trPr>
        <w:tc>
          <w:tcPr>
            <w:tcW w:w="5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22,867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14,178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45,131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28,759</w:t>
            </w:r>
          </w:p>
        </w:tc>
      </w:tr>
      <w:tr>
        <w:trPr>
          <w:trHeight w:val="318"/>
        </w:trPr>
        <w:tc>
          <w:tcPr>
            <w:tcW w:w="50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(8,138)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(4,614)</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Interest and other income (expense), net:</w:t>
            </w: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130</w:t>
            </w: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(2,544)</w:t>
            </w:r>
          </w:p>
        </w:tc>
      </w:tr>
      <w:tr>
        <w:trPr>
          <w:trHeight w:val="27"/>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w:t>
            </w:r>
          </w:p>
        </w:tc>
      </w:tr>
      <w:tr>
        <w:trPr>
          <w:trHeight w:val="297"/>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(8,654)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(3,147)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(17,999)</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(7,348)</w:t>
            </w:r>
          </w:p>
        </w:tc>
      </w:tr>
      <w:tr>
        <w:trPr>
          <w:trHeight w:val="311"/>
        </w:trPr>
        <w:tc>
          <w:tcPr>
            <w:tcW w:w="5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(0.87)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(2.04)</w:t>
            </w:r>
          </w:p>
        </w:tc>
      </w:tr>
      <w:tr>
        <w:trPr>
          <w:trHeight w:val="27"/>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Weighted-average number of common shares used to compute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w:t>
            </w: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24,577,938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3,608,283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24,484,608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3,603,308</w:t>
            </w:r>
          </w:p>
        </w:tc>
      </w:tr>
      <w:tr>
        <w:trPr>
          <w:trHeight w:val="27"/>
        </w:trPr>
        <w:tc>
          <w:tcPr>
            <w:tcW w:w="50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ectPr>
          <w:pgSz w:w="11900" w:h="16838" w:orient="portrait"/>
          <w:cols w:equalWidth="0" w:num="1">
            <w:col w:w="11220"/>
          </w:cols>
          <w:pgMar w:left="340" w:top="580"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r>
      <w:tr>
        <w:trPr>
          <w:trHeight w:val="270"/>
        </w:trPr>
        <w:tc>
          <w:tcPr>
            <w:tcW w:w="7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7"/>
        </w:trPr>
        <w:tc>
          <w:tcPr>
            <w:tcW w:w="7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25,120</w:t>
            </w:r>
          </w:p>
        </w:tc>
      </w:tr>
      <w:tr>
        <w:trPr>
          <w:trHeight w:val="243"/>
        </w:trPr>
        <w:tc>
          <w:tcPr>
            <w:tcW w:w="726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91,780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97,103</w:t>
            </w:r>
          </w:p>
        </w:tc>
      </w:tr>
      <w:tr>
        <w:trPr>
          <w:trHeight w:val="27"/>
        </w:trPr>
        <w:tc>
          <w:tcPr>
            <w:tcW w:w="7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8,486</w:t>
            </w:r>
          </w:p>
        </w:tc>
      </w:tr>
      <w:tr>
        <w:trPr>
          <w:trHeight w:val="243"/>
        </w:trPr>
        <w:tc>
          <w:tcPr>
            <w:tcW w:w="7260" w:type="dxa"/>
            <w:vAlign w:val="bottom"/>
          </w:tcPr>
          <w:p>
            <w:pPr>
              <w:ind w:left="24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3,343</w:t>
            </w:r>
          </w:p>
        </w:tc>
      </w:tr>
      <w:tr>
        <w:trPr>
          <w:trHeight w:val="27"/>
        </w:trPr>
        <w:tc>
          <w:tcPr>
            <w:tcW w:w="7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1,990</w:t>
            </w:r>
          </w:p>
        </w:tc>
      </w:tr>
      <w:tr>
        <w:trPr>
          <w:trHeight w:val="237"/>
        </w:trPr>
        <w:tc>
          <w:tcPr>
            <w:tcW w:w="72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119,018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136,042</w:t>
            </w:r>
          </w:p>
        </w:tc>
      </w:tr>
      <w:tr>
        <w:trPr>
          <w:trHeight w:val="27"/>
        </w:trPr>
        <w:tc>
          <w:tcPr>
            <w:tcW w:w="7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2,154</w:t>
            </w:r>
          </w:p>
        </w:tc>
      </w:tr>
      <w:tr>
        <w:trPr>
          <w:trHeight w:val="27"/>
        </w:trPr>
        <w:tc>
          <w:tcPr>
            <w:tcW w:w="7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r>
      <w:tr>
        <w:trPr>
          <w:trHeight w:val="297"/>
        </w:trPr>
        <w:tc>
          <w:tcPr>
            <w:tcW w:w="72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127,122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138,521</w:t>
            </w:r>
          </w:p>
        </w:tc>
      </w:tr>
      <w:tr>
        <w:trPr>
          <w:trHeight w:val="311"/>
        </w:trPr>
        <w:tc>
          <w:tcPr>
            <w:tcW w:w="7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LIABILITIES AND STOCKHOLDERS' EQUITY</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2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2,146</w:t>
            </w:r>
          </w:p>
        </w:tc>
      </w:tr>
      <w:tr>
        <w:trPr>
          <w:trHeight w:val="27"/>
        </w:trPr>
        <w:tc>
          <w:tcPr>
            <w:tcW w:w="7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Accrued liabilities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6,860</w:t>
            </w:r>
          </w:p>
        </w:tc>
      </w:tr>
      <w:tr>
        <w:trPr>
          <w:trHeight w:val="237"/>
        </w:trPr>
        <w:tc>
          <w:tcPr>
            <w:tcW w:w="726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9,919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9,006</w:t>
            </w:r>
          </w:p>
        </w:tc>
      </w:tr>
      <w:tr>
        <w:trPr>
          <w:trHeight w:val="27"/>
        </w:trPr>
        <w:tc>
          <w:tcPr>
            <w:tcW w:w="7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38,963</w:t>
            </w: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360</w:t>
            </w:r>
          </w:p>
        </w:tc>
      </w:tr>
      <w:tr>
        <w:trPr>
          <w:trHeight w:val="27"/>
        </w:trPr>
        <w:tc>
          <w:tcPr>
            <w:tcW w:w="7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48,329</w:t>
            </w:r>
          </w:p>
        </w:tc>
      </w:tr>
      <w:tr>
        <w:trPr>
          <w:trHeight w:val="324"/>
        </w:trPr>
        <w:tc>
          <w:tcPr>
            <w:tcW w:w="7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260" w:type="dxa"/>
            <w:vAlign w:val="bottom"/>
          </w:tcPr>
          <w:p>
            <w:pPr>
              <w:ind w:left="260"/>
              <w:spacing w:after="0"/>
              <w:rPr>
                <w:sz w:val="20"/>
                <w:szCs w:val="20"/>
                <w:color w:val="auto"/>
              </w:rPr>
            </w:pPr>
            <w:r>
              <w:rPr>
                <w:rFonts w:ascii="Arial" w:cs="Arial" w:eastAsia="Arial" w:hAnsi="Arial"/>
                <w:sz w:val="18"/>
                <w:szCs w:val="18"/>
                <w:color w:val="auto"/>
              </w:rPr>
              <w:t>Common stock and additional paid-in capital</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252,407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246,930</w:t>
            </w:r>
          </w:p>
        </w:tc>
      </w:tr>
      <w:tr>
        <w:trPr>
          <w:trHeight w:val="27"/>
        </w:trPr>
        <w:tc>
          <w:tcPr>
            <w:tcW w:w="7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r>
      <w:tr>
        <w:trPr>
          <w:trHeight w:val="243"/>
        </w:trPr>
        <w:tc>
          <w:tcPr>
            <w:tcW w:w="726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(175,176)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(157,177)</w:t>
            </w:r>
          </w:p>
        </w:tc>
      </w:tr>
      <w:tr>
        <w:trPr>
          <w:trHeight w:val="27"/>
        </w:trPr>
        <w:tc>
          <w:tcPr>
            <w:tcW w:w="7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90,192</w:t>
            </w:r>
          </w:p>
        </w:tc>
      </w:tr>
      <w:tr>
        <w:trPr>
          <w:trHeight w:val="257"/>
        </w:trPr>
        <w:tc>
          <w:tcPr>
            <w:tcW w:w="7260" w:type="dxa"/>
            <w:vAlign w:val="bottom"/>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127,122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138,521</w:t>
            </w:r>
          </w:p>
        </w:tc>
      </w:tr>
      <w:tr>
        <w:trPr>
          <w:trHeight w:val="20"/>
        </w:trPr>
        <w:tc>
          <w:tcPr>
            <w:tcW w:w="7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520"/>
      </w:cols>
      <w:pgMar w:left="700" w:top="58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2019-12-28T08:02:12Z</dcterms:created>
  <dcterms:modified xsi:type="dcterms:W3CDTF">2019-12-28T08:02:12Z</dcterms:modified>
</cp:coreProperties>
</file>