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Valentine Keith</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w w:val="98"/>
              </w:rPr>
              <w:t>C/O SI-BONE, INC.</w:t>
            </w: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17.72</w:t>
            </w:r>
          </w:p>
        </w:tc>
        <w:tc>
          <w:tcPr>
            <w:tcW w:w="140" w:type="dxa"/>
            <w:vAlign w:val="bottom"/>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06/13/2019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15,741</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15,741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12 equal monthly increments over the one-year period following the Vesting Commencement Date, such that the option will be fully vested on the first anniversary of the Vesting Commencement Date, subject to the Reporting Person's continuous service as a member of the Issuer's Board of Directors on each such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Keith C.</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17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40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2019-12-24T08:06:23Z</dcterms:created>
  <dcterms:modified xsi:type="dcterms:W3CDTF">2019-12-24T08:06:23Z</dcterms:modified>
</cp:coreProperties>
</file>