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June 10, 2021</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48"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1300480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ind w:left="8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left="80" w:firstLine="648"/>
        <w:spacing w:after="0"/>
        <w:rPr>
          <w:sz w:val="20"/>
          <w:szCs w:val="20"/>
          <w:color w:val="auto"/>
        </w:rPr>
      </w:pPr>
      <w:r>
        <w:rPr>
          <w:rFonts w:ascii="Arial" w:cs="Arial" w:eastAsia="Arial" w:hAnsi="Arial"/>
          <w:sz w:val="17"/>
          <w:szCs w:val="17"/>
          <w:color w:val="auto"/>
        </w:rPr>
        <w:t>On June 11, 2021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SI-BONE, Inc. entered into an Amended and Restated Manufacturing, Quality and Supply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with rms Company (“</w:t>
      </w:r>
      <w:r>
        <w:rPr>
          <w:rFonts w:ascii="Arial" w:cs="Arial" w:eastAsia="Arial" w:hAnsi="Arial"/>
          <w:sz w:val="17"/>
          <w:szCs w:val="17"/>
          <w:b w:val="1"/>
          <w:bCs w:val="1"/>
          <w:i w:val="1"/>
          <w:iCs w:val="1"/>
          <w:color w:val="auto"/>
        </w:rPr>
        <w:t>rms</w:t>
      </w:r>
      <w:r>
        <w:rPr>
          <w:rFonts w:ascii="Arial" w:cs="Arial" w:eastAsia="Arial" w:hAnsi="Arial"/>
          <w:sz w:val="17"/>
          <w:szCs w:val="17"/>
          <w:color w:val="auto"/>
        </w:rPr>
        <w:t>”), which amends and restates in its entirety that certain Manufacturing, Quality and Supply Agreement by and between the parties dated January 31, 2017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as modified by addenda dated January 31, 2017 ("</w:t>
      </w:r>
      <w:r>
        <w:rPr>
          <w:rFonts w:ascii="Arial" w:cs="Arial" w:eastAsia="Arial" w:hAnsi="Arial"/>
          <w:sz w:val="17"/>
          <w:szCs w:val="17"/>
          <w:b w:val="1"/>
          <w:bCs w:val="1"/>
          <w:i w:val="1"/>
          <w:iCs w:val="1"/>
          <w:color w:val="auto"/>
        </w:rPr>
        <w:t>Addendum No.1</w:t>
      </w:r>
      <w:r>
        <w:rPr>
          <w:rFonts w:ascii="Arial" w:cs="Arial" w:eastAsia="Arial" w:hAnsi="Arial"/>
          <w:sz w:val="17"/>
          <w:szCs w:val="17"/>
          <w:color w:val="auto"/>
        </w:rPr>
        <w:t>") and July 1, 2020 ("</w:t>
      </w:r>
      <w:r>
        <w:rPr>
          <w:rFonts w:ascii="Arial" w:cs="Arial" w:eastAsia="Arial" w:hAnsi="Arial"/>
          <w:sz w:val="17"/>
          <w:szCs w:val="17"/>
          <w:b w:val="1"/>
          <w:bCs w:val="1"/>
          <w:i w:val="1"/>
          <w:iCs w:val="1"/>
          <w:color w:val="auto"/>
        </w:rPr>
        <w:t>Addendum No.2</w:t>
      </w:r>
      <w:r>
        <w:rPr>
          <w:rFonts w:ascii="Arial" w:cs="Arial" w:eastAsia="Arial" w:hAnsi="Arial"/>
          <w:sz w:val="17"/>
          <w:szCs w:val="17"/>
          <w:color w:val="auto"/>
        </w:rPr>
        <w:t>"). The Original Agreement and the Addendum No.1 were described in and filed as Exhibit 10.6 in SI-BONE’s registration statement on Form S-1 with the U.S. Securities and Exchange Commission ("SEC") on September 20, 2018. The Addendum No.2 was filed as Exhibit 10.16 in SI-BONE’s annual report on Form 10-K with the SEC on March 10, 2021.</w:t>
      </w:r>
    </w:p>
    <w:p>
      <w:pPr>
        <w:spacing w:after="0" w:line="204" w:lineRule="exact"/>
        <w:rPr>
          <w:sz w:val="20"/>
          <w:szCs w:val="20"/>
          <w:color w:val="auto"/>
        </w:rPr>
      </w:pPr>
    </w:p>
    <w:p>
      <w:pPr>
        <w:jc w:val="both"/>
        <w:ind w:left="80" w:right="20" w:firstLine="648"/>
        <w:spacing w:after="0" w:line="276" w:lineRule="auto"/>
        <w:rPr>
          <w:sz w:val="20"/>
          <w:szCs w:val="20"/>
          <w:color w:val="auto"/>
        </w:rPr>
      </w:pPr>
      <w:r>
        <w:rPr>
          <w:rFonts w:ascii="Arial" w:cs="Arial" w:eastAsia="Arial" w:hAnsi="Arial"/>
          <w:sz w:val="16"/>
          <w:szCs w:val="16"/>
          <w:color w:val="auto"/>
        </w:rPr>
        <w:t>The Agreement is substantially similar to the Amended Original Agreement but adds iFuse TORQ products, updates certain quality provisions to align with the European Medical Device Regulation, and provides for a new three-year term with automatic renewals for successive one-year periods thereafter; provided, however, that the Agreement may be terminated earlier by either party under certain circumstances, as specified in the Agreement.</w:t>
      </w:r>
    </w:p>
    <w:p>
      <w:pPr>
        <w:spacing w:after="0" w:line="175" w:lineRule="exact"/>
        <w:rPr>
          <w:sz w:val="20"/>
          <w:szCs w:val="20"/>
          <w:color w:val="auto"/>
        </w:rPr>
      </w:pPr>
    </w:p>
    <w:p>
      <w:pPr>
        <w:jc w:val="both"/>
        <w:ind w:left="80" w:firstLine="648"/>
        <w:spacing w:after="0" w:line="235" w:lineRule="auto"/>
        <w:rPr>
          <w:sz w:val="20"/>
          <w:szCs w:val="20"/>
          <w:color w:val="auto"/>
        </w:rPr>
      </w:pPr>
      <w:r>
        <w:rPr>
          <w:rFonts w:ascii="Arial" w:cs="Arial" w:eastAsia="Arial" w:hAnsi="Arial"/>
          <w:sz w:val="18"/>
          <w:szCs w:val="18"/>
          <w:color w:val="auto"/>
        </w:rPr>
        <w:t>The Agreement contains customary provisions, including with respect to the ownership of any intellectual property created pursuant to the Agreement, as well as provisions relating to ordering, payment and shipping terms, regulatory matters, reporting obligations, indemnity, confidentiality and other matters.</w:t>
      </w:r>
    </w:p>
    <w:p>
      <w:pPr>
        <w:spacing w:after="0" w:line="202" w:lineRule="exact"/>
        <w:rPr>
          <w:sz w:val="20"/>
          <w:szCs w:val="20"/>
          <w:color w:val="auto"/>
        </w:rPr>
      </w:pPr>
    </w:p>
    <w:p>
      <w:pPr>
        <w:jc w:val="both"/>
        <w:ind w:left="80" w:firstLine="648"/>
        <w:spacing w:after="0" w:line="246" w:lineRule="auto"/>
        <w:rPr>
          <w:sz w:val="20"/>
          <w:szCs w:val="20"/>
          <w:color w:val="auto"/>
        </w:rPr>
      </w:pPr>
      <w:r>
        <w:rPr>
          <w:rFonts w:ascii="Arial" w:cs="Arial" w:eastAsia="Arial" w:hAnsi="Arial"/>
          <w:sz w:val="18"/>
          <w:szCs w:val="18"/>
          <w:color w:val="auto"/>
        </w:rPr>
        <w:t>The foregoing description is not complete and is qualified in its entirety by reference to the Agreement, a copy of which will be filed as an exhibit to SI-BONE’s Quarterly Report on Form 10-Q for the period ending June 30, 2021.</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3"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7"/>
          <w:szCs w:val="17"/>
          <w:color w:val="auto"/>
        </w:rPr>
        <w:t>On June 10, 2021, SI-BONE held its 2021 Annual Meeting of Stockholders (the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The following is a brief description of each matter voted upon at the Annual Meeting, as well as the final tally of the number of votes cast: (a) for or withheld with respect to the election of directors; and (b) for or against, as well as abstentions, for the ratification of the appointment of PricewaterhouseCoopers LLP as SI-BONE’s independent registered public accounting firm for the fiscal year ending December 31, 2021. Broker non-votes are also reported. A more complete description of each matter is set forth in SI-BONE’s definitive proxy statement filed with the Securities and Exchange Commission on April 26, 2021.</w:t>
      </w:r>
    </w:p>
    <w:p>
      <w:pPr>
        <w:spacing w:after="0" w:line="201" w:lineRule="exact"/>
        <w:rPr>
          <w:sz w:val="20"/>
          <w:szCs w:val="20"/>
          <w:color w:val="auto"/>
        </w:rPr>
      </w:pPr>
    </w:p>
    <w:p>
      <w:pPr>
        <w:jc w:val="both"/>
        <w:ind w:left="1140" w:hanging="1052"/>
        <w:spacing w:after="0" w:line="248" w:lineRule="auto"/>
        <w:tabs>
          <w:tab w:leader="none" w:pos="1120" w:val="left"/>
        </w:tabs>
        <w:rPr>
          <w:sz w:val="20"/>
          <w:szCs w:val="20"/>
          <w:color w:val="auto"/>
        </w:rPr>
      </w:pPr>
      <w:r>
        <w:rPr>
          <w:rFonts w:ascii="Arial" w:cs="Arial" w:eastAsia="Arial" w:hAnsi="Arial"/>
          <w:sz w:val="18"/>
          <w:szCs w:val="18"/>
          <w:i w:val="1"/>
          <w:iCs w:val="1"/>
          <w:color w:val="auto"/>
        </w:rPr>
        <w:t>Proposal 1:</w:t>
      </w:r>
      <w:r>
        <w:rPr>
          <w:sz w:val="20"/>
          <w:szCs w:val="20"/>
          <w:color w:val="auto"/>
        </w:rPr>
        <w:tab/>
      </w:r>
      <w:r>
        <w:rPr>
          <w:rFonts w:ascii="Arial" w:cs="Arial" w:eastAsia="Arial" w:hAnsi="Arial"/>
          <w:sz w:val="18"/>
          <w:szCs w:val="18"/>
          <w:color w:val="auto"/>
        </w:rPr>
        <w:t>Each of the three directors proposed by SI-BONE for election was elected by the following votes to serve until SI-BONE’s 2024 Annual Meeting of Stockholders or until his or her respective successor has been elected and qualified. The tabulation of votes on this matter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00" w:type="dxa"/>
            <w:vAlign w:val="bottom"/>
          </w:tcPr>
          <w:p>
            <w:pPr>
              <w:jc w:val="center"/>
              <w:ind w:right="568"/>
              <w:spacing w:after="0"/>
              <w:rPr>
                <w:sz w:val="20"/>
                <w:szCs w:val="20"/>
                <w:color w:val="auto"/>
              </w:rPr>
            </w:pPr>
            <w:r>
              <w:rPr>
                <w:rFonts w:ascii="Arial" w:cs="Arial" w:eastAsia="Arial" w:hAnsi="Arial"/>
                <w:sz w:val="14"/>
                <w:szCs w:val="14"/>
                <w:b w:val="1"/>
                <w:bCs w:val="1"/>
                <w:color w:val="auto"/>
                <w:w w:val="97"/>
              </w:rPr>
              <w:t>For</w:t>
            </w:r>
          </w:p>
        </w:tc>
        <w:tc>
          <w:tcPr>
            <w:tcW w:w="400" w:type="dxa"/>
            <w:vAlign w:val="bottom"/>
          </w:tcPr>
          <w:p>
            <w:pPr>
              <w:spacing w:after="0"/>
              <w:rPr>
                <w:sz w:val="16"/>
                <w:szCs w:val="16"/>
                <w:color w:val="auto"/>
              </w:rPr>
            </w:pPr>
          </w:p>
        </w:tc>
        <w:tc>
          <w:tcPr>
            <w:tcW w:w="10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w w:val="98"/>
              </w:rPr>
              <w:t>Withheld</w:t>
            </w:r>
          </w:p>
        </w:tc>
        <w:tc>
          <w:tcPr>
            <w:tcW w:w="2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Broker Non-Votes</w:t>
            </w:r>
          </w:p>
        </w:tc>
        <w:tc>
          <w:tcPr>
            <w:tcW w:w="0" w:type="dxa"/>
            <w:vAlign w:val="bottom"/>
          </w:tcPr>
          <w:p>
            <w:pPr>
              <w:spacing w:after="0"/>
              <w:rPr>
                <w:sz w:val="1"/>
                <w:szCs w:val="1"/>
                <w:color w:val="auto"/>
              </w:rPr>
            </w:pPr>
          </w:p>
        </w:tc>
      </w:tr>
      <w:tr>
        <w:trPr>
          <w:trHeight w:val="25"/>
        </w:trPr>
        <w:tc>
          <w:tcPr>
            <w:tcW w:w="2980" w:type="dxa"/>
            <w:vAlign w:val="bottom"/>
            <w:vMerge w:val="restart"/>
          </w:tcPr>
          <w:p>
            <w:pPr>
              <w:spacing w:after="0"/>
              <w:rPr>
                <w:sz w:val="20"/>
                <w:szCs w:val="20"/>
                <w:color w:val="auto"/>
              </w:rPr>
            </w:pPr>
            <w:r>
              <w:rPr>
                <w:rFonts w:ascii="Arial" w:cs="Arial" w:eastAsia="Arial" w:hAnsi="Arial"/>
                <w:sz w:val="18"/>
                <w:szCs w:val="18"/>
                <w:color w:val="auto"/>
              </w:rPr>
              <w:t>elen Loh</w:t>
            </w:r>
          </w:p>
        </w:tc>
        <w:tc>
          <w:tcPr>
            <w:tcW w:w="20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vMerge w:val="restart"/>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vMerge w:val="continue"/>
          </w:tcPr>
          <w:p>
            <w:pPr>
              <w:spacing w:after="0"/>
              <w:rPr>
                <w:sz w:val="19"/>
                <w:szCs w:val="19"/>
                <w:color w:val="auto"/>
              </w:rPr>
            </w:pPr>
          </w:p>
        </w:tc>
        <w:tc>
          <w:tcPr>
            <w:tcW w:w="2940" w:type="dxa"/>
            <w:vAlign w:val="bottom"/>
            <w:gridSpan w:val="2"/>
          </w:tcPr>
          <w:p>
            <w:pPr>
              <w:jc w:val="center"/>
              <w:ind w:left="1290"/>
              <w:spacing w:after="0"/>
              <w:rPr>
                <w:sz w:val="20"/>
                <w:szCs w:val="20"/>
                <w:color w:val="auto"/>
              </w:rPr>
            </w:pPr>
            <w:r>
              <w:rPr>
                <w:rFonts w:ascii="Arial" w:cs="Arial" w:eastAsia="Arial" w:hAnsi="Arial"/>
                <w:sz w:val="18"/>
                <w:szCs w:val="18"/>
                <w:color w:val="auto"/>
                <w:w w:val="88"/>
              </w:rPr>
              <w:t>23,385,570</w:t>
            </w:r>
          </w:p>
        </w:tc>
        <w:tc>
          <w:tcPr>
            <w:tcW w:w="4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Arial" w:cs="Arial" w:eastAsia="Arial" w:hAnsi="Arial"/>
                <w:sz w:val="17"/>
                <w:szCs w:val="17"/>
                <w:color w:val="auto"/>
                <w:w w:val="71"/>
              </w:rPr>
              <w:t>384,072</w:t>
            </w:r>
          </w:p>
        </w:tc>
        <w:tc>
          <w:tcPr>
            <w:tcW w:w="212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5,330,022</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ika Nishimura</w:t>
            </w:r>
          </w:p>
        </w:tc>
        <w:tc>
          <w:tcPr>
            <w:tcW w:w="2940" w:type="dxa"/>
            <w:vAlign w:val="bottom"/>
            <w:gridSpan w:val="2"/>
          </w:tcPr>
          <w:p>
            <w:pPr>
              <w:jc w:val="center"/>
              <w:ind w:left="1290"/>
              <w:spacing w:after="0"/>
              <w:rPr>
                <w:sz w:val="20"/>
                <w:szCs w:val="20"/>
                <w:color w:val="auto"/>
              </w:rPr>
            </w:pPr>
            <w:r>
              <w:rPr>
                <w:rFonts w:ascii="Arial" w:cs="Arial" w:eastAsia="Arial" w:hAnsi="Arial"/>
                <w:sz w:val="18"/>
                <w:szCs w:val="18"/>
                <w:color w:val="auto"/>
                <w:w w:val="88"/>
              </w:rPr>
              <w:t>23,384,490</w:t>
            </w:r>
          </w:p>
        </w:tc>
        <w:tc>
          <w:tcPr>
            <w:tcW w:w="1420" w:type="dxa"/>
            <w:vAlign w:val="bottom"/>
            <w:gridSpan w:val="3"/>
          </w:tcPr>
          <w:p>
            <w:pPr>
              <w:jc w:val="right"/>
              <w:ind w:right="316"/>
              <w:spacing w:after="0"/>
              <w:rPr>
                <w:sz w:val="20"/>
                <w:szCs w:val="20"/>
                <w:color w:val="auto"/>
              </w:rPr>
            </w:pPr>
            <w:r>
              <w:rPr>
                <w:rFonts w:ascii="Arial" w:cs="Arial" w:eastAsia="Arial" w:hAnsi="Arial"/>
                <w:sz w:val="18"/>
                <w:szCs w:val="18"/>
                <w:color w:val="auto"/>
              </w:rPr>
              <w:t>385,152</w:t>
            </w:r>
          </w:p>
        </w:tc>
        <w:tc>
          <w:tcPr>
            <w:tcW w:w="212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5,330,022</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eith C. Valentine</w:t>
            </w:r>
          </w:p>
        </w:tc>
        <w:tc>
          <w:tcPr>
            <w:tcW w:w="2940" w:type="dxa"/>
            <w:vAlign w:val="bottom"/>
            <w:gridSpan w:val="2"/>
          </w:tcPr>
          <w:p>
            <w:pPr>
              <w:jc w:val="center"/>
              <w:ind w:left="1290"/>
              <w:spacing w:after="0"/>
              <w:rPr>
                <w:sz w:val="20"/>
                <w:szCs w:val="20"/>
                <w:color w:val="auto"/>
              </w:rPr>
            </w:pPr>
            <w:r>
              <w:rPr>
                <w:rFonts w:ascii="Arial" w:cs="Arial" w:eastAsia="Arial" w:hAnsi="Arial"/>
                <w:sz w:val="18"/>
                <w:szCs w:val="18"/>
                <w:color w:val="auto"/>
                <w:w w:val="88"/>
              </w:rPr>
              <w:t>14,616,132</w:t>
            </w:r>
          </w:p>
        </w:tc>
        <w:tc>
          <w:tcPr>
            <w:tcW w:w="1420" w:type="dxa"/>
            <w:vAlign w:val="bottom"/>
            <w:gridSpan w:val="3"/>
          </w:tcPr>
          <w:p>
            <w:pPr>
              <w:jc w:val="right"/>
              <w:ind w:right="256"/>
              <w:spacing w:after="0"/>
              <w:rPr>
                <w:sz w:val="20"/>
                <w:szCs w:val="20"/>
                <w:color w:val="auto"/>
              </w:rPr>
            </w:pPr>
            <w:r>
              <w:rPr>
                <w:rFonts w:ascii="Arial" w:cs="Arial" w:eastAsia="Arial" w:hAnsi="Arial"/>
                <w:sz w:val="18"/>
                <w:szCs w:val="18"/>
                <w:color w:val="auto"/>
              </w:rPr>
              <w:t>9,153,510</w:t>
            </w:r>
          </w:p>
        </w:tc>
        <w:tc>
          <w:tcPr>
            <w:tcW w:w="212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5,330,022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8"/>
          <w:szCs w:val="18"/>
          <w:i w:val="1"/>
          <w:iCs w:val="1"/>
          <w:color w:val="auto"/>
        </w:rPr>
        <w:t>Proposal 2:</w:t>
      </w:r>
      <w:r>
        <w:rPr>
          <w:sz w:val="20"/>
          <w:szCs w:val="20"/>
          <w:color w:val="auto"/>
        </w:rPr>
        <w:tab/>
      </w:r>
      <w:r>
        <w:rPr>
          <w:rFonts w:ascii="Arial" w:cs="Arial" w:eastAsia="Arial" w:hAnsi="Arial"/>
          <w:sz w:val="16"/>
          <w:szCs w:val="16"/>
          <w:color w:val="auto"/>
        </w:rPr>
        <w:t>The appointment of PricewaterhouseCoopers LLP as SI-BONE’s independent registered public accounting firm for the fiscal year ending</w:t>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December 31, 2021, was ratified. The tabulation of votes on this matter was as follows:</w:t>
      </w: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00" w:type="dxa"/>
            <w:vAlign w:val="bottom"/>
            <w:gridSpan w:val="2"/>
          </w:tcPr>
          <w:p>
            <w:pPr>
              <w:jc w:val="center"/>
              <w:ind w:right="3260"/>
              <w:spacing w:after="0"/>
              <w:rPr>
                <w:sz w:val="20"/>
                <w:szCs w:val="20"/>
                <w:color w:val="auto"/>
              </w:rPr>
            </w:pPr>
            <w:r>
              <w:rPr>
                <w:rFonts w:ascii="Arial" w:cs="Arial" w:eastAsia="Arial" w:hAnsi="Arial"/>
                <w:sz w:val="14"/>
                <w:szCs w:val="14"/>
                <w:b w:val="1"/>
                <w:bCs w:val="1"/>
                <w:color w:val="auto"/>
                <w:w w:val="97"/>
              </w:rPr>
              <w:t>Broker</w:t>
            </w:r>
          </w:p>
        </w:tc>
      </w:tr>
      <w:tr>
        <w:trPr>
          <w:trHeight w:val="186"/>
        </w:trPr>
        <w:tc>
          <w:tcPr>
            <w:tcW w:w="1160" w:type="dxa"/>
            <w:vAlign w:val="bottom"/>
          </w:tcPr>
          <w:p>
            <w:pPr>
              <w:spacing w:after="0"/>
              <w:rPr>
                <w:sz w:val="16"/>
                <w:szCs w:val="16"/>
                <w:color w:val="auto"/>
              </w:rPr>
            </w:pPr>
          </w:p>
        </w:tc>
        <w:tc>
          <w:tcPr>
            <w:tcW w:w="198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7"/>
              </w:rPr>
              <w:t>For</w:t>
            </w:r>
          </w:p>
        </w:tc>
        <w:tc>
          <w:tcPr>
            <w:tcW w:w="19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3"/>
              </w:rPr>
              <w:t>Against</w:t>
            </w:r>
          </w:p>
        </w:tc>
        <w:tc>
          <w:tcPr>
            <w:tcW w:w="2240" w:type="dxa"/>
            <w:vAlign w:val="bottom"/>
            <w:gridSpan w:val="2"/>
          </w:tcPr>
          <w:p>
            <w:pPr>
              <w:jc w:val="center"/>
              <w:ind w:right="1600"/>
              <w:spacing w:after="0"/>
              <w:rPr>
                <w:sz w:val="20"/>
                <w:szCs w:val="20"/>
                <w:color w:val="auto"/>
              </w:rPr>
            </w:pPr>
            <w:r>
              <w:rPr>
                <w:rFonts w:ascii="Arial" w:cs="Arial" w:eastAsia="Arial" w:hAnsi="Arial"/>
                <w:sz w:val="14"/>
                <w:szCs w:val="14"/>
                <w:b w:val="1"/>
                <w:bCs w:val="1"/>
                <w:color w:val="auto"/>
                <w:w w:val="93"/>
              </w:rPr>
              <w:t>Abstain</w:t>
            </w:r>
          </w:p>
        </w:tc>
        <w:tc>
          <w:tcPr>
            <w:tcW w:w="3900" w:type="dxa"/>
            <w:vAlign w:val="bottom"/>
            <w:gridSpan w:val="2"/>
          </w:tcPr>
          <w:p>
            <w:pPr>
              <w:jc w:val="center"/>
              <w:ind w:right="3260"/>
              <w:spacing w:after="0"/>
              <w:rPr>
                <w:sz w:val="20"/>
                <w:szCs w:val="20"/>
                <w:color w:val="auto"/>
              </w:rPr>
            </w:pPr>
            <w:r>
              <w:rPr>
                <w:rFonts w:ascii="Arial" w:cs="Arial" w:eastAsia="Arial" w:hAnsi="Arial"/>
                <w:sz w:val="14"/>
                <w:szCs w:val="14"/>
                <w:b w:val="1"/>
                <w:bCs w:val="1"/>
                <w:color w:val="auto"/>
                <w:w w:val="91"/>
              </w:rPr>
              <w:t>Non-Votes</w:t>
            </w:r>
          </w:p>
        </w:tc>
      </w:tr>
      <w:tr>
        <w:trPr>
          <w:trHeight w:val="25"/>
        </w:trPr>
        <w:tc>
          <w:tcPr>
            <w:tcW w:w="11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2860" w:type="dxa"/>
            <w:vAlign w:val="bottom"/>
            <w:gridSpan w:val="2"/>
          </w:tcPr>
          <w:p>
            <w:pPr>
              <w:jc w:val="right"/>
              <w:ind w:right="888"/>
              <w:spacing w:after="0"/>
              <w:rPr>
                <w:sz w:val="20"/>
                <w:szCs w:val="20"/>
                <w:color w:val="auto"/>
              </w:rPr>
            </w:pPr>
            <w:r>
              <w:rPr>
                <w:rFonts w:ascii="Arial" w:cs="Arial" w:eastAsia="Arial" w:hAnsi="Arial"/>
                <w:sz w:val="18"/>
                <w:szCs w:val="18"/>
                <w:color w:val="auto"/>
              </w:rPr>
              <w:t>28,671,521</w:t>
            </w:r>
          </w:p>
        </w:tc>
        <w:tc>
          <w:tcPr>
            <w:tcW w:w="280" w:type="dxa"/>
            <w:vAlign w:val="bottom"/>
          </w:tcPr>
          <w:p>
            <w:pPr>
              <w:spacing w:after="0"/>
              <w:rPr>
                <w:sz w:val="20"/>
                <w:szCs w:val="20"/>
                <w:color w:val="auto"/>
              </w:rPr>
            </w:pPr>
          </w:p>
        </w:tc>
        <w:tc>
          <w:tcPr>
            <w:tcW w:w="1680" w:type="dxa"/>
            <w:vAlign w:val="bottom"/>
          </w:tcPr>
          <w:p>
            <w:pPr>
              <w:jc w:val="right"/>
              <w:ind w:right="999"/>
              <w:spacing w:after="0"/>
              <w:rPr>
                <w:sz w:val="20"/>
                <w:szCs w:val="20"/>
                <w:color w:val="auto"/>
              </w:rPr>
            </w:pPr>
            <w:r>
              <w:rPr>
                <w:rFonts w:ascii="Arial" w:cs="Arial" w:eastAsia="Arial" w:hAnsi="Arial"/>
                <w:sz w:val="18"/>
                <w:szCs w:val="18"/>
                <w:color w:val="auto"/>
                <w:w w:val="89"/>
              </w:rPr>
              <w:t>106,139</w:t>
            </w:r>
          </w:p>
        </w:tc>
        <w:tc>
          <w:tcPr>
            <w:tcW w:w="280" w:type="dxa"/>
            <w:vAlign w:val="bottom"/>
          </w:tcPr>
          <w:p>
            <w:pPr>
              <w:spacing w:after="0"/>
              <w:rPr>
                <w:sz w:val="20"/>
                <w:szCs w:val="20"/>
                <w:color w:val="auto"/>
              </w:rPr>
            </w:pPr>
          </w:p>
        </w:tc>
        <w:tc>
          <w:tcPr>
            <w:tcW w:w="2000" w:type="dxa"/>
            <w:vAlign w:val="bottom"/>
          </w:tcPr>
          <w:p>
            <w:pPr>
              <w:jc w:val="right"/>
              <w:ind w:right="1319"/>
              <w:spacing w:after="0"/>
              <w:rPr>
                <w:sz w:val="20"/>
                <w:szCs w:val="20"/>
                <w:color w:val="auto"/>
              </w:rPr>
            </w:pPr>
            <w:r>
              <w:rPr>
                <w:rFonts w:ascii="Arial" w:cs="Arial" w:eastAsia="Arial" w:hAnsi="Arial"/>
                <w:sz w:val="18"/>
                <w:szCs w:val="18"/>
                <w:color w:val="auto"/>
                <w:w w:val="89"/>
              </w:rPr>
              <w:t>322,004</w:t>
            </w:r>
          </w:p>
        </w:tc>
        <w:tc>
          <w:tcPr>
            <w:tcW w:w="240" w:type="dxa"/>
            <w:vAlign w:val="bottom"/>
          </w:tcPr>
          <w:p>
            <w:pPr>
              <w:spacing w:after="0"/>
              <w:rPr>
                <w:sz w:val="20"/>
                <w:szCs w:val="20"/>
                <w:color w:val="auto"/>
              </w:rPr>
            </w:pPr>
          </w:p>
        </w:tc>
        <w:tc>
          <w:tcPr>
            <w:tcW w:w="1680" w:type="dxa"/>
            <w:vAlign w:val="bottom"/>
          </w:tcPr>
          <w:p>
            <w:pPr>
              <w:jc w:val="center"/>
              <w:ind w:right="962"/>
              <w:spacing w:after="0"/>
              <w:rPr>
                <w:sz w:val="20"/>
                <w:szCs w:val="20"/>
                <w:color w:val="auto"/>
              </w:rPr>
            </w:pPr>
            <w:r>
              <w:rPr>
                <w:rFonts w:ascii="Arial" w:cs="Arial" w:eastAsia="Arial" w:hAnsi="Arial"/>
                <w:sz w:val="18"/>
                <w:szCs w:val="18"/>
                <w:color w:val="auto"/>
                <w:w w:val="79"/>
              </w:rPr>
              <w:t>0</w:t>
            </w:r>
          </w:p>
        </w:tc>
        <w:tc>
          <w:tcPr>
            <w:tcW w:w="2220" w:type="dxa"/>
            <w:vAlign w:val="bottom"/>
          </w:tcPr>
          <w:p>
            <w:pPr>
              <w:spacing w:after="0"/>
              <w:rPr>
                <w:sz w:val="20"/>
                <w:szCs w:val="20"/>
                <w:color w:val="auto"/>
              </w:rPr>
            </w:pPr>
          </w:p>
        </w:tc>
      </w:tr>
      <w:tr>
        <w:trPr>
          <w:trHeight w:val="1465"/>
        </w:trPr>
        <w:tc>
          <w:tcPr>
            <w:tcW w:w="1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96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200"/>
              <w:spacing w:after="0"/>
              <w:rPr>
                <w:sz w:val="20"/>
                <w:szCs w:val="20"/>
                <w:color w:val="auto"/>
              </w:rPr>
            </w:pPr>
            <w:r>
              <w:rPr>
                <w:rFonts w:ascii="Arial" w:cs="Arial" w:eastAsia="Arial" w:hAnsi="Arial"/>
                <w:sz w:val="18"/>
                <w:szCs w:val="18"/>
                <w:color w:val="auto"/>
              </w:rPr>
              <w:t>June 11, 2021</w:t>
            </w:r>
          </w:p>
        </w:tc>
        <w:tc>
          <w:tcPr>
            <w:tcW w:w="2140" w:type="dxa"/>
            <w:vAlign w:val="bottom"/>
          </w:tcPr>
          <w:p>
            <w:pPr>
              <w:ind w:left="142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4"/>
        </w:trPr>
        <w:tc>
          <w:tcPr>
            <w:tcW w:w="6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bl>
    <w:p>
      <w:pPr>
        <w:ind w:left="54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2021-06-11T16:14:49Z</dcterms:created>
  <dcterms:modified xsi:type="dcterms:W3CDTF">2021-06-11T16:14:49Z</dcterms:modified>
</cp:coreProperties>
</file>