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Pisetsky Michael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SI-BONE,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SIBN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07/15/2022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385"/>
        <w:spacing w:after="0"/>
        <w:rPr>
          <w:sz w:val="20"/>
          <w:szCs w:val="20"/>
          <w:color w:val="auto"/>
        </w:rPr>
      </w:pPr>
      <w:r>
        <w:rPr>
          <w:rFonts w:ascii="Times New Roman" w:cs="Times New Roman" w:eastAsia="Times New Roman" w:hAnsi="Times New Roman"/>
          <w:sz w:val="17"/>
          <w:szCs w:val="17"/>
          <w:color w:val="0000FF"/>
        </w:rPr>
        <w:t>SVP, Ops &amp; Adm/Chief Legal Ofr</w:t>
      </w:r>
    </w:p>
    <w:p>
      <w:pPr>
        <w:spacing w:after="0" w:line="5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3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07/15/2022</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355</w:t>
            </w:r>
          </w:p>
        </w:tc>
        <w:tc>
          <w:tcPr>
            <w:tcW w:w="4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14.2794</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123,369</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40" w:right="6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80,994 shares issuable on settlement of restricted stock units granted to the Reporting Person. Each restricted stock unit represents a contingent right to receive one share of the Issuer's common stock.</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Michael A. Pisetsky</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07/18/2022</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54765"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2022-07-18T20:13:37Z</dcterms:created>
  <dcterms:modified xsi:type="dcterms:W3CDTF">2022-07-18T20:13:37Z</dcterms:modified>
</cp:coreProperties>
</file>