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333-235714</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January 2, 2020)</w:t>
      </w: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4,300,000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158115</wp:posOffset>
            </wp:positionV>
            <wp:extent cx="2400935"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offering 2,490,053 shares of our common stock, and the selling stockholders named in this prospectus supplement are offering 1,809,947 shares of our common stock.</w:t>
      </w:r>
    </w:p>
    <w:p>
      <w:pPr>
        <w:spacing w:after="0" w:line="387"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“SIBN.” On January 22, 2020, the last reported sale price of our common stock was $22.04 per share.</w:t>
      </w:r>
    </w:p>
    <w:p>
      <w:pPr>
        <w:spacing w:after="0" w:line="387"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Supplement Summary - Implications of Being an Emerging Growth Company.”</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beginning on page S-7.</w:t>
      </w:r>
    </w:p>
    <w:p>
      <w:pPr>
        <w:spacing w:after="0" w:line="383"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28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92,450,000.00</w:t>
            </w:r>
          </w:p>
        </w:tc>
      </w:tr>
      <w:tr>
        <w:trPr>
          <w:trHeight w:val="270"/>
        </w:trPr>
        <w:tc>
          <w:tcPr>
            <w:tcW w:w="5740" w:type="dxa"/>
            <w:vAlign w:val="bottom"/>
          </w:tcPr>
          <w:p>
            <w:pPr>
              <w:ind w:left="40"/>
              <w:spacing w:after="0" w:line="27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5"/>
                <w:szCs w:val="25"/>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$1.1995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5,157,861.40</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to us, before expenses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50,323,971.13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Proceeds to the selling stockholders, before expenses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$20.4250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36,968,167.47</w:t>
            </w:r>
          </w:p>
        </w:tc>
      </w:tr>
    </w:tbl>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(1) See "Underwriting" for additional information regarding underwriting compensation payable by us and payable by the selling stockholders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645,000 additional shares of our common stock.</w:t>
      </w:r>
    </w:p>
    <w:p>
      <w:pPr>
        <w:spacing w:after="0" w:line="2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underwriters expect to deliver the shares against payment in New York, New York on January 27, 2020.</w:t>
      </w:r>
    </w:p>
    <w:p>
      <w:pPr>
        <w:spacing w:after="0" w:line="167"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153" w:lineRule="exact"/>
        <w:rPr>
          <w:sz w:val="24"/>
          <w:szCs w:val="24"/>
          <w:color w:val="auto"/>
        </w:rPr>
      </w:pPr>
    </w:p>
    <w:p>
      <w:pPr>
        <w:ind w:left="420"/>
        <w:spacing w:after="0"/>
        <w:tabs>
          <w:tab w:leader="none" w:pos="884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28"/>
          <w:szCs w:val="28"/>
          <w:b w:val="1"/>
          <w:bCs w:val="1"/>
          <w:color w:val="auto"/>
        </w:rPr>
        <w:t>BofA Securities</w:t>
      </w:r>
    </w:p>
    <w:p>
      <w:pPr>
        <w:spacing w:after="0" w:line="69" w:lineRule="exact"/>
        <w:rPr>
          <w:sz w:val="24"/>
          <w:szCs w:val="24"/>
          <w:color w:val="auto"/>
        </w:rPr>
      </w:pPr>
    </w:p>
    <w:p>
      <w:pPr>
        <w:ind w:left="420"/>
        <w:spacing w:after="0"/>
        <w:tabs>
          <w:tab w:leader="none" w:pos="9360" w:val="left"/>
        </w:tabs>
        <w:rPr>
          <w:sz w:val="20"/>
          <w:szCs w:val="20"/>
          <w:color w:val="auto"/>
        </w:rPr>
      </w:pPr>
      <w:r>
        <w:rPr>
          <w:rFonts w:ascii="Arial" w:cs="Arial" w:eastAsia="Arial" w:hAnsi="Arial"/>
          <w:sz w:val="25"/>
          <w:szCs w:val="25"/>
          <w:b w:val="1"/>
          <w:bCs w:val="1"/>
          <w:color w:val="auto"/>
        </w:rPr>
        <w:t>Canaccord Genuity</w:t>
      </w:r>
      <w:r>
        <w:rPr>
          <w:sz w:val="20"/>
          <w:szCs w:val="20"/>
          <w:color w:val="auto"/>
        </w:rPr>
        <w:tab/>
      </w:r>
      <w:r>
        <w:rPr>
          <w:rFonts w:ascii="Arial" w:cs="Arial" w:eastAsia="Arial" w:hAnsi="Arial"/>
          <w:sz w:val="22"/>
          <w:szCs w:val="22"/>
          <w:b w:val="1"/>
          <w:bCs w:val="1"/>
          <w:color w:val="auto"/>
        </w:rPr>
        <w:t>JMP Securities</w:t>
      </w:r>
    </w:p>
    <w:p>
      <w:pPr>
        <w:sectPr>
          <w:pgSz w:w="11900" w:h="16838" w:orient="portrait"/>
          <w:cols w:equalWidth="0" w:num="1">
            <w:col w:w="11420"/>
          </w:cols>
          <w:pgMar w:left="240" w:top="864" w:right="239" w:bottom="1440" w:gutter="0" w:footer="0" w:header="0"/>
        </w:sectPr>
      </w:pPr>
    </w:p>
    <w:p>
      <w:pPr>
        <w:spacing w:after="0" w:line="261" w:lineRule="exact"/>
        <w:rPr>
          <w:sz w:val="24"/>
          <w:szCs w:val="24"/>
          <w:color w:val="auto"/>
        </w:rPr>
      </w:pPr>
    </w:p>
    <w:p>
      <w:pPr>
        <w:jc w:val="center"/>
        <w:ind w:left="340"/>
        <w:spacing w:after="0"/>
        <w:rPr>
          <w:sz w:val="20"/>
          <w:szCs w:val="20"/>
          <w:color w:val="auto"/>
        </w:rPr>
      </w:pPr>
      <w:r>
        <w:rPr>
          <w:rFonts w:ascii="Arial" w:cs="Arial" w:eastAsia="Arial" w:hAnsi="Arial"/>
          <w:sz w:val="15"/>
          <w:szCs w:val="15"/>
          <w:color w:val="auto"/>
        </w:rPr>
        <w:t>January 22, 2020.</w:t>
      </w:r>
    </w:p>
    <w:p>
      <w:pPr>
        <w:sectPr>
          <w:pgSz w:w="11900" w:h="16838" w:orient="portrait"/>
          <w:cols w:equalWidth="0" w:num="1">
            <w:col w:w="11420"/>
          </w:cols>
          <w:pgMar w:left="240" w:top="86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89"/>
              </w:rPr>
              <w:t>Page</w:t>
            </w:r>
          </w:p>
        </w:tc>
      </w:tr>
      <w:tr>
        <w:trPr>
          <w:trHeight w:val="270"/>
        </w:trPr>
        <w:tc>
          <w:tcPr>
            <w:tcW w:w="20" w:type="dxa"/>
            <w:vAlign w:val="bottom"/>
          </w:tcPr>
          <w:p>
            <w:pPr>
              <w:spacing w:after="0"/>
              <w:rPr>
                <w:sz w:val="23"/>
                <w:szCs w:val="23"/>
                <w:color w:val="auto"/>
              </w:rPr>
            </w:pPr>
          </w:p>
        </w:tc>
        <w:tc>
          <w:tcPr>
            <w:tcW w:w="964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9"/>
            <w:shd w:val="clear" w:color="auto" w:fill="CCEEFF"/>
          </w:tcPr>
          <w:p>
            <w:pPr>
              <w:jc w:val="center"/>
              <w:ind w:right="18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S-ii</w:t>
              </w:r>
            </w:hyperlink>
          </w:p>
        </w:tc>
      </w:tr>
      <w:tr>
        <w:trPr>
          <w:trHeight w:val="203"/>
        </w:trPr>
        <w:tc>
          <w:tcPr>
            <w:tcW w:w="20" w:type="dxa"/>
            <w:vAlign w:val="bottom"/>
            <w:tcBorders>
              <w:top w:val="single" w:sz="8" w:color="CCEEFF"/>
            </w:tcBorders>
          </w:tcPr>
          <w:p>
            <w:pPr>
              <w:spacing w:after="0"/>
              <w:rPr>
                <w:sz w:val="17"/>
                <w:szCs w:val="17"/>
                <w:color w:val="auto"/>
              </w:rPr>
            </w:pPr>
          </w:p>
        </w:tc>
        <w:tc>
          <w:tcPr>
            <w:tcW w:w="3440" w:type="dxa"/>
            <w:vAlign w:val="bottom"/>
            <w:tcBorders>
              <w:top w:val="single" w:sz="8" w:color="0000EE"/>
            </w:tcBorders>
            <w:gridSpan w:val="19"/>
          </w:tcPr>
          <w:p>
            <w:pPr>
              <w:spacing w:after="0" w:line="20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PROSPECTUS SUPPLEMENT SUMMARY</w:t>
              </w:r>
            </w:hyperlink>
          </w:p>
        </w:tc>
        <w:tc>
          <w:tcPr>
            <w:tcW w:w="6200" w:type="dxa"/>
            <w:vAlign w:val="bottom"/>
            <w:tcBorders>
              <w:top w:val="single" w:sz="8" w:color="CCEEFF"/>
            </w:tcBorders>
            <w:gridSpan w:val="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0000EE"/>
            </w:tcBorders>
            <w:gridSpan w:val="6"/>
          </w:tcPr>
          <w:p>
            <w:pPr>
              <w:jc w:val="center"/>
              <w:ind w:right="20"/>
              <w:spacing w:after="0" w:line="202"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c>
          <w:tcPr>
            <w:tcW w:w="180" w:type="dxa"/>
            <w:vAlign w:val="bottom"/>
            <w:tcBorders>
              <w:top w:val="single" w:sz="8" w:color="CCEEFF"/>
            </w:tcBorders>
            <w:gridSpan w:val="3"/>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6"/>
            <w:shd w:val="clear" w:color="auto" w:fill="CCEEFF"/>
          </w:tcPr>
          <w:p>
            <w:pPr>
              <w:spacing w:after="0" w:line="202"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8380" w:type="dxa"/>
            <w:vAlign w:val="bottom"/>
            <w:gridSpan w:val="18"/>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9"/>
            <w:shd w:val="clear" w:color="auto" w:fill="CCEEFF"/>
          </w:tcPr>
          <w:p>
            <w:pPr>
              <w:jc w:val="center"/>
              <w:ind w:right="200"/>
              <w:spacing w:after="0" w:line="202"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S-7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STATEMENTS</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9"/>
          </w:tcPr>
          <w:p>
            <w:pPr>
              <w:jc w:val="center"/>
              <w:ind w:right="200"/>
              <w:spacing w:after="0" w:line="202"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S-8</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S-10</w:t>
              </w:r>
            </w:hyperlink>
          </w:p>
        </w:tc>
      </w:tr>
      <w:tr>
        <w:trPr>
          <w:trHeight w:val="203"/>
        </w:trPr>
        <w:tc>
          <w:tcPr>
            <w:tcW w:w="20" w:type="dxa"/>
            <w:vAlign w:val="bottom"/>
            <w:tcBorders>
              <w:top w:val="single" w:sz="8" w:color="CCEEFF"/>
            </w:tcBorders>
          </w:tcPr>
          <w:p>
            <w:pPr>
              <w:spacing w:after="0"/>
              <w:rPr>
                <w:sz w:val="17"/>
                <w:szCs w:val="17"/>
                <w:color w:val="auto"/>
              </w:rPr>
            </w:pPr>
          </w:p>
        </w:tc>
        <w:tc>
          <w:tcPr>
            <w:tcW w:w="158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CAPITALIZATION</w:t>
              </w:r>
            </w:hyperlink>
          </w:p>
        </w:tc>
        <w:tc>
          <w:tcPr>
            <w:tcW w:w="8060" w:type="dxa"/>
            <w:vAlign w:val="bottom"/>
            <w:tcBorders>
              <w:top w:val="single" w:sz="8" w:color="CCEEFF"/>
            </w:tcBorders>
            <w:gridSpan w:val="1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gridSpan w:val="9"/>
          </w:tcPr>
          <w:p>
            <w:pPr>
              <w:jc w:val="center"/>
              <w:ind w:right="20"/>
              <w:spacing w:after="0" w:line="202"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S-11</w:t>
              </w:r>
            </w:hyperlink>
          </w:p>
        </w:tc>
        <w:tc>
          <w:tcPr>
            <w:tcW w:w="14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DILUTION</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S-12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SELLING STOCKHOLDERS</w:t>
              </w:r>
            </w:hyperlink>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S-13</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940" w:type="dxa"/>
            <w:vAlign w:val="bottom"/>
            <w:gridSpan w:val="23"/>
            <w:shd w:val="clear" w:color="auto" w:fill="CCEEFF"/>
          </w:tcPr>
          <w:p>
            <w:pPr>
              <w:spacing w:after="0" w:line="202"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MATERIAL U.S. FEDERAL INCOME TAX CONSEQUENCES TO NON-U.S. HOLDERS OF OUR COMMON STOCK</w:t>
              </w:r>
            </w:hyperlink>
          </w:p>
        </w:tc>
        <w:tc>
          <w:tcPr>
            <w:tcW w:w="700" w:type="dxa"/>
            <w:vAlign w:val="bottom"/>
            <w:shd w:val="clear" w:color="auto" w:fill="CCEEFF"/>
          </w:tcPr>
          <w:p>
            <w:pPr>
              <w:spacing w:after="0"/>
              <w:rPr>
                <w:sz w:val="17"/>
                <w:szCs w:val="17"/>
                <w:color w:val="auto"/>
              </w:rPr>
            </w:pPr>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6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40" w:type="dxa"/>
            <w:vAlign w:val="bottom"/>
            <w:gridSpan w:val="23"/>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UNDERWRITING</w:t>
              </w:r>
            </w:hyperlink>
          </w:p>
        </w:tc>
        <w:tc>
          <w:tcPr>
            <w:tcW w:w="700" w:type="dxa"/>
            <w:vAlign w:val="bottom"/>
          </w:tcPr>
          <w:p>
            <w:pPr>
              <w:spacing w:after="0"/>
              <w:rPr>
                <w:sz w:val="17"/>
                <w:szCs w:val="17"/>
                <w:color w:val="auto"/>
              </w:rPr>
            </w:pPr>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S-18</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S-24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460" w:type="dxa"/>
            <w:vAlign w:val="bottom"/>
            <w:gridSpan w:val="8"/>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8180" w:type="dxa"/>
            <w:vAlign w:val="bottom"/>
            <w:gridSpan w:val="16"/>
          </w:tcPr>
          <w:p>
            <w:pPr>
              <w:spacing w:after="0"/>
              <w:rPr>
                <w:sz w:val="17"/>
                <w:szCs w:val="17"/>
                <w:color w:val="auto"/>
              </w:rPr>
            </w:pPr>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S-24</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WHERE YOU CAN FIND ADDITIONAL INFORMATION</w:t>
              </w:r>
            </w:hyperlink>
          </w:p>
        </w:tc>
        <w:tc>
          <w:tcPr>
            <w:tcW w:w="620" w:type="dxa"/>
            <w:vAlign w:val="bottom"/>
            <w:gridSpan w:val="11"/>
            <w:shd w:val="clear" w:color="auto" w:fill="CCEEFF"/>
          </w:tcPr>
          <w:p>
            <w:pPr>
              <w:jc w:val="center"/>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S-24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INFORMATION BY REFERENCE</w:t>
              </w:r>
            </w:hyperlink>
          </w:p>
        </w:tc>
        <w:tc>
          <w:tcPr>
            <w:tcW w:w="620" w:type="dxa"/>
            <w:vAlign w:val="bottom"/>
            <w:gridSpan w:val="11"/>
          </w:tcPr>
          <w:p>
            <w:pPr>
              <w:jc w:val="cente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S-25</w:t>
              </w:r>
            </w:hyperlink>
          </w:p>
        </w:tc>
      </w:tr>
      <w:tr>
        <w:trPr>
          <w:trHeight w:val="615"/>
        </w:trPr>
        <w:tc>
          <w:tcPr>
            <w:tcW w:w="20" w:type="dxa"/>
            <w:vAlign w:val="bottom"/>
          </w:tcPr>
          <w:p>
            <w:pPr>
              <w:spacing w:after="0"/>
              <w:rPr>
                <w:sz w:val="24"/>
                <w:szCs w:val="24"/>
                <w:color w:val="auto"/>
              </w:rPr>
            </w:pPr>
          </w:p>
        </w:tc>
        <w:tc>
          <w:tcPr>
            <w:tcW w:w="5180" w:type="dxa"/>
            <w:vAlign w:val="bottom"/>
            <w:tcBorders>
              <w:top w:val="single" w:sz="8" w:color="0000EE"/>
            </w:tcBorders>
            <w:gridSpan w:val="21"/>
          </w:tcPr>
          <w:p>
            <w:pPr>
              <w:spacing w:after="0"/>
              <w:rPr>
                <w:sz w:val="20"/>
                <w:szCs w:val="20"/>
                <w:color w:val="auto"/>
              </w:rPr>
            </w:pPr>
            <w:r>
              <w:rPr>
                <w:rFonts w:ascii="Arial" w:cs="Arial" w:eastAsia="Arial" w:hAnsi="Arial"/>
                <w:sz w:val="18"/>
                <w:szCs w:val="18"/>
                <w:b w:val="1"/>
                <w:bCs w:val="1"/>
                <w:color w:val="auto"/>
              </w:rPr>
              <w:t>PROSPECTUS</w:t>
            </w:r>
          </w:p>
        </w:tc>
        <w:tc>
          <w:tcPr>
            <w:tcW w:w="44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8"/>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ii</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20" w:type="dxa"/>
            <w:vAlign w:val="bottom"/>
            <w:gridSpan w:val="13"/>
          </w:tcPr>
          <w:p>
            <w:pPr>
              <w:spacing w:after="0" w:line="20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PROSPECTUS SUMMARY</w:t>
              </w:r>
            </w:hyperlink>
          </w:p>
        </w:tc>
        <w:tc>
          <w:tcPr>
            <w:tcW w:w="7420" w:type="dxa"/>
            <w:vAlign w:val="bottom"/>
            <w:gridSpan w:val="11"/>
          </w:tcPr>
          <w:p>
            <w:pPr>
              <w:spacing w:after="0"/>
              <w:rPr>
                <w:sz w:val="17"/>
                <w:szCs w:val="17"/>
                <w:color w:val="auto"/>
              </w:rPr>
            </w:pPr>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320" w:type="dxa"/>
            <w:vAlign w:val="bottom"/>
            <w:gridSpan w:val="5"/>
            <w:shd w:val="clear" w:color="auto" w:fill="CCEEFF"/>
          </w:tcPr>
          <w:p>
            <w:pPr>
              <w:jc w:val="center"/>
              <w:ind w:left="11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SPECIAL NOTE REGARDING FORWARD-LOOKING STATEMENTS</w:t>
              </w:r>
            </w:hyperlink>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gridSpan w:val="9"/>
            <w:shd w:val="clear" w:color="auto" w:fill="CCEEFF"/>
          </w:tcPr>
          <w:p>
            <w:pPr>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USE OF PROCEEDS</w:t>
              </w:r>
            </w:hyperlink>
          </w:p>
        </w:tc>
        <w:tc>
          <w:tcPr>
            <w:tcW w:w="8060" w:type="dxa"/>
            <w:vAlign w:val="bottom"/>
            <w:gridSpan w:val="15"/>
            <w:shd w:val="clear" w:color="auto" w:fill="CCEEFF"/>
          </w:tcPr>
          <w:p>
            <w:pPr>
              <w:spacing w:after="0"/>
              <w:rPr>
                <w:sz w:val="17"/>
                <w:szCs w:val="17"/>
                <w:color w:val="auto"/>
              </w:rPr>
            </w:pPr>
          </w:p>
        </w:tc>
        <w:tc>
          <w:tcPr>
            <w:tcW w:w="320" w:type="dxa"/>
            <w:vAlign w:val="bottom"/>
            <w:gridSpan w:val="5"/>
            <w:shd w:val="clear" w:color="auto" w:fill="CCEEFF"/>
          </w:tcPr>
          <w:p>
            <w:pPr>
              <w:jc w:val="center"/>
              <w:ind w:left="110"/>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6</w:t>
              </w:r>
            </w:hyperlink>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CAPITAL STOCK</w:t>
              </w:r>
            </w:hyperlink>
          </w:p>
        </w:tc>
        <w:tc>
          <w:tcPr>
            <w:tcW w:w="320" w:type="dxa"/>
            <w:vAlign w:val="bottom"/>
            <w:gridSpan w:val="5"/>
          </w:tcPr>
          <w:p>
            <w:pPr>
              <w:jc w:val="center"/>
              <w:ind w:left="110"/>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7</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DEBT SECURITIES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10</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020" w:type="dxa"/>
            <w:vAlign w:val="bottom"/>
            <w:gridSpan w:val="17"/>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6620" w:type="dxa"/>
            <w:vAlign w:val="bottom"/>
            <w:gridSpan w:val="7"/>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15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LEGAL OWNERSHIP SECURITIES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16</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40" w:type="dxa"/>
            <w:vAlign w:val="bottom"/>
            <w:gridSpan w:val="15"/>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SELLING STOCKHOLDERS</w:t>
              </w:r>
            </w:hyperlink>
          </w:p>
        </w:tc>
        <w:tc>
          <w:tcPr>
            <w:tcW w:w="6900" w:type="dxa"/>
            <w:vAlign w:val="bottom"/>
            <w:gridSpan w:val="9"/>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19</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40" w:type="dxa"/>
            <w:vAlign w:val="bottom"/>
            <w:gridSpan w:val="1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7600" w:type="dxa"/>
            <w:vAlign w:val="bottom"/>
            <w:gridSpan w:val="14"/>
          </w:tcPr>
          <w:p>
            <w:pPr>
              <w:spacing w:after="0"/>
              <w:rPr>
                <w:sz w:val="17"/>
                <w:szCs w:val="17"/>
                <w:color w:val="auto"/>
              </w:rPr>
            </w:pPr>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640" w:type="dxa"/>
            <w:vAlign w:val="bottom"/>
            <w:gridSpan w:val="24"/>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ADDITIONAL INFORMATION</w:t>
              </w:r>
            </w:hyperlink>
          </w:p>
        </w:tc>
        <w:tc>
          <w:tcPr>
            <w:tcW w:w="420" w:type="dxa"/>
            <w:vAlign w:val="bottom"/>
            <w:gridSpan w:val="7"/>
          </w:tcPr>
          <w:p>
            <w:pPr>
              <w:jc w:val="center"/>
              <w:ind w:left="3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640" w:type="dxa"/>
            <w:vAlign w:val="bottom"/>
            <w:gridSpan w:val="24"/>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INCORPORATION OF CERTAIN INFORMATION BY REFERENCE</w:t>
              </w:r>
            </w:hyperlink>
          </w:p>
        </w:tc>
        <w:tc>
          <w:tcPr>
            <w:tcW w:w="420" w:type="dxa"/>
            <w:vAlign w:val="bottom"/>
            <w:gridSpan w:val="7"/>
            <w:shd w:val="clear" w:color="auto" w:fill="CCEEFF"/>
          </w:tcPr>
          <w:p>
            <w:pPr>
              <w:jc w:val="center"/>
              <w:ind w:left="3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280"/>
          </w:cols>
          <w:pgMar w:left="820" w:top="769" w:right="7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prospectus supplement and the accompanying prospectus are part of a “shelf” registration statement on Form S-3 (File No. 333-235714) that we initially filed with the Securities and Exchange Commission (SEC) on December 27, 2019, and that was declared effective by the SEC on January 2, 2020.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3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the selling stockholders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stockholders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spacing w:after="0" w:line="39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the selling stockholders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3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Unless the context indicates otherwise, as used in this prospectus supplement and accompanying prospectus, the terms “SI-BONE” and “iFuse Implant System” 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S-ii</w:t>
      </w:r>
    </w:p>
    <w:p>
      <w:pPr>
        <w:sectPr>
          <w:pgSz w:w="11900" w:h="16838" w:orient="portrait"/>
          <w:cols w:equalWidth="0" w:num="1">
            <w:col w:w="11420"/>
          </w:cols>
          <w:pgMar w:left="240" w:top="75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Key Metrics for Studies</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Statistical significance in the studies described in this prospectus supplement and accompanying prospectus is denoted by p-values for both pain and disability analysis. The p-value is the statistical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performance for subjects surgically treated with iFuse is evaluated using a number of commonly used metrics, including the following:</w:t>
      </w:r>
    </w:p>
    <w:p>
      <w:pPr>
        <w:spacing w:after="0" w:line="200" w:lineRule="exact"/>
        <w:rPr>
          <w:sz w:val="20"/>
          <w:szCs w:val="20"/>
          <w:color w:val="auto"/>
        </w:rPr>
      </w:pPr>
    </w:p>
    <w:p>
      <w:pPr>
        <w:spacing w:after="0" w:line="237" w:lineRule="exact"/>
        <w:rPr>
          <w:sz w:val="20"/>
          <w:szCs w:val="20"/>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worst pain imaginable. The VAS score is used to calculate changes in patient pain.</w:t>
      </w:r>
    </w:p>
    <w:p>
      <w:pPr>
        <w:spacing w:after="0" w:line="161" w:lineRule="exact"/>
        <w:rPr>
          <w:rFonts w:ascii="Arial" w:cs="Arial" w:eastAsia="Arial" w:hAnsi="Arial"/>
          <w:sz w:val="18"/>
          <w:szCs w:val="18"/>
          <w:b w:val="1"/>
          <w:bCs w:val="1"/>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60 represent very severe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9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47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477250"/>
                    </a:xfrm>
                    <a:prstGeom prst="rect">
                      <a:avLst/>
                    </a:prstGeom>
                    <a:noFill/>
                  </pic:spPr>
                </pic:pic>
              </a:graphicData>
            </a:graphic>
          </wp:anchor>
        </w:drawing>
        <w:t>PROSPECTUS SUPPLEMENT SUMMARY</w:t>
      </w:r>
    </w:p>
    <w:p>
      <w:pPr>
        <w:spacing w:after="0" w:line="2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more than 44,000 procedures have been performed by over 2,000 surgeons in the United States and 35 other countries.</w:t>
      </w:r>
    </w:p>
    <w:p>
      <w:pPr>
        <w:spacing w:after="0" w:line="133"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 We believe that the United States market opportunity for sacroiliac joint fusion may be as large as 279,000 procedures per year. In 2019, our implants were used in over 6,400 sacroiliac fusions in the United States, and we believe that iFuse is currently used in the majority of minimally invasive surgical fusions of the sacroiliac joint.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growth rate has recently increased, which we attribute to our commercial progress in 2019 including:</w:t>
      </w:r>
    </w:p>
    <w:p>
      <w:pPr>
        <w:spacing w:after="0" w:line="167" w:lineRule="exact"/>
        <w:rPr>
          <w:sz w:val="20"/>
          <w:szCs w:val="20"/>
          <w:color w:val="auto"/>
        </w:rPr>
      </w:pPr>
    </w:p>
    <w:p>
      <w:pPr>
        <w:jc w:val="both"/>
        <w:ind w:left="660" w:hanging="334"/>
        <w:spacing w:after="0" w:line="25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Expanding our sales organization </w:t>
      </w:r>
      <w:r>
        <w:rPr>
          <w:rFonts w:ascii="Arial" w:cs="Arial" w:eastAsia="Arial" w:hAnsi="Arial"/>
          <w:sz w:val="18"/>
          <w:szCs w:val="18"/>
          <w:color w:val="auto"/>
        </w:rPr>
        <w:t>- we made significant investments in our U.S. salesforce in 2019, adding 40 field-based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to finish the year with 107 (56 sales reps, 51 clinical support specialists) field-based representatives in the United States. We increased our sales and marketing expense by 54% for the nine months ended September 30, 2019 compared to the nine-months ended September 30, 2018. We believe that our expanded field organization allows us to reach more surgeons, educating them to include the sacroiliac joint in their differential diagnosis of lower back pain and regularly perform the iFuse procedure for patients for whom the procedure is indicated.</w:t>
      </w:r>
    </w:p>
    <w:p>
      <w:pPr>
        <w:spacing w:after="0" w:line="133" w:lineRule="exact"/>
        <w:rPr>
          <w:rFonts w:ascii="Arial" w:cs="Arial" w:eastAsia="Arial" w:hAnsi="Arial"/>
          <w:sz w:val="18"/>
          <w:szCs w:val="18"/>
          <w:b w:val="1"/>
          <w:bCs w:val="1"/>
          <w:color w:val="auto"/>
        </w:rPr>
      </w:pPr>
    </w:p>
    <w:p>
      <w:pPr>
        <w:ind w:left="660" w:hanging="334"/>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Influencing reimbursement </w:t>
      </w:r>
      <w:r>
        <w:rPr>
          <w:rFonts w:ascii="Arial" w:cs="Arial" w:eastAsia="Arial" w:hAnsi="Arial"/>
          <w:sz w:val="18"/>
          <w:szCs w:val="18"/>
          <w:color w:val="auto"/>
        </w:rPr>
        <w:t>- we made progress in both the number of covered lives and the Medicare physician fee for surgeons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minimally invasive sacroiliac fusion in the U.S.</w:t>
      </w:r>
    </w:p>
    <w:p>
      <w:pPr>
        <w:spacing w:after="0" w:line="111" w:lineRule="exact"/>
        <w:rPr>
          <w:rFonts w:ascii="Arial" w:cs="Arial" w:eastAsia="Arial" w:hAnsi="Arial"/>
          <w:sz w:val="18"/>
          <w:szCs w:val="18"/>
          <w:b w:val="1"/>
          <w:bCs w:val="1"/>
          <w:color w:val="auto"/>
        </w:rPr>
      </w:pPr>
    </w:p>
    <w:p>
      <w:pPr>
        <w:jc w:val="both"/>
        <w:ind w:left="980" w:hanging="330"/>
        <w:spacing w:after="0" w:line="289" w:lineRule="auto"/>
        <w:tabs>
          <w:tab w:leader="none" w:pos="980" w:val="left"/>
        </w:tabs>
        <w:numPr>
          <w:ilvl w:val="1"/>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Covered lives </w:t>
      </w:r>
      <w:r>
        <w:rPr>
          <w:rFonts w:ascii="Arial" w:cs="Arial" w:eastAsia="Arial" w:hAnsi="Arial"/>
          <w:sz w:val="16"/>
          <w:szCs w:val="16"/>
          <w:color w:val="auto"/>
        </w:rPr>
        <w:t>- in September 2019, we published five-year outcomes data from our long-term prospective clinical trial, LOIS.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we have over 80 published clinical studies and papers, including two randomized controlled trials. Many private commercial payors consider longer-term data from clinical trials necessary to support coverage for surgical procedures. In December 2019, Cigna, a large private health insurer covering approximately 14.6 million lives in the United States, announced a positive coverage policy for minimally invasive sacroiliac joint dysfunction. We started the new year with over 282 million covered lives in the United States, with over 60 million of those lives covered by 35 payors who reimburse for minimally invasive sacroiliac fusion exclusively when performed with iFuse. These payors have based their exclusive coverage decisions on the quality of our data. There are now 112 payors in the United States which cover iFuse. We believe that the full impact of each coverage decision grows over time as surgeons gain confidence that they will receive reimbursement for the majority of their diagnosed patients.</w:t>
      </w:r>
    </w:p>
    <w:p>
      <w:pPr>
        <w:spacing w:after="0" w:line="112" w:lineRule="exact"/>
        <w:rPr>
          <w:rFonts w:ascii="Arial" w:cs="Arial" w:eastAsia="Arial" w:hAnsi="Arial"/>
          <w:sz w:val="16"/>
          <w:szCs w:val="16"/>
          <w:b w:val="1"/>
          <w:bCs w:val="1"/>
          <w:i w:val="1"/>
          <w:iCs w:val="1"/>
          <w:color w:val="auto"/>
        </w:rPr>
      </w:pPr>
    </w:p>
    <w:p>
      <w:pPr>
        <w:jc w:val="both"/>
        <w:ind w:left="980" w:hanging="330"/>
        <w:spacing w:after="0" w:line="255" w:lineRule="auto"/>
        <w:tabs>
          <w:tab w:leader="none" w:pos="9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in November 2019, the Center for Medicare &amp; Medicaid Services, or CMS, announced that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average physician fee reimbursement for minimally invasive sacroiliac joint fusion would be increased from $720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with iFuse.</w:t>
      </w:r>
    </w:p>
    <w:p>
      <w:pPr>
        <w:sectPr>
          <w:pgSz w:w="11900" w:h="16838" w:orient="portrait"/>
          <w:cols w:equalWidth="0" w:num="1">
            <w:col w:w="10580"/>
          </w:cols>
          <w:pgMar w:left="660" w:top="122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580"/>
          </w:cols>
          <w:pgMar w:left="660" w:top="1229" w:right="659" w:bottom="1440" w:gutter="0" w:footer="0" w:header="0"/>
          <w:type w:val="continuous"/>
        </w:sectPr>
      </w:pPr>
    </w:p>
    <w:bookmarkStart w:id="5" w:name="page6"/>
    <w:bookmarkEnd w:id="5"/>
    <w:p>
      <w:pPr>
        <w:jc w:val="both"/>
        <w:ind w:left="660" w:hanging="334"/>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790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902575"/>
                    </a:xfrm>
                    <a:prstGeom prst="rect">
                      <a:avLst/>
                    </a:prstGeom>
                    <a:noFill/>
                  </pic:spPr>
                </pic:pic>
              </a:graphicData>
            </a:graphic>
          </wp:anchor>
        </w:drawing>
        <w:t xml:space="preserve">Increasing surgeon activity </w:t>
      </w:r>
      <w:r>
        <w:rPr>
          <w:rFonts w:ascii="Arial" w:cs="Arial" w:eastAsia="Arial" w:hAnsi="Arial"/>
          <w:sz w:val="17"/>
          <w:szCs w:val="17"/>
          <w:color w:val="auto"/>
        </w:rPr>
        <w:t>- we grew our active surgeon base to 539 surgeons at the end of the year, compared to 450 active surgeons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end of 2018. We define an active surgeon to be a surgeon who has performed at least one case in the last three months. The increase in active surgeons is primarily due to training of additional surgeons throughout the year. We have approximately 100 surgeon trainer consultants who train new surgeons, focusing on diagnosis and treatment. Approximately 1,400 surgeons in the United States have been trained on iFuse and have treated at least one patient. We will continue to pursue the remainder of the approximately 7,500 target surgeons in the United States for training in the future.</w:t>
      </w:r>
    </w:p>
    <w:p>
      <w:pPr>
        <w:spacing w:after="0" w:line="119" w:lineRule="exact"/>
        <w:rPr>
          <w:rFonts w:ascii="Arial" w:cs="Arial" w:eastAsia="Arial" w:hAnsi="Arial"/>
          <w:sz w:val="17"/>
          <w:szCs w:val="17"/>
          <w:color w:val="auto"/>
        </w:rPr>
      </w:pPr>
    </w:p>
    <w:p>
      <w:pPr>
        <w:jc w:val="both"/>
        <w:ind w:left="660" w:hanging="334"/>
        <w:spacing w:after="0" w:line="288"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Engaging key opinion leaders </w:t>
      </w:r>
      <w:r>
        <w:rPr>
          <w:rFonts w:ascii="Arial" w:cs="Arial" w:eastAsia="Arial" w:hAnsi="Arial"/>
          <w:sz w:val="16"/>
          <w:szCs w:val="16"/>
          <w:color w:val="auto"/>
        </w:rPr>
        <w:t>- we conducted training courses in over 30 academic centers in the United States in 2019. We are seeing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from key opinion leaders at academic centers in our Bedrock technique. We introduced this technique in June 2019 for use in the fusion of the sacroiliac joints in conjunction with a multi-segment spinal fusion, or long construct, procedure. The Bedrock technique is based on our proprietary implants and is used to increase stability at the base of a long construct. Biomechanical data shows that the Bedrock technique reduces sacroiliac joint motion by approximately 30% in conjunction with a long construct. Interest in the Bedrock technique has enabled our field sales representatives to access leading spine surgeons at important academic medical centers in the United States, our representatives are often then able to train a broader group of spine surgeons, often including residents and fellows in training at the centers, on both the Bedrock technique and minimally invasive sacroiliac fusion. We recently received CE mark clearance for the promotion of the Bedrock technique in Europe and we are now in the process of launching the promotion of this technique in select European markets. We believe that acceptance of the sacroiliac joint as a pain generator by leading spine surgeons may result in more widespread awareness of sacroiliac joint dysfunction and its role in causing certain types of chronic low back pain.</w:t>
      </w:r>
    </w:p>
    <w:p>
      <w:pPr>
        <w:spacing w:after="0" w:line="114"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In 2017 and 2018, we generated revenue of $48.0 million and $55.4 million, respectively, a growth rate of 15%, and incurred net losses of $23.0 million and $17.4 million, respectively. Our gross margins were 89% and 91% for 2017 and 2018, respectively. For the nine months ended September 30, 2018 and 2019, we generated revenue of $39.8 million and $47.5 million, respectively, a growth rate of 19%, and incurred net losses of $12.1 million and $29.3 million, respectively. Our gross margins were 91% and 90% for the nine months ended September 30, 2018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The iFuse system includes a series of patented triangular titanium implants and the instruments we have developed to enable the procedure. The surgeon places our implants across the sacroiliac joint, either from a lateral approach through the iliac, or hip, bones into the sacrum, or from a posterior approach through the sacrum and into the iliac bone in the Bedrock technique. Surgeons typically use three iFuse implants to fuse a sacroiliac joint in the lateral procedure, and the Bedrock technique involves placement of one iFuse implant in each sacroiliac joint, alongside another device crossing the joint and joining to the spinal construct.</w:t>
      </w:r>
    </w:p>
    <w:p>
      <w:pPr>
        <w:spacing w:after="0" w:line="134"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Our iFuse Implants have a triangular cross section, which resists twisting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ingrowth, which results in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has at least three times the strength of a typical eight-millimeter surgical screw, and the larger porous surface area of our implants allows for bony ingrowth.</w:t>
      </w:r>
    </w:p>
    <w:p>
      <w:pPr>
        <w:spacing w:after="0" w:line="111"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w:t>
      </w:r>
    </w:p>
    <w:p>
      <w:pPr>
        <w:spacing w:after="0" w:line="13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In April 2019, we received clearance from the U.S. Food and Drug Administration, or FDA, to promote the use of our iFuse system with the iFuse Bedrock procedure for fusion of the sacroiliac joint in conjunction with multi-level spinal fusion procedures to provide further stabilization and immobilization of the sacroiliac joint. We received CE marking and began marketing our iFuse system for the same indication in Europe in December 2019.</w:t>
      </w:r>
    </w:p>
    <w:p>
      <w:pPr>
        <w:spacing w:after="0" w:line="133"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United States, and with a combination of a direct sales force and distributors in other countries. The cost of an instrument set used in an iFuse procedure is approximately $8,000, which is less than the average total selling price of the three iFuse implants typically used in a minimally invasive sacroiliac fusion. An instrument set typically has a useful life of 3 years before the instruments are no longer reusable and in the nine months ended September 30, 2019, our gross margins were 90%, creating a capital efficient model.</w:t>
      </w:r>
    </w:p>
    <w:p>
      <w:pPr>
        <w:sectPr>
          <w:pgSz w:w="11900" w:h="16838" w:orient="portrait"/>
          <w:cols w:equalWidth="0" w:num="1">
            <w:col w:w="10580"/>
          </w:cols>
          <w:pgMar w:left="660" w:top="133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580"/>
          </w:cols>
          <w:pgMar w:left="660" w:top="1337" w:right="6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7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279765"/>
                    </a:xfrm>
                    <a:prstGeom prst="rect">
                      <a:avLst/>
                    </a:prstGeom>
                    <a:noFill/>
                  </pic:spPr>
                </pic:pic>
              </a:graphicData>
            </a:graphic>
          </wp:anchor>
        </w:drawing>
        <w:t>Our Strategy</w:t>
      </w:r>
    </w:p>
    <w:p>
      <w:pPr>
        <w:spacing w:after="0" w:line="175" w:lineRule="exact"/>
        <w:rPr>
          <w:sz w:val="20"/>
          <w:szCs w:val="20"/>
          <w:color w:val="auto"/>
        </w:rPr>
      </w:pPr>
    </w:p>
    <w:p>
      <w:pPr>
        <w:ind w:firstLine="297"/>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70" w:lineRule="exact"/>
        <w:rPr>
          <w:sz w:val="20"/>
          <w:szCs w:val="20"/>
          <w:color w:val="auto"/>
        </w:rPr>
      </w:pPr>
    </w:p>
    <w:p>
      <w:pPr>
        <w:ind w:left="660" w:right="20" w:hanging="334"/>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69" w:lineRule="exact"/>
        <w:rPr>
          <w:rFonts w:ascii="Arial" w:cs="Arial" w:eastAsia="Arial" w:hAnsi="Arial"/>
          <w:sz w:val="16"/>
          <w:szCs w:val="16"/>
          <w:color w:val="auto"/>
        </w:rPr>
      </w:pPr>
    </w:p>
    <w:p>
      <w:pPr>
        <w:jc w:val="both"/>
        <w:ind w:left="660" w:hanging="334"/>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North American Spine Society, or NASS, Congress of Neurologic Surgeons, or CNS, American Academy of Neurologic Surgeons, or AANS, International Society for Advancement of Spine Surgery, or ISASS, the Scoliosis Research Society, or SRS, and the American Academy of Orthopaedic Surgeons, or AAOS, to increase their education programs teaching the diagnosis of the sacroiliac joint as part of the differential diagnosis of lower back pain;</w:t>
      </w:r>
    </w:p>
    <w:p>
      <w:pPr>
        <w:spacing w:after="0" w:line="139"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71"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82" w:lineRule="exact"/>
        <w:rPr>
          <w:rFonts w:ascii="Arial" w:cs="Arial" w:eastAsia="Arial" w:hAnsi="Arial"/>
          <w:sz w:val="17"/>
          <w:szCs w:val="17"/>
          <w:color w:val="auto"/>
        </w:rPr>
      </w:pPr>
    </w:p>
    <w:p>
      <w:pPr>
        <w:jc w:val="both"/>
        <w:ind w:left="660" w:hanging="334"/>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surgical treatment of the sacropelvic anatomy, and obtain domestic and international regulatory clearance or approvals to market them in the United States and additional countries; and</w:t>
      </w:r>
    </w:p>
    <w:p>
      <w:pPr>
        <w:spacing w:after="0" w:line="127" w:lineRule="exact"/>
        <w:rPr>
          <w:rFonts w:ascii="Arial" w:cs="Arial" w:eastAsia="Arial" w:hAnsi="Arial"/>
          <w:sz w:val="18"/>
          <w:szCs w:val="18"/>
          <w:color w:val="auto"/>
        </w:rPr>
      </w:pPr>
    </w:p>
    <w:p>
      <w:pPr>
        <w:ind w:left="660" w:hanging="33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34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December 31, 2019, we had 262 employees, including a direct field sales organization of 107 in the United States and 19 in Europe. As of December 31, 2019, we had 50 issued patents throughout the world, of which 40 were in the United States, and 24 pending patent applications, of which 19 were in the United States. These patents and applications cover various aspects of the iFuse procedure, implants and instruments.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39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116" w:lineRule="exact"/>
        <w:rPr>
          <w:sz w:val="20"/>
          <w:szCs w:val="20"/>
          <w:color w:val="auto"/>
        </w:rPr>
      </w:pPr>
    </w:p>
    <w:p>
      <w:pPr>
        <w:ind w:left="660" w:right="2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16" w:lineRule="exact"/>
        <w:rPr>
          <w:rFonts w:ascii="Arial" w:cs="Arial" w:eastAsia="Arial" w:hAnsi="Arial"/>
          <w:sz w:val="18"/>
          <w:szCs w:val="18"/>
          <w:color w:val="auto"/>
        </w:rPr>
      </w:pPr>
    </w:p>
    <w:p>
      <w:pPr>
        <w:jc w:val="both"/>
        <w:ind w:left="660" w:right="20" w:hanging="33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127"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116" w:lineRule="exact"/>
        <w:rPr>
          <w:rFonts w:ascii="Arial" w:cs="Arial" w:eastAsia="Arial" w:hAnsi="Arial"/>
          <w:sz w:val="18"/>
          <w:szCs w:val="18"/>
          <w:color w:val="auto"/>
        </w:rPr>
      </w:pPr>
    </w:p>
    <w:p>
      <w:pPr>
        <w:ind w:left="660" w:hanging="334"/>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clinical experience with our iFuse Bedrock procedure does not result in positive outcomes for patients or if clinical trials involving the use of iFuse Bedrock fail to show meaningful patient benefit, sales of our iFuse implants could be adversely impacted;</w:t>
      </w:r>
    </w:p>
    <w:p>
      <w:pPr>
        <w:sectPr>
          <w:pgSz w:w="11900" w:h="16838" w:orient="portrait"/>
          <w:cols w:equalWidth="0" w:num="1">
            <w:col w:w="10580"/>
          </w:cols>
          <w:pgMar w:left="660" w:top="1337" w:right="6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580"/>
          </w:cols>
          <w:pgMar w:left="660" w:top="1337" w:right="659" w:bottom="1440" w:gutter="0" w:footer="0" w:header="0"/>
          <w:type w:val="continuous"/>
        </w:sectPr>
      </w:pPr>
    </w:p>
    <w:bookmarkStart w:id="7" w:name="page8"/>
    <w:bookmarkEnd w:id="7"/>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24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45475"/>
                    </a:xfrm>
                    <a:prstGeom prst="rect">
                      <a:avLst/>
                    </a:prstGeom>
                    <a:noFill/>
                  </pic:spPr>
                </pic:pic>
              </a:graphicData>
            </a:graphic>
          </wp:anchor>
        </w:drawing>
        <w:t>We currently manufacture and sell products primarily used in a single procedure, which could negatively affect our operations and financial condition;</w:t>
      </w:r>
    </w:p>
    <w:p>
      <w:pPr>
        <w:spacing w:after="0" w:line="116" w:lineRule="exact"/>
        <w:rPr>
          <w:rFonts w:ascii="Arial" w:cs="Arial" w:eastAsia="Arial" w:hAnsi="Arial"/>
          <w:sz w:val="18"/>
          <w:szCs w:val="18"/>
          <w:color w:val="auto"/>
        </w:rPr>
      </w:pPr>
    </w:p>
    <w:p>
      <w:pPr>
        <w:ind w:left="660" w:right="2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116"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116" w:lineRule="exact"/>
        <w:rPr>
          <w:rFonts w:ascii="Arial" w:cs="Arial" w:eastAsia="Arial" w:hAnsi="Arial"/>
          <w:sz w:val="18"/>
          <w:szCs w:val="18"/>
          <w:color w:val="auto"/>
        </w:rPr>
      </w:pPr>
    </w:p>
    <w:p>
      <w:pPr>
        <w:ind w:left="660" w:hanging="334"/>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391" w:lineRule="exact"/>
        <w:rPr>
          <w:sz w:val="20"/>
          <w:szCs w:val="20"/>
          <w:color w:val="auto"/>
        </w:rPr>
      </w:pPr>
    </w:p>
    <w:p>
      <w:pPr>
        <w:jc w:val="both"/>
        <w:ind w:firstLine="297"/>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and therefore we have taken, and intend to continue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from our initial public offering, which occurred in October 2018,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91" w:lineRule="exact"/>
        <w:rPr>
          <w:sz w:val="20"/>
          <w:szCs w:val="20"/>
          <w:color w:val="auto"/>
        </w:rPr>
      </w:pPr>
    </w:p>
    <w:p>
      <w:pPr>
        <w:jc w:val="both"/>
        <w:ind w:firstLine="297"/>
        <w:spacing w:after="0" w:line="253" w:lineRule="auto"/>
        <w:rPr>
          <w:sz w:val="20"/>
          <w:szCs w:val="20"/>
          <w:color w:val="auto"/>
        </w:rPr>
      </w:pPr>
      <w:r>
        <w:rPr>
          <w:rFonts w:ascii="Arial" w:cs="Arial" w:eastAsia="Arial" w:hAnsi="Arial"/>
          <w:sz w:val="18"/>
          <w:szCs w:val="18"/>
          <w:color w:val="auto"/>
        </w:rPr>
        <w:t>Set forth below are preliminary expectations for the three and twelve months ended December 31, 2019 compared to actual financial results for the three and twelve months ended December 31, 2018. We have provided a range for preliminary revenue results because our financial closing procedures for the three months ended December 31, 2019 are not yet complete. We believe that the estimated revenue is important to an investor’s understanding of our performance, notwithstanding that we are not yet able to provide estimated loss from operations or net loss data. These preliminary results represent our estimates only based on currently available information and do not present all necessary information for an understanding of our financial condition as of December 31, 2019 or our results of operations for the three and twelve months ended December 31, 2019. As we complete our year-end financial close process and finalize our audited financial statements for the twelve months ended December 31, 2019, we may be required to make significant judgments in a number of areas, including revenue, inventory and stock-based compensation.</w:t>
      </w:r>
    </w:p>
    <w:p>
      <w:pPr>
        <w:spacing w:after="0" w:line="143"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This preliminary financial information has been prepared by and is the responsibility of our management. PricewaterhouseCoopers LLP, our independent registered public accounting firm, has not audited, reviewed, compiled or performed any procedures with respect to this preliminary financial data or the accounting treatment thereof and does not express an opinion or any other form of assurance with respect thereto. We expect to complete our audited financial statements for the twelve months ended December 31, 2019 subsequent to the completion of this offering. It is possible that we or PricewaterhouseCoopers LLP may identify items that require us to make adjustments to the financial information set forth below and those changes could be material. We do not intend to update the financial information set forth below prior to completion of our year-end audited financial statements. Accordingly, undue reliance should not be placed on these preliminary estimates. These preliminary estimates are not necessarily indicative of any future period and should be read together with “Risk Factors” and “Special Note Regarding Forward-Looking Statements” included elsewhere in this prospectus supplement and accompanying prospectus.</w:t>
      </w:r>
    </w:p>
    <w:p>
      <w:pPr>
        <w:spacing w:after="0" w:line="113" w:lineRule="exact"/>
        <w:rPr>
          <w:sz w:val="20"/>
          <w:szCs w:val="20"/>
          <w:color w:val="auto"/>
        </w:rPr>
      </w:pPr>
    </w:p>
    <w:p>
      <w:pPr>
        <w:jc w:val="both"/>
        <w:ind w:firstLine="297"/>
        <w:spacing w:after="0" w:line="273" w:lineRule="auto"/>
        <w:rPr>
          <w:sz w:val="20"/>
          <w:szCs w:val="20"/>
          <w:color w:val="auto"/>
        </w:rPr>
      </w:pPr>
      <w:r>
        <w:rPr>
          <w:rFonts w:ascii="Arial" w:cs="Arial" w:eastAsia="Arial" w:hAnsi="Arial"/>
          <w:sz w:val="17"/>
          <w:szCs w:val="17"/>
          <w:color w:val="auto"/>
        </w:rPr>
        <w:t>Preliminary and unaudited revenue for the three months ended December 31, 2019 is expected to be in the range of $19.5-$19.8 million, reflecting growth of 25-27% compared to the prior year period. U.S. revenue is expected to be in the range of $18.3-$18.5 million, reflecting growth of 27-28% compared to the prior year period. International revenue is expected to be in the range of $1.2-$1.3 million. Preliminary and unaudited revenue for the year ended December 31, 2019 is expected to be in the range of $67.0-$67.3 million, reflecting growth of approximately 21% over the prior year period. U.S. revenue is expected to be in the range of $61.6-$61.8 million, reflecting growth of approximately 23% compared to the prior year period. International revenue is expected to be in the range of $5.4-$5.5 million.</w:t>
      </w:r>
    </w:p>
    <w:p>
      <w:pPr>
        <w:sectPr>
          <w:pgSz w:w="11900" w:h="16838" w:orient="portrait"/>
          <w:cols w:equalWidth="0" w:num="1">
            <w:col w:w="10580"/>
          </w:cols>
          <w:pgMar w:left="660" w:top="1341" w:right="65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580"/>
          </w:cols>
          <w:pgMar w:left="660" w:top="1341" w:right="659" w:bottom="1440" w:gutter="0" w:footer="0" w:header="0"/>
          <w:type w:val="continuous"/>
        </w:sectPr>
      </w:pPr>
    </w:p>
    <w:bookmarkStart w:id="8" w:name="page9"/>
    <w:bookmarkEnd w:id="8"/>
    <w:p>
      <w:pPr>
        <w:jc w:val="both"/>
        <w:ind w:firstLine="297"/>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952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9523095"/>
                    </a:xfrm>
                    <a:prstGeom prst="rect">
                      <a:avLst/>
                    </a:prstGeom>
                    <a:noFill/>
                  </pic:spPr>
                </pic:pic>
              </a:graphicData>
            </a:graphic>
          </wp:anchor>
        </w:drawing>
        <w:t>For the three months ended December 31, 2019, we expect to report incremental investment in several expense items that are not comparable to the three months ended December 31, 2018. Cost of goods sold is expected to increase above revenue growth due to additional investment in operations personnel to support our business, resulting in a decrease in our gross margin. Operating expenses include additional investments in sales force hiring, new surgeon training, new product development, higher stock compensation expenses and ongoing costs associated with being a public company. We also anticipate that we will recognize a loss reserve of $0.7 million during the three months ended December 31, 2019, which reflects the additional estimable costs the company may incur from settlement of litigation related to certain marketing practices. As a result, we expect our loss from operations for the three and twelve months ended December 31, 2019 to be higher than the three and twelve months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39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spacing w:after="0" w:line="3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32"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2,490,053 shares.</w:t>
      </w:r>
    </w:p>
    <w:p>
      <w:pPr>
        <w:spacing w:after="0" w:line="22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offered by the selling stockholders</w:t>
      </w:r>
      <w:r>
        <w:rPr>
          <w:sz w:val="20"/>
          <w:szCs w:val="20"/>
          <w:color w:val="auto"/>
        </w:rPr>
        <w:tab/>
      </w:r>
      <w:r>
        <w:rPr>
          <w:rFonts w:ascii="Arial" w:cs="Arial" w:eastAsia="Arial" w:hAnsi="Arial"/>
          <w:sz w:val="16"/>
          <w:szCs w:val="16"/>
          <w:color w:val="auto"/>
        </w:rPr>
        <w:t>1,809,947 shares of common stock.</w:t>
      </w:r>
    </w:p>
    <w:p>
      <w:pPr>
        <w:spacing w:after="0" w:line="22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Common stock to be outstanding immediately after this</w:t>
      </w:r>
      <w:r>
        <w:rPr>
          <w:sz w:val="20"/>
          <w:szCs w:val="20"/>
          <w:color w:val="auto"/>
        </w:rPr>
        <w:tab/>
      </w:r>
      <w:r>
        <w:rPr>
          <w:rFonts w:ascii="Arial" w:cs="Arial" w:eastAsia="Arial" w:hAnsi="Arial"/>
          <w:sz w:val="16"/>
          <w:szCs w:val="16"/>
          <w:color w:val="auto"/>
        </w:rPr>
        <w:t>27,455,565 shares of common stock (or 28,100,565 shares if the underwriters</w:t>
      </w:r>
    </w:p>
    <w:p>
      <w:pPr>
        <w:spacing w:after="0" w:line="23"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6"/>
          <w:szCs w:val="16"/>
          <w:color w:val="auto"/>
        </w:rPr>
        <w:t>offering</w:t>
      </w:r>
      <w:r>
        <w:rPr>
          <w:sz w:val="20"/>
          <w:szCs w:val="20"/>
          <w:color w:val="auto"/>
        </w:rPr>
        <w:tab/>
      </w:r>
      <w:r>
        <w:rPr>
          <w:rFonts w:ascii="Arial" w:cs="Arial" w:eastAsia="Arial" w:hAnsi="Arial"/>
          <w:sz w:val="16"/>
          <w:szCs w:val="16"/>
          <w:color w:val="auto"/>
        </w:rPr>
        <w:t>exercise in full their option to purchase additional shares of common stock from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us).</w:t>
      </w:r>
    </w:p>
    <w:p>
      <w:pPr>
        <w:spacing w:after="0" w:line="319"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Option to purchase additional common stock</w:t>
      </w:r>
      <w:r>
        <w:rPr>
          <w:sz w:val="20"/>
          <w:szCs w:val="20"/>
          <w:color w:val="auto"/>
        </w:rPr>
        <w:tab/>
      </w:r>
      <w:r>
        <w:rPr>
          <w:rFonts w:ascii="Arial" w:cs="Arial" w:eastAsia="Arial" w:hAnsi="Arial"/>
          <w:sz w:val="17"/>
          <w:szCs w:val="17"/>
          <w:color w:val="auto"/>
        </w:rPr>
        <w:t>We have granted the underwriters an option for a period of 30 days from the</w:t>
      </w:r>
    </w:p>
    <w:p>
      <w:pPr>
        <w:spacing w:after="0" w:line="23" w:lineRule="exact"/>
        <w:rPr>
          <w:sz w:val="20"/>
          <w:szCs w:val="20"/>
          <w:color w:val="auto"/>
        </w:rPr>
      </w:pPr>
    </w:p>
    <w:p>
      <w:pPr>
        <w:ind w:left="4700" w:right="80"/>
        <w:spacing w:after="0" w:line="261" w:lineRule="auto"/>
        <w:rPr>
          <w:sz w:val="20"/>
          <w:szCs w:val="20"/>
          <w:color w:val="auto"/>
        </w:rPr>
      </w:pPr>
      <w:r>
        <w:rPr>
          <w:rFonts w:ascii="Arial" w:cs="Arial" w:eastAsia="Arial" w:hAnsi="Arial"/>
          <w:sz w:val="18"/>
          <w:szCs w:val="18"/>
          <w:color w:val="auto"/>
        </w:rPr>
        <w:t>date of this prospectus supplement to purchase up to 645,000 of additional shares of common stock.</w:t>
      </w:r>
    </w:p>
    <w:p>
      <w:pPr>
        <w:spacing w:after="0" w:line="197"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to us from this offering, after deducting</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estimated underwriting discounts and commissions and estimated offering</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expenses payable by us, will be $49.7 million (or $62.8 million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underwriters exercise in full their option to purchase additional shares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common stock from us). We will not receive any net proceeds from this offering</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from the sales of common stock by the selling stockholders.</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We currently intend to use the net proceeds from this offering to support the</w:t>
      </w:r>
    </w:p>
    <w:p>
      <w:pPr>
        <w:spacing w:after="0" w:line="3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continued commercial expansion of our iFuse system, sales and marketing,</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surgeon training and clinical studies, as well as working capital and general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corporate purposes. We may also use a portion of our net proceeds to acquire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invest in complementary products, technologies, or businesses; however, we</w:t>
      </w:r>
    </w:p>
    <w:p>
      <w:pPr>
        <w:spacing w:after="0" w:line="21" w:lineRule="exact"/>
        <w:rPr>
          <w:sz w:val="20"/>
          <w:szCs w:val="20"/>
          <w:color w:val="auto"/>
        </w:rPr>
      </w:pPr>
    </w:p>
    <w:p>
      <w:pPr>
        <w:ind w:left="4700"/>
        <w:spacing w:after="0"/>
        <w:tabs>
          <w:tab w:leader="none" w:pos="5480" w:val="left"/>
          <w:tab w:leader="none" w:pos="5960" w:val="left"/>
          <w:tab w:leader="none" w:pos="6280" w:val="left"/>
          <w:tab w:leader="none" w:pos="7240" w:val="left"/>
          <w:tab w:leader="none" w:pos="7540" w:val="left"/>
          <w:tab w:leader="none" w:pos="8660" w:val="left"/>
          <w:tab w:leader="none" w:pos="8940" w:val="left"/>
          <w:tab w:leader="none" w:pos="9760" w:val="left"/>
          <w:tab w:leader="none" w:pos="10160" w:val="left"/>
        </w:tabs>
        <w:rPr>
          <w:sz w:val="20"/>
          <w:szCs w:val="20"/>
          <w:color w:val="auto"/>
        </w:rPr>
      </w:pPr>
      <w:r>
        <w:rPr>
          <w:rFonts w:ascii="Arial" w:cs="Arial" w:eastAsia="Arial" w:hAnsi="Arial"/>
          <w:sz w:val="18"/>
          <w:szCs w:val="18"/>
          <w:color w:val="auto"/>
        </w:rPr>
        <w:t>currently</w:t>
        <w:tab/>
        <w:t>have</w:t>
        <w:tab/>
        <w:t>no</w:t>
        <w:tab/>
        <w:t>agreements</w:t>
        <w:tab/>
        <w:t>or</w:t>
        <w:tab/>
        <w:t>commitments</w:t>
        <w:tab/>
        <w:t>to</w:t>
        <w:tab/>
        <w:t>complete</w:t>
        <w:tab/>
        <w:t>any</w:t>
      </w:r>
      <w:r>
        <w:rPr>
          <w:sz w:val="20"/>
          <w:szCs w:val="20"/>
          <w:color w:val="auto"/>
        </w:rPr>
        <w:tab/>
      </w:r>
      <w:r>
        <w:rPr>
          <w:rFonts w:ascii="Arial" w:cs="Arial" w:eastAsia="Arial" w:hAnsi="Arial"/>
          <w:sz w:val="15"/>
          <w:szCs w:val="15"/>
          <w:color w:val="auto"/>
        </w:rPr>
        <w:t>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transactions.  See  “Use  of  Proceeds”  on  page  S-10  of  this  prospectus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supplement.</w:t>
      </w:r>
    </w:p>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46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the other information included in this prospectus</w:t>
      </w:r>
    </w:p>
    <w:p>
      <w:pPr>
        <w:spacing w:after="0" w:line="23" w:lineRule="exact"/>
        <w:rPr>
          <w:sz w:val="20"/>
          <w:szCs w:val="20"/>
          <w:color w:val="auto"/>
        </w:rPr>
      </w:pPr>
    </w:p>
    <w:p>
      <w:pPr>
        <w:ind w:left="4700" w:right="100"/>
        <w:spacing w:after="0" w:line="290" w:lineRule="auto"/>
        <w:rPr>
          <w:sz w:val="20"/>
          <w:szCs w:val="20"/>
          <w:color w:val="auto"/>
        </w:rPr>
      </w:pPr>
      <w:r>
        <w:rPr>
          <w:rFonts w:ascii="Arial" w:cs="Arial" w:eastAsia="Arial" w:hAnsi="Arial"/>
          <w:sz w:val="17"/>
          <w:szCs w:val="17"/>
          <w:color w:val="auto"/>
        </w:rPr>
        <w:t>supplement and accompanying prospectus for a discussion of factors you should consider carefully before deciding to invest in our common stock.</w:t>
      </w:r>
    </w:p>
    <w:p>
      <w:pPr>
        <w:spacing w:after="0" w:line="175" w:lineRule="exact"/>
        <w:rPr>
          <w:sz w:val="20"/>
          <w:szCs w:val="20"/>
          <w:color w:val="auto"/>
        </w:rPr>
      </w:pPr>
    </w:p>
    <w:p>
      <w:pPr>
        <w:ind w:left="80"/>
        <w:spacing w:after="0"/>
        <w:tabs>
          <w:tab w:leader="none" w:pos="4680" w:val="left"/>
        </w:tabs>
        <w:rPr>
          <w:sz w:val="20"/>
          <w:szCs w:val="20"/>
          <w:color w:val="auto"/>
        </w:rPr>
      </w:pPr>
      <w:r>
        <w:rPr>
          <w:rFonts w:ascii="Arial" w:cs="Arial" w:eastAsia="Arial" w:hAnsi="Arial"/>
          <w:sz w:val="18"/>
          <w:szCs w:val="18"/>
          <w:color w:val="auto"/>
        </w:rPr>
        <w:t>Nasdaq Global Market trading symbol</w:t>
      </w:r>
      <w:r>
        <w:rPr>
          <w:sz w:val="20"/>
          <w:szCs w:val="20"/>
          <w:color w:val="auto"/>
        </w:rPr>
        <w:tab/>
      </w:r>
      <w:r>
        <w:rPr>
          <w:rFonts w:ascii="Arial" w:cs="Arial" w:eastAsia="Arial" w:hAnsi="Arial"/>
          <w:sz w:val="18"/>
          <w:szCs w:val="18"/>
          <w:color w:val="auto"/>
        </w:rPr>
        <w:t>“SIBN”.</w:t>
      </w:r>
    </w:p>
    <w:p>
      <w:pPr>
        <w:spacing w:after="0" w:line="25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ectPr>
          <w:pgSz w:w="11900" w:h="16838" w:orient="portrait"/>
          <w:cols w:equalWidth="0" w:num="1">
            <w:col w:w="10580"/>
          </w:cols>
          <w:pgMar w:left="660" w:top="1341" w:right="659" w:bottom="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580"/>
          </w:cols>
          <w:pgMar w:left="660" w:top="1341" w:right="659" w:bottom="109" w:gutter="0" w:footer="0" w:header="0"/>
          <w:type w:val="continuous"/>
        </w:sectPr>
      </w:pPr>
    </w:p>
    <w:bookmarkStart w:id="9" w:name="page10"/>
    <w:bookmarkEnd w:id="9"/>
    <w:p>
      <w:pPr>
        <w:ind w:left="660" w:hanging="334"/>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2816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816860"/>
                    </a:xfrm>
                    <a:prstGeom prst="rect">
                      <a:avLst/>
                    </a:prstGeom>
                    <a:noFill/>
                  </pic:spPr>
                </pic:pic>
              </a:graphicData>
            </a:graphic>
          </wp:anchor>
        </w:drawing>
        <w:t>118,122 shares of common stock underlying warrants outstanding at a weighted average exercise price of $13.76 per share; and</w:t>
      </w:r>
    </w:p>
    <w:p>
      <w:pPr>
        <w:spacing w:after="0" w:line="128" w:lineRule="exact"/>
        <w:rPr>
          <w:rFonts w:ascii="Arial" w:cs="Arial" w:eastAsia="Arial" w:hAnsi="Arial"/>
          <w:sz w:val="17"/>
          <w:szCs w:val="17"/>
          <w:color w:val="auto"/>
        </w:rPr>
      </w:pPr>
    </w:p>
    <w:p>
      <w:pPr>
        <w:ind w:left="660" w:right="220" w:hanging="33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3,230,172 shares of common stock available for future grant under our equity incentive plans, including our employee stock purchase plan.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January 1, 2020, an additional 1,509,828 shares of common stock were added to our equity incentive plans, including our employee stock purchase plan, as a result of the evergreen provisions of these plans.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 supplement assumes:</w:t>
      </w:r>
    </w:p>
    <w:p>
      <w:pPr>
        <w:spacing w:after="0" w:line="333" w:lineRule="exact"/>
        <w:rPr>
          <w:sz w:val="20"/>
          <w:szCs w:val="20"/>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outstanding options and warrants;</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vesting of outstanding restricted stock units;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500"/>
          </w:cols>
          <w:pgMar w:left="660" w:top="1300" w:right="7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described below and the risk factors incorporated by reference from our Quarterly Report on Form 10-Q for the quarterly period ended September 30, 2019,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 and we may not use the proceeds effectively.</w:t>
      </w:r>
    </w:p>
    <w:p>
      <w:pPr>
        <w:spacing w:after="0" w:line="3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experience immediate dilution in your investment. You will experience further dilution if we issue additional equity securities in future fundraising transactions.</w:t>
      </w:r>
    </w:p>
    <w:p>
      <w:pPr>
        <w:spacing w:after="0" w:line="25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Purchasers of common stock in this offering will pay a price per share in this offering that exceeds the net tangible book value per share of our common stock. Based on an aggregate of 2,490,053 shares of common stock being sold by us at the public offering price of $21.50 per share for aggregate net proceeds to us of approximately $49.7 million and after deducting underwriting discounts and commissions and estimated offering expenses payable by us, if you purchase shares of our common stock in this offering, you will experience immediate dilution of $17.18 per share, representing the difference between the public offering price and our as adjusted net tangible book value per share as of September 30, 2019, after giving effect to this offering. See the section below titled “Dilution” for a more detailed illustration of the dilution you would incur if you purchase common stock in this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further dilution if we issue additional equity securities in future fundraising transactions.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and restricted stock units outstanding. The exercise of outstanding stock options or vesting of restricted stock units may result in further dilution of your investment.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your investment unless you sell your common stock for a price greater than that which you paid for 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other such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810"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36" w:lineRule="exact"/>
        <w:rPr>
          <w:rFonts w:ascii="Arial" w:cs="Arial" w:eastAsia="Arial" w:hAnsi="Arial"/>
          <w:sz w:val="17"/>
          <w:szCs w:val="17"/>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40" w:hanging="32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60" w:top="931" w:right="239" w:bottom="1440" w:gutter="0" w:footer="0" w:header="0"/>
        </w:sectPr>
      </w:pPr>
    </w:p>
    <w:bookmarkStart w:id="12" w:name="page13"/>
    <w:bookmarkEnd w:id="12"/>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September 30, 2019,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97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from the sale of common stock by us in this offering of approximately $49.7 million, after deducting underwriting discounts and commissions and estimated offering expenses payable by us. If the underwriters exercise in full their option to purchase additional common stock from us, we estimate that the net proceeds to us will be approximately $62.8 million, after deducting underwriting discounts and commissions and estimated offering expenses payable by us. We will not receive any net proceeds from this offering from the sales of common stock by the selling stockholders.</w:t>
      </w:r>
    </w:p>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currently intend to use the net proceeds from this offering to support the continued commercial expansion of our iFuse system, sales and marketing, surgeon training and clinical studies, as well as working capital and general corporate purposes. We may also use a portion of our net proceeds to acquire or invest in complementary products, technologies, or businesses; however, we currently have no agreements or commitments to complete any such transactions.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769"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cash, cash equivalents and investments, and capitalization as of September 30, 2019:</w:t>
      </w:r>
    </w:p>
    <w:p>
      <w:pPr>
        <w:spacing w:after="0" w:line="25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us of the 2,490,053 shares of our common stock in this offering at the public offering price of $21.50 per share (assuming no exercise of the underwriters' option to purchase additional shares from us), after deducting the underwriting discount and estimated offering expenses payable by us as described under "Use of Proceeds."</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2018, and (b) our condensed consolidated financial statements, including the related notes, and "Management's Discussion and Analysis of Financial Condition and Results of Operations" from our Quarterly Report on Form 10-Q for the quarterly period ended September 30, 2019, which are incorporated by reference into this prospectus supplement and accompanying prospectus.</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9"/>
              </w:rPr>
              <w:t>As of September 30, 2019</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101,496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151,220</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Preferred stock, $0.0001 par value, 5,000,000 shares authorized; 0 shares issued and outstanding, actual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and as adjusted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24,965,512 shares issued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outstanding, actual, 27,455,565 shares issued and outstanding as adjusted</w:t>
            </w:r>
          </w:p>
        </w:tc>
        <w:tc>
          <w:tcPr>
            <w:tcW w:w="2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254,965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304,689</w:t>
            </w:r>
          </w:p>
        </w:tc>
        <w:tc>
          <w:tcPr>
            <w:tcW w:w="0" w:type="dxa"/>
            <w:vAlign w:val="bottom"/>
          </w:tcPr>
          <w:p>
            <w:pPr>
              <w:spacing w:after="0"/>
              <w:rPr>
                <w:sz w:val="1"/>
                <w:szCs w:val="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0" w:type="dxa"/>
            <w:vAlign w:val="bottom"/>
          </w:tcPr>
          <w:p>
            <w:pPr>
              <w:spacing w:after="0"/>
              <w:rPr>
                <w:sz w:val="1"/>
                <w:szCs w:val="1"/>
                <w:color w:val="auto"/>
              </w:rPr>
            </w:pPr>
          </w:p>
        </w:tc>
      </w:tr>
      <w:tr>
        <w:trPr>
          <w:trHeight w:val="237"/>
        </w:trPr>
        <w:tc>
          <w:tcPr>
            <w:tcW w:w="816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68,961</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118,685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capitalization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68,961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118,685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3,230,172 shares of common stock available for future grant under our equity incentive plans, including our employee stock purchase plan.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our common stock from us.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81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70"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and the adjusted net tangible book value per share of our common stock after this offering. Net tangible book value on September 30, 2019, was approximately $68.9 million, or $2.76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by us of 2,490,053 shares of our common stock in this offering at the public offering price of $21.50 per share, after deducting the underwriting discount and estimated offering expenses payable by us. Our as adjusted net tangible book value as of September 30, 2019, after giving effect to this offering as described above, would have been approximately $118.7 million, or $4.32 per share of common stock. This represents an immediate increase in net tangible book value of $1.56 per share to our existing stockholders and an immediate dilution in net tangible book value of $17.18 per share to investors participating in this offering. The following table illustrates this dilution per share to investors participating in this offering:</w:t>
      </w:r>
    </w:p>
    <w:p>
      <w:pPr>
        <w:spacing w:after="0" w:line="200" w:lineRule="exact"/>
        <w:rPr>
          <w:sz w:val="20"/>
          <w:szCs w:val="20"/>
          <w:color w:val="auto"/>
        </w:rPr>
      </w:pPr>
    </w:p>
    <w:p>
      <w:pPr>
        <w:spacing w:after="0" w:line="38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 per share</w:t>
            </w: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$21.50</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Net tangible book value per share as of September 30, 2019</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$2.76</w:t>
            </w:r>
          </w:p>
        </w:tc>
      </w:tr>
      <w:tr>
        <w:trPr>
          <w:trHeight w:val="27"/>
        </w:trPr>
        <w:tc>
          <w:tcPr>
            <w:tcW w:w="76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net tangible book value per share attributable to new investors in offering</w:t>
            </w:r>
          </w:p>
        </w:tc>
        <w:tc>
          <w:tcPr>
            <w:tcW w:w="29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$1.56</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$4.32</w:t>
            </w:r>
          </w:p>
        </w:tc>
      </w:tr>
      <w:tr>
        <w:trPr>
          <w:trHeight w:val="27"/>
        </w:trPr>
        <w:tc>
          <w:tcPr>
            <w:tcW w:w="76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r>
      <w:tr>
        <w:trPr>
          <w:trHeight w:val="27"/>
        </w:trPr>
        <w:tc>
          <w:tcPr>
            <w:tcW w:w="76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297"/>
        <w:spacing w:after="0" w:line="277" w:lineRule="auto"/>
        <w:rPr>
          <w:sz w:val="20"/>
          <w:szCs w:val="20"/>
          <w:color w:val="auto"/>
        </w:rPr>
      </w:pPr>
      <w:r>
        <w:rPr>
          <w:rFonts w:ascii="Arial" w:cs="Arial" w:eastAsia="Arial" w:hAnsi="Arial"/>
          <w:sz w:val="18"/>
          <w:szCs w:val="18"/>
          <w:color w:val="auto"/>
        </w:rPr>
        <w:t>If the underwriters’ option to purchase additional shares in this offering from us is exercised in full, the as adjusted net tangible book value would be $4.69 per share, and the dilution to new investors participating in this offering would be $16.81 per share.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24,965,512 shares outstanding as of September 30, 2019, and excludes:</w:t>
      </w:r>
    </w:p>
    <w:p>
      <w:pPr>
        <w:spacing w:after="0" w:line="76"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2,824,485 shares of common stock underlying options outstanding at a weighted average exercise price of $7.98 per share;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565,430 shares of common stock underlying restricted stock units outstanding;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3,230,172 shares of common stock available for future grant under our equity incentive plans, including our employee stock purchase plan.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our common stock from us.</w:t>
      </w:r>
    </w:p>
    <w:p>
      <w:pPr>
        <w:spacing w:after="0" w:line="22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97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information regarding the number of shares of our common stock as of January 15, 2020, held for the account of, and the numbers of shares being sold, by the selling stockholders. Percentage ownership is based on 25,217,923 shares of our common stock outstanding on January 15, 2020.</w:t>
      </w:r>
    </w:p>
    <w:p>
      <w:pPr>
        <w:spacing w:after="0" w:line="384"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0"/>
              </w:rPr>
              <w:t>Shares Beneficially Owned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Shares Beneficially Owned</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4"/>
              </w:rPr>
              <w:t>Prior to the Offering</w:t>
            </w:r>
          </w:p>
        </w:tc>
        <w:tc>
          <w:tcPr>
            <w:tcW w:w="200" w:type="dxa"/>
            <w:vAlign w:val="bottom"/>
          </w:tcPr>
          <w:p>
            <w:pPr>
              <w:spacing w:after="0"/>
              <w:rPr>
                <w:sz w:val="18"/>
                <w:szCs w:val="18"/>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7"/>
              </w:rPr>
              <w:t>Shares Being</w:t>
            </w:r>
          </w:p>
        </w:tc>
        <w:tc>
          <w:tcPr>
            <w:tcW w:w="2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60" w:type="dxa"/>
            <w:vAlign w:val="bottom"/>
            <w:gridSpan w:val="2"/>
          </w:tcPr>
          <w:p>
            <w:pPr>
              <w:ind w:left="380"/>
              <w:spacing w:after="0"/>
              <w:rPr>
                <w:sz w:val="20"/>
                <w:szCs w:val="20"/>
                <w:color w:val="auto"/>
              </w:rPr>
            </w:pPr>
            <w:r>
              <w:rPr>
                <w:rFonts w:ascii="Arial" w:cs="Arial" w:eastAsia="Arial" w:hAnsi="Arial"/>
                <w:sz w:val="16"/>
                <w:szCs w:val="16"/>
                <w:b w:val="1"/>
                <w:bCs w:val="1"/>
                <w:color w:val="auto"/>
              </w:rPr>
              <w:t>Name of Selling Stockholder</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Offered</w:t>
            </w: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w:t>
            </w:r>
          </w:p>
        </w:tc>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8"/>
                <w:szCs w:val="18"/>
                <w:color w:val="auto"/>
                <w:vertAlign w:val="superscript"/>
              </w:rPr>
              <w:t>(1)</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3,819,985</w:t>
            </w:r>
          </w:p>
        </w:tc>
        <w:tc>
          <w:tcPr>
            <w:tcW w:w="14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1,000,000</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2,819,985</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w:t>
            </w:r>
          </w:p>
        </w:tc>
        <w:tc>
          <w:tcPr>
            <w:tcW w:w="0" w:type="dxa"/>
            <w:vAlign w:val="bottom"/>
          </w:tcPr>
          <w:p>
            <w:pPr>
              <w:spacing w:after="0"/>
              <w:rPr>
                <w:sz w:val="1"/>
                <w:szCs w:val="1"/>
                <w:color w:val="auto"/>
              </w:rPr>
            </w:pPr>
          </w:p>
        </w:tc>
      </w:tr>
      <w:tr>
        <w:trPr>
          <w:trHeight w:val="317"/>
        </w:trPr>
        <w:tc>
          <w:tcPr>
            <w:tcW w:w="3260" w:type="dxa"/>
            <w:vAlign w:val="bottom"/>
            <w:gridSpan w:val="2"/>
          </w:tcPr>
          <w:p>
            <w:pPr>
              <w:ind w:left="240"/>
              <w:spacing w:after="0"/>
              <w:rPr>
                <w:sz w:val="20"/>
                <w:szCs w:val="20"/>
                <w:color w:val="auto"/>
              </w:rPr>
            </w:pPr>
            <w:r>
              <w:rPr>
                <w:rFonts w:ascii="Arial" w:cs="Arial" w:eastAsia="Arial" w:hAnsi="Arial"/>
                <w:sz w:val="18"/>
                <w:szCs w:val="18"/>
                <w:color w:val="auto"/>
              </w:rPr>
              <w:t>Montreux Equity Partners IV, L.P.</w:t>
            </w:r>
          </w:p>
        </w:tc>
        <w:tc>
          <w:tcPr>
            <w:tcW w:w="2460" w:type="dxa"/>
            <w:vAlign w:val="bottom"/>
            <w:vMerge w:val="restart"/>
          </w:tcPr>
          <w:p>
            <w:pPr>
              <w:jc w:val="center"/>
              <w:spacing w:after="0"/>
              <w:rPr>
                <w:sz w:val="20"/>
                <w:szCs w:val="20"/>
                <w:color w:val="auto"/>
              </w:rPr>
            </w:pPr>
            <w:r>
              <w:rPr>
                <w:rFonts w:ascii="Arial" w:cs="Arial" w:eastAsia="Arial" w:hAnsi="Arial"/>
                <w:sz w:val="18"/>
                <w:szCs w:val="18"/>
                <w:color w:val="auto"/>
                <w:w w:val="89"/>
              </w:rPr>
              <w:t>649,947</w:t>
            </w:r>
          </w:p>
        </w:tc>
        <w:tc>
          <w:tcPr>
            <w:tcW w:w="148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649,947</w:t>
            </w:r>
          </w:p>
        </w:tc>
        <w:tc>
          <w:tcPr>
            <w:tcW w:w="18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760" w:type="dxa"/>
            <w:vAlign w:val="bottom"/>
            <w:vMerge w:val="restart"/>
          </w:tcPr>
          <w:p>
            <w:pPr>
              <w:ind w:left="240"/>
              <w:spacing w:after="0"/>
              <w:rPr>
                <w:sz w:val="20"/>
                <w:szCs w:val="20"/>
                <w:color w:val="auto"/>
              </w:rPr>
            </w:pPr>
            <w:r>
              <w:rPr>
                <w:rFonts w:ascii="Arial" w:cs="Arial" w:eastAsia="Arial" w:hAnsi="Arial"/>
                <w:sz w:val="9"/>
                <w:szCs w:val="9"/>
                <w:color w:val="auto"/>
              </w:rPr>
              <w:t>(2)</w:t>
            </w:r>
          </w:p>
        </w:tc>
        <w:tc>
          <w:tcPr>
            <w:tcW w:w="50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76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3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8"/>
                <w:szCs w:val="18"/>
                <w:color w:val="auto"/>
                <w:vertAlign w:val="superscript"/>
              </w:rPr>
              <w:t>(3)</w:t>
            </w:r>
          </w:p>
        </w:tc>
        <w:tc>
          <w:tcPr>
            <w:tcW w:w="2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1,695,361</w:t>
            </w:r>
          </w:p>
        </w:tc>
        <w:tc>
          <w:tcPr>
            <w:tcW w:w="1480" w:type="dxa"/>
            <w:vAlign w:val="bottom"/>
            <w:gridSpan w:val="2"/>
            <w:vMerge w:val="restart"/>
            <w:shd w:val="clear" w:color="auto" w:fill="CCEEFF"/>
          </w:tcPr>
          <w:p>
            <w:pPr>
              <w:jc w:val="center"/>
              <w:ind w:left="90"/>
              <w:spacing w:after="0"/>
              <w:rPr>
                <w:sz w:val="20"/>
                <w:szCs w:val="20"/>
                <w:color w:val="auto"/>
              </w:rPr>
            </w:pPr>
            <w:r>
              <w:rPr>
                <w:rFonts w:ascii="Arial" w:cs="Arial" w:eastAsia="Arial" w:hAnsi="Arial"/>
                <w:sz w:val="18"/>
                <w:szCs w:val="18"/>
                <w:color w:val="auto"/>
                <w:w w:val="89"/>
              </w:rPr>
              <w:t>160,000</w:t>
            </w:r>
          </w:p>
        </w:tc>
        <w:tc>
          <w:tcPr>
            <w:tcW w:w="18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1,535,361</w:t>
            </w:r>
          </w:p>
        </w:tc>
        <w:tc>
          <w:tcPr>
            <w:tcW w:w="28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70"/>
        </w:trPr>
        <w:tc>
          <w:tcPr>
            <w:tcW w:w="27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460" w:type="dxa"/>
            <w:vAlign w:val="bottom"/>
            <w:vMerge w:val="continue"/>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91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 Less than 1%.</w:t>
      </w:r>
    </w:p>
    <w:p>
      <w:pPr>
        <w:spacing w:after="0" w:line="59" w:lineRule="exact"/>
        <w:rPr>
          <w:sz w:val="20"/>
          <w:szCs w:val="20"/>
          <w:color w:val="auto"/>
        </w:rPr>
      </w:pPr>
    </w:p>
    <w:p>
      <w:pPr>
        <w:ind w:left="660" w:right="2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Consists solely of shares held by Montreux Equity Partners IV, L.P. and not shares owned by other entities affiliated with Montreux Equity Partners IV, L.P.</w:t>
      </w:r>
    </w:p>
    <w:p>
      <w:pPr>
        <w:spacing w:after="0" w:line="70" w:lineRule="exact"/>
        <w:rPr>
          <w:rFonts w:ascii="Arial" w:cs="Arial" w:eastAsia="Arial" w:hAnsi="Arial"/>
          <w:sz w:val="15"/>
          <w:szCs w:val="15"/>
          <w:color w:val="auto"/>
        </w:rPr>
      </w:pPr>
    </w:p>
    <w:p>
      <w:pPr>
        <w:ind w:left="66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Timothy B. Petersen, who at that time was a member of our board of directors, is a Managing Director at Arboretum Ventures, Inc. Mr. Petersen ceased to be a member of our board of directors in June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Selling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7 Preferred Stock</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February and March 2017, we issued and sold an aggregate of 540,874 shares of Series 7 preferred stock at a purchase price of $10.03 per share for an aggregate purchase price of $5,426,717.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purchases of shares of Series 7 preferred stock in 2017 by the selling stockholders.</w:t>
      </w:r>
    </w:p>
    <w:p>
      <w:pPr>
        <w:spacing w:after="0" w:line="200" w:lineRule="exact"/>
        <w:rPr>
          <w:sz w:val="20"/>
          <w:szCs w:val="20"/>
          <w:color w:val="auto"/>
        </w:rPr>
      </w:pP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324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Shares of Series 7 Preferred Stock</w:t>
            </w:r>
          </w:p>
        </w:tc>
        <w:tc>
          <w:tcPr>
            <w:tcW w:w="0" w:type="dxa"/>
            <w:vAlign w:val="bottom"/>
          </w:tcPr>
          <w:p>
            <w:pPr>
              <w:spacing w:after="0"/>
              <w:rPr>
                <w:sz w:val="1"/>
                <w:szCs w:val="1"/>
                <w:color w:val="auto"/>
              </w:rPr>
            </w:pPr>
          </w:p>
        </w:tc>
      </w:tr>
      <w:tr>
        <w:trPr>
          <w:trHeight w:val="33"/>
        </w:trPr>
        <w:tc>
          <w:tcPr>
            <w:tcW w:w="64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Purchaser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6"/>
                <w:szCs w:val="16"/>
                <w:b w:val="1"/>
                <w:bCs w:val="1"/>
                <w:color w:val="auto"/>
                <w:w w:val="87"/>
              </w:rPr>
              <w:t>Aggregate Gross</w:t>
            </w: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8"/>
                <w:szCs w:val="18"/>
                <w:color w:val="auto"/>
              </w:rPr>
            </w:pPr>
          </w:p>
        </w:tc>
        <w:tc>
          <w:tcPr>
            <w:tcW w:w="1340" w:type="dxa"/>
            <w:vAlign w:val="bottom"/>
          </w:tcPr>
          <w:p>
            <w:pPr>
              <w:jc w:val="right"/>
              <w:ind w:right="173"/>
              <w:spacing w:after="0"/>
              <w:rPr>
                <w:sz w:val="20"/>
                <w:szCs w:val="20"/>
                <w:color w:val="auto"/>
              </w:rPr>
            </w:pPr>
            <w:r>
              <w:rPr>
                <w:rFonts w:ascii="Arial" w:cs="Arial" w:eastAsia="Arial" w:hAnsi="Arial"/>
                <w:sz w:val="16"/>
                <w:szCs w:val="16"/>
                <w:b w:val="1"/>
                <w:bCs w:val="1"/>
                <w:color w:val="auto"/>
                <w:w w:val="98"/>
              </w:rPr>
              <w:t>Consideration</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8"/>
                <w:szCs w:val="18"/>
                <w:color w:val="auto"/>
                <w:vertAlign w:val="superscript"/>
              </w:rPr>
              <w:t>(1)</w:t>
            </w:r>
          </w:p>
        </w:tc>
        <w:tc>
          <w:tcPr>
            <w:tcW w:w="1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398,676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62"/>
        </w:trPr>
        <w:tc>
          <w:tcPr>
            <w:tcW w:w="6440" w:type="dxa"/>
            <w:vAlign w:val="bottom"/>
          </w:tcPr>
          <w:p>
            <w:pPr>
              <w:ind w:left="2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8"/>
                <w:szCs w:val="18"/>
                <w:color w:val="auto"/>
                <w:vertAlign w:val="superscript"/>
              </w:rPr>
              <w:t>(2)</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199,338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7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8"/>
                <w:szCs w:val="18"/>
                <w:color w:val="auto"/>
                <w:vertAlign w:val="superscript"/>
              </w:rPr>
              <w:t>(3)</w:t>
            </w: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1,495,036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64"/>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2,433,907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24,450,000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660" w:right="2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10"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(a) 27,409 shares of Series 7 preferred stock purchased by Montreux Equity Partners IV, L.P. and (b) 171,929 shares of Series 7 preferred stock purchased by Montreux IV Associates IV, L.L.C.</w:t>
      </w:r>
    </w:p>
    <w:p>
      <w:pPr>
        <w:spacing w:after="0" w:line="10"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Timothy B. Petersen, who at that time was a member of our board of directors, is a Managing Director at Arboretum Ventures, Inc. Mr. Petersen ceased to be a member of our board of directors in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113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34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3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for U.S. federal income tax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who acquire our common stock through the exercise of a compensatory option or otherwise as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who have elected to or are required to mark securities to market;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420"/>
          </w:cols>
          <w:pgMar w:left="240" w:top="918" w:right="239" w:bottom="1440" w:gutter="0" w:footer="0" w:header="0"/>
          <w:type w:val="continuous"/>
        </w:sectPr>
      </w:pPr>
    </w:p>
    <w:bookmarkStart w:id="18" w:name="page19"/>
    <w:bookmarkEnd w:id="18"/>
    <w:p>
      <w:pPr>
        <w:jc w:val="both"/>
        <w:ind w:firstLine="324"/>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34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3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3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3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3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3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420"/>
          </w:cols>
          <w:pgMar w:left="240" w:top="918"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39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333" w:lineRule="exact"/>
        <w:rPr>
          <w:sz w:val="20"/>
          <w:szCs w:val="20"/>
          <w:color w:val="auto"/>
        </w:rPr>
      </w:pP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3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common stock paid to such holder, the name and address of the recipient,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Dividends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holder is a U.S. person who is not an exempt recipient.</w:t>
      </w:r>
    </w:p>
    <w:p>
      <w:pPr>
        <w:spacing w:after="0" w:line="3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91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Foreign Accounts</w:t>
      </w:r>
    </w:p>
    <w:p>
      <w:pPr>
        <w:spacing w:after="0" w:line="3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including dividends on, and, subject to the discussion of certain proposed Treasury Regulations below, gross proceeds from the sale or disposition of,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including dividends on, and, subject to the discussion of certain proposed Treasury Regulations below, gross proceeds from the sale or disposition of,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spacing w:after="0" w:line="3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spacing w:after="0" w:line="339" w:lineRule="exact"/>
        <w:rPr>
          <w:sz w:val="20"/>
          <w:szCs w:val="20"/>
          <w:color w:val="auto"/>
        </w:rPr>
      </w:pPr>
    </w:p>
    <w:p>
      <w:pPr>
        <w:jc w:val="both"/>
        <w:ind w:right="480" w:firstLine="446"/>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91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UNDERWRITING</w:t>
      </w:r>
    </w:p>
    <w:p>
      <w:pPr>
        <w:spacing w:after="0" w:line="200" w:lineRule="exact"/>
        <w:rPr>
          <w:sz w:val="20"/>
          <w:szCs w:val="20"/>
          <w:color w:val="auto"/>
        </w:rPr>
      </w:pPr>
    </w:p>
    <w:p>
      <w:pPr>
        <w:spacing w:after="0" w:line="2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and the selling stockholders have agreed to sell to the underwriters, severally and not jointly, the number of shares indicated below:</w:t>
      </w:r>
    </w:p>
    <w:p>
      <w:pPr>
        <w:spacing w:after="0" w:line="357"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6040" w:type="dxa"/>
            <w:vAlign w:val="bottom"/>
            <w:gridSpan w:val="2"/>
          </w:tcPr>
          <w:p>
            <w:pPr>
              <w:ind w:left="2660"/>
              <w:spacing w:after="0"/>
              <w:rPr>
                <w:sz w:val="20"/>
                <w:szCs w:val="20"/>
                <w:color w:val="auto"/>
              </w:rPr>
            </w:pPr>
            <w:r>
              <w:rPr>
                <w:rFonts w:ascii="Arial" w:cs="Arial" w:eastAsia="Arial" w:hAnsi="Arial"/>
                <w:sz w:val="16"/>
                <w:szCs w:val="16"/>
                <w:b w:val="1"/>
                <w:bCs w:val="1"/>
                <w:color w:val="auto"/>
              </w:rPr>
              <w:t>Name</w:t>
            </w:r>
          </w:p>
        </w:tc>
        <w:tc>
          <w:tcPr>
            <w:tcW w:w="1520" w:type="dxa"/>
            <w:vAlign w:val="bottom"/>
          </w:tcPr>
          <w:p>
            <w:pPr>
              <w:jc w:val="right"/>
              <w:ind w:right="51"/>
              <w:spacing w:after="0"/>
              <w:rPr>
                <w:sz w:val="20"/>
                <w:szCs w:val="20"/>
                <w:color w:val="auto"/>
              </w:rPr>
            </w:pPr>
            <w:r>
              <w:rPr>
                <w:rFonts w:ascii="Arial" w:cs="Arial" w:eastAsia="Arial" w:hAnsi="Arial"/>
                <w:sz w:val="16"/>
                <w:szCs w:val="16"/>
                <w:b w:val="1"/>
                <w:bCs w:val="1"/>
                <w:color w:val="auto"/>
                <w:w w:val="98"/>
              </w:rPr>
              <w:t>Number of Shares</w:t>
            </w:r>
          </w:p>
        </w:tc>
      </w:tr>
      <w:tr>
        <w:trPr>
          <w:trHeight w:val="33"/>
        </w:trPr>
        <w:tc>
          <w:tcPr>
            <w:tcW w:w="5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Morgan Stanley &amp; Co. LLC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1,698,500</w:t>
            </w:r>
          </w:p>
        </w:tc>
      </w:tr>
      <w:tr>
        <w:trPr>
          <w:trHeight w:val="24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BofA Securities, Inc.</w:t>
            </w:r>
          </w:p>
        </w:tc>
        <w:tc>
          <w:tcPr>
            <w:tcW w:w="1520" w:type="dxa"/>
            <w:vAlign w:val="bottom"/>
          </w:tcPr>
          <w:p>
            <w:pPr>
              <w:jc w:val="right"/>
              <w:spacing w:after="0"/>
              <w:rPr>
                <w:sz w:val="20"/>
                <w:szCs w:val="20"/>
                <w:color w:val="auto"/>
              </w:rPr>
            </w:pPr>
            <w:r>
              <w:rPr>
                <w:rFonts w:ascii="Arial" w:cs="Arial" w:eastAsia="Arial" w:hAnsi="Arial"/>
                <w:sz w:val="18"/>
                <w:szCs w:val="18"/>
                <w:color w:val="auto"/>
              </w:rPr>
              <w:t>1,698,500</w:t>
            </w:r>
          </w:p>
        </w:tc>
      </w:tr>
      <w:tr>
        <w:trPr>
          <w:trHeight w:val="27"/>
        </w:trPr>
        <w:tc>
          <w:tcPr>
            <w:tcW w:w="5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466"/>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Canaccord Genuity LLC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516,000</w:t>
            </w:r>
          </w:p>
        </w:tc>
      </w:tr>
      <w:tr>
        <w:trPr>
          <w:trHeight w:val="45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JMP Securities LLC</w:t>
            </w:r>
          </w:p>
        </w:tc>
        <w:tc>
          <w:tcPr>
            <w:tcW w:w="1520" w:type="dxa"/>
            <w:vAlign w:val="bottom"/>
          </w:tcPr>
          <w:p>
            <w:pPr>
              <w:jc w:val="right"/>
              <w:spacing w:after="0"/>
              <w:rPr>
                <w:sz w:val="20"/>
                <w:szCs w:val="20"/>
                <w:color w:val="auto"/>
              </w:rPr>
            </w:pPr>
            <w:r>
              <w:rPr>
                <w:rFonts w:ascii="Arial" w:cs="Arial" w:eastAsia="Arial" w:hAnsi="Arial"/>
                <w:sz w:val="18"/>
                <w:szCs w:val="18"/>
                <w:color w:val="auto"/>
              </w:rPr>
              <w:t>387,000</w:t>
            </w:r>
          </w:p>
        </w:tc>
      </w:tr>
      <w:tr>
        <w:trPr>
          <w:trHeight w:val="27"/>
        </w:trPr>
        <w:tc>
          <w:tcPr>
            <w:tcW w:w="5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47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200" w:lineRule="exact"/>
        <w:rPr>
          <w:sz w:val="20"/>
          <w:szCs w:val="20"/>
          <w:color w:val="auto"/>
        </w:rPr>
      </w:pPr>
    </w:p>
    <w:p>
      <w:pPr>
        <w:spacing w:after="0" w:line="20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$0.7197 a share under the public offering price. After the initial public offering of the shares of common stock, the offering price and the other selling terms may from time to time be varied by the representatives.</w:t>
      </w:r>
    </w:p>
    <w:p>
      <w:pPr>
        <w:spacing w:after="0" w:line="3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645,000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645,000 shares of common stock from us.</w:t>
      </w:r>
    </w:p>
    <w:p>
      <w:pPr>
        <w:spacing w:after="0" w:line="200" w:lineRule="exact"/>
        <w:rPr>
          <w:sz w:val="20"/>
          <w:szCs w:val="20"/>
          <w:color w:val="auto"/>
        </w:rPr>
      </w:pPr>
    </w:p>
    <w:p>
      <w:pPr>
        <w:spacing w:after="0" w:line="373"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88"/>
              </w:rPr>
              <w:t>Total</w:t>
            </w:r>
          </w:p>
        </w:tc>
        <w:tc>
          <w:tcPr>
            <w:tcW w:w="1340" w:type="dxa"/>
            <w:vAlign w:val="bottom"/>
          </w:tcPr>
          <w:p>
            <w:pPr>
              <w:spacing w:after="0"/>
              <w:rPr>
                <w:sz w:val="18"/>
                <w:szCs w:val="18"/>
                <w:color w:val="auto"/>
              </w:rPr>
            </w:pPr>
          </w:p>
        </w:tc>
      </w:tr>
      <w:tr>
        <w:trPr>
          <w:trHeight w:val="33"/>
        </w:trPr>
        <w:tc>
          <w:tcPr>
            <w:tcW w:w="59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8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 Share</w:t>
            </w:r>
          </w:p>
        </w:tc>
        <w:tc>
          <w:tcPr>
            <w:tcW w:w="220" w:type="dxa"/>
            <w:vAlign w:val="bottom"/>
          </w:tcPr>
          <w:p>
            <w:pPr>
              <w:spacing w:after="0"/>
              <w:rPr>
                <w:sz w:val="20"/>
                <w:szCs w:val="20"/>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b w:val="1"/>
                <w:bCs w:val="1"/>
                <w:color w:val="auto"/>
              </w:rPr>
              <w:t>No Exercise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Full Exercise</w:t>
            </w:r>
          </w:p>
        </w:tc>
      </w:tr>
      <w:tr>
        <w:trPr>
          <w:trHeight w:val="33"/>
        </w:trPr>
        <w:tc>
          <w:tcPr>
            <w:tcW w:w="5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$21.500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92,450,000.00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106,317,500.00</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Underwriting discounts and commissions to be paid by us</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$1.290</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3,212,168.37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4,044,218.37</w:t>
            </w:r>
          </w:p>
        </w:tc>
      </w:tr>
      <w:tr>
        <w:trPr>
          <w:trHeight w:val="27"/>
        </w:trPr>
        <w:tc>
          <w:tcPr>
            <w:tcW w:w="5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Underwriting discounts and commissions to be paid by the selling stockholders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$1.075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1,945,693.03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1,945,693.03</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$20.210</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50,323,971.13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63,359,421.13</w:t>
            </w:r>
          </w:p>
        </w:tc>
      </w:tr>
      <w:tr>
        <w:trPr>
          <w:trHeight w:val="27"/>
        </w:trPr>
        <w:tc>
          <w:tcPr>
            <w:tcW w:w="5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$20.425</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36,968,167.47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36,968,167.47</w:t>
            </w:r>
          </w:p>
        </w:tc>
      </w:tr>
      <w:tr>
        <w:trPr>
          <w:trHeight w:val="27"/>
        </w:trPr>
        <w:tc>
          <w:tcPr>
            <w:tcW w:w="59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but including expenses we are incurring in connection with the sale of the shares by the selling stockholders, are approximately $600,000. We have agreed to reimburse the underwriters for expense relating to clearance of this offering with the Financial Industry Regulatory Authority up to $30,000.</w:t>
      </w:r>
    </w:p>
    <w:p>
      <w:pPr>
        <w:spacing w:after="0" w:line="3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ectPr>
          <w:pgSz w:w="11900" w:h="16838" w:orient="portrait"/>
          <w:cols w:equalWidth="0" w:num="1">
            <w:col w:w="11420"/>
          </w:cols>
          <w:pgMar w:left="240" w:top="810" w:right="239" w:bottom="757"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420"/>
          </w:cols>
          <w:pgMar w:left="240" w:top="810" w:right="239" w:bottom="757" w:gutter="0" w:footer="0" w:header="0"/>
          <w:type w:val="continuous"/>
        </w:sectPr>
      </w:pPr>
    </w:p>
    <w:bookmarkStart w:id="22" w:name="page23"/>
    <w:bookmarkEnd w:id="22"/>
    <w:p>
      <w:pPr>
        <w:jc w:val="both"/>
        <w:ind w:firstLine="405"/>
        <w:spacing w:after="0" w:line="264" w:lineRule="auto"/>
        <w:rPr>
          <w:sz w:val="20"/>
          <w:szCs w:val="20"/>
          <w:color w:val="auto"/>
        </w:rPr>
      </w:pPr>
      <w:r>
        <w:rPr>
          <w:rFonts w:ascii="Arial" w:cs="Arial" w:eastAsia="Arial" w:hAnsi="Arial"/>
          <w:sz w:val="18"/>
          <w:szCs w:val="18"/>
          <w:color w:val="auto"/>
        </w:rPr>
        <w:t>We and our directors, officers and the selling stockholders have agreed that, without the prior written consent of Morgan Stanley &amp; Co. LLC and BofA Securities, Inc. on behalf of the underwriters, we will not and they will not publicly disclose an intention to, during the period ending 90 days (60 days in the case of the selling stockholders) after the date of this prospectus (the “restricted period”):</w:t>
      </w:r>
    </w:p>
    <w:p>
      <w:pPr>
        <w:spacing w:after="0" w:line="397" w:lineRule="exact"/>
        <w:rPr>
          <w:sz w:val="20"/>
          <w:szCs w:val="20"/>
          <w:color w:val="auto"/>
        </w:rPr>
      </w:pPr>
    </w:p>
    <w:p>
      <w:pPr>
        <w:jc w:val="both"/>
        <w:ind w:left="740" w:hanging="327"/>
        <w:spacing w:after="0" w:line="26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181" w:lineRule="exact"/>
        <w:rPr>
          <w:rFonts w:ascii="Arial" w:cs="Arial" w:eastAsia="Arial" w:hAnsi="Arial"/>
          <w:sz w:val="18"/>
          <w:szCs w:val="18"/>
          <w:color w:val="auto"/>
        </w:rPr>
      </w:pPr>
    </w:p>
    <w:p>
      <w:pPr>
        <w:jc w:val="both"/>
        <w:ind w:left="740" w:hanging="327"/>
        <w:spacing w:after="0" w:line="291"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Morgan Stanley &amp; Co. LLC and BofA Securities, Inc.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00" w:lineRule="exact"/>
        <w:rPr>
          <w:sz w:val="20"/>
          <w:szCs w:val="20"/>
          <w:color w:val="auto"/>
        </w:rPr>
      </w:pPr>
    </w:p>
    <w:p>
      <w:pPr>
        <w:spacing w:after="0" w:line="241" w:lineRule="exact"/>
        <w:rPr>
          <w:sz w:val="20"/>
          <w:szCs w:val="20"/>
          <w:color w:val="auto"/>
        </w:rPr>
      </w:pPr>
    </w:p>
    <w:p>
      <w:pPr>
        <w:jc w:val="both"/>
        <w:ind w:left="740" w:right="20" w:hanging="327"/>
        <w:spacing w:after="0" w:line="26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spacing w:after="0" w:line="181" w:lineRule="exact"/>
        <w:rPr>
          <w:rFonts w:ascii="Arial" w:cs="Arial" w:eastAsia="Arial" w:hAnsi="Arial"/>
          <w:sz w:val="18"/>
          <w:szCs w:val="18"/>
          <w:color w:val="auto"/>
        </w:rPr>
      </w:pPr>
    </w:p>
    <w:p>
      <w:pPr>
        <w:jc w:val="both"/>
        <w:ind w:left="740" w:hanging="327"/>
        <w:spacing w:after="0" w:line="272"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177" w:lineRule="exact"/>
        <w:rPr>
          <w:rFonts w:ascii="Arial" w:cs="Arial" w:eastAsia="Arial" w:hAnsi="Arial"/>
          <w:sz w:val="17"/>
          <w:szCs w:val="17"/>
          <w:color w:val="auto"/>
        </w:rPr>
      </w:pPr>
    </w:p>
    <w:p>
      <w:pPr>
        <w:jc w:val="both"/>
        <w:ind w:left="740" w:hanging="327"/>
        <w:spacing w:after="0" w:line="259"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86" w:lineRule="exact"/>
        <w:rPr>
          <w:rFonts w:ascii="Arial" w:cs="Arial" w:eastAsia="Arial" w:hAnsi="Arial"/>
          <w:sz w:val="18"/>
          <w:szCs w:val="18"/>
          <w:color w:val="auto"/>
        </w:rPr>
      </w:pPr>
    </w:p>
    <w:p>
      <w:pPr>
        <w:jc w:val="both"/>
        <w:ind w:left="740" w:hanging="327"/>
        <w:spacing w:after="0" w:line="25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188" w:lineRule="exact"/>
        <w:rPr>
          <w:rFonts w:ascii="Arial" w:cs="Arial" w:eastAsia="Arial" w:hAnsi="Arial"/>
          <w:sz w:val="18"/>
          <w:szCs w:val="18"/>
          <w:color w:val="auto"/>
        </w:rPr>
      </w:pPr>
    </w:p>
    <w:p>
      <w:pPr>
        <w:jc w:val="both"/>
        <w:ind w:left="740" w:hanging="327"/>
        <w:spacing w:after="0" w:line="291"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w:t>
      </w:r>
    </w:p>
    <w:p>
      <w:pPr>
        <w:jc w:val="both"/>
        <w:ind w:left="740" w:hanging="3"/>
        <w:spacing w:after="0" w:line="255" w:lineRule="auto"/>
        <w:tabs>
          <w:tab w:leader="none" w:pos="103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976" w:right="239" w:bottom="1440" w:gutter="0" w:footer="0" w:header="0"/>
        </w:sectPr>
      </w:pPr>
    </w:p>
    <w:bookmarkStart w:id="23" w:name="page24"/>
    <w:bookmarkEnd w:id="23"/>
    <w:p>
      <w:pPr>
        <w:jc w:val="both"/>
        <w:ind w:left="740" w:hanging="327"/>
        <w:spacing w:after="0" w:line="268"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187" w:lineRule="exact"/>
        <w:rPr>
          <w:rFonts w:ascii="Arial" w:cs="Arial" w:eastAsia="Arial" w:hAnsi="Arial"/>
          <w:sz w:val="17"/>
          <w:szCs w:val="17"/>
          <w:color w:val="auto"/>
        </w:rPr>
      </w:pPr>
    </w:p>
    <w:p>
      <w:pPr>
        <w:jc w:val="both"/>
        <w:ind w:left="740" w:hanging="327"/>
        <w:spacing w:after="0" w:line="25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193" w:lineRule="exact"/>
        <w:rPr>
          <w:rFonts w:ascii="Arial" w:cs="Arial" w:eastAsia="Arial" w:hAnsi="Arial"/>
          <w:sz w:val="18"/>
          <w:szCs w:val="18"/>
          <w:color w:val="auto"/>
        </w:rPr>
      </w:pPr>
    </w:p>
    <w:p>
      <w:pPr>
        <w:jc w:val="both"/>
        <w:ind w:left="740" w:hanging="327"/>
        <w:spacing w:after="0" w:line="276"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172" w:lineRule="exact"/>
        <w:rPr>
          <w:rFonts w:ascii="Arial" w:cs="Arial" w:eastAsia="Arial" w:hAnsi="Arial"/>
          <w:sz w:val="17"/>
          <w:szCs w:val="17"/>
          <w:color w:val="auto"/>
        </w:rPr>
      </w:pPr>
    </w:p>
    <w:p>
      <w:pPr>
        <w:jc w:val="both"/>
        <w:ind w:left="740" w:hanging="327"/>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or transfer of shares of common stock under a plan established pursuant to Rule 10b5-1 under the Exchange Act (a “10b5-1 Plan”) that is existing prior to this offering; provided, that, to the extent a public 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spacing w:after="0" w:line="186" w:lineRule="exact"/>
        <w:rPr>
          <w:rFonts w:ascii="Arial" w:cs="Arial" w:eastAsia="Arial" w:hAnsi="Arial"/>
          <w:sz w:val="18"/>
          <w:szCs w:val="18"/>
          <w:color w:val="auto"/>
        </w:rPr>
      </w:pPr>
    </w:p>
    <w:p>
      <w:pPr>
        <w:jc w:val="both"/>
        <w:ind w:left="740" w:hanging="327"/>
        <w:spacing w:after="0" w:line="25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w:t>
      </w:r>
    </w:p>
    <w:p>
      <w:pPr>
        <w:spacing w:after="0" w:line="193" w:lineRule="exact"/>
        <w:rPr>
          <w:rFonts w:ascii="Arial" w:cs="Arial" w:eastAsia="Arial" w:hAnsi="Arial"/>
          <w:sz w:val="18"/>
          <w:szCs w:val="18"/>
          <w:color w:val="auto"/>
        </w:rPr>
      </w:pPr>
    </w:p>
    <w:p>
      <w:pPr>
        <w:jc w:val="both"/>
        <w:ind w:left="740" w:hanging="327"/>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the recipient agrees to enter into a lockup agreement similar to the lockup agreements entered into by our directors and officers; or</w:t>
      </w:r>
    </w:p>
    <w:p>
      <w:pPr>
        <w:spacing w:after="0" w:line="186"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Morgan Stanley &amp; Co. LLC and BofA Securities, Inc., in their sole discretion, may release the common stock and other securities subject to the lock-up agreements described above in whole or in part at any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976" w:right="239" w:bottom="1440" w:gutter="0" w:footer="0" w:header="0"/>
        </w:sectPr>
      </w:pPr>
    </w:p>
    <w:bookmarkStart w:id="24" w:name="page25"/>
    <w:bookmarkEnd w:id="24"/>
    <w:p>
      <w:pPr>
        <w:jc w:val="both"/>
        <w:ind w:firstLine="405"/>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option to purchase additional shares from us.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European Economic Area</w:t>
      </w:r>
    </w:p>
    <w:p>
      <w:pPr>
        <w:spacing w:after="0" w:line="200" w:lineRule="exact"/>
        <w:rPr>
          <w:sz w:val="20"/>
          <w:szCs w:val="20"/>
          <w:color w:val="auto"/>
        </w:rPr>
      </w:pPr>
    </w:p>
    <w:p>
      <w:pPr>
        <w:spacing w:after="0" w:line="2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Regulation, if they have been implemented in that Member State:</w:t>
      </w:r>
    </w:p>
    <w:p>
      <w:pPr>
        <w:spacing w:after="0" w:line="39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Regulation), as permitted under the Prospectus Regulation, subject to obtaining the prior consent of the representatives for any such offer; or</w:t>
      </w:r>
    </w:p>
    <w:p>
      <w:pPr>
        <w:spacing w:after="0" w:line="3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our common stock shall result in a requirement for the publication by us or any underwriter of a prospectus pursuant to Article 3 of the Prospectus Regulation, or supplement a prospectus pursuant to Article 23 of the Prospectus Regulation.</w:t>
      </w:r>
    </w:p>
    <w:p>
      <w:pPr>
        <w:spacing w:after="0" w:line="3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Regulation in that Member State. For the purposes of this provision, the expression “Prospectus Regulation” means Regulation (EU) 2017/1129.</w:t>
      </w:r>
    </w:p>
    <w:p>
      <w:pPr>
        <w:sectPr>
          <w:pgSz w:w="11900" w:h="16838" w:orient="portrait"/>
          <w:cols w:equalWidth="0" w:num="1">
            <w:col w:w="11420"/>
          </w:cols>
          <w:pgMar w:left="240" w:top="976" w:right="239" w:bottom="406"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ectPr>
          <w:pgSz w:w="11900" w:h="16838" w:orient="portrait"/>
          <w:cols w:equalWidth="0" w:num="1">
            <w:col w:w="11420"/>
          </w:cols>
          <w:pgMar w:left="240" w:top="976" w:right="239" w:bottom="406" w:gutter="0" w:footer="0" w:header="0"/>
          <w:type w:val="continuous"/>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United Kingdom</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00" w:lineRule="exact"/>
        <w:rPr>
          <w:sz w:val="20"/>
          <w:szCs w:val="20"/>
          <w:color w:val="auto"/>
        </w:rPr>
      </w:pPr>
    </w:p>
    <w:p>
      <w:pPr>
        <w:spacing w:after="0" w:line="241" w:lineRule="exact"/>
        <w:rPr>
          <w:sz w:val="20"/>
          <w:szCs w:val="20"/>
          <w:color w:val="auto"/>
        </w:rPr>
      </w:pPr>
    </w:p>
    <w:p>
      <w:pPr>
        <w:jc w:val="both"/>
        <w:ind w:left="1300" w:hanging="644"/>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3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ectPr>
          <w:pgSz w:w="11900" w:h="16838" w:orient="portrait"/>
          <w:cols w:equalWidth="0" w:num="1">
            <w:col w:w="11420"/>
          </w:cols>
          <w:pgMar w:left="240" w:top="976" w:right="239" w:bottom="142"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9019"/>
          </w:cols>
          <w:pgMar w:left="1440" w:top="139" w:right="1440" w:bottom="1440" w:gutter="0" w:footer="0" w:header="0"/>
        </w:sectPr>
      </w:pPr>
    </w:p>
    <w:bookmarkStart w:id="27" w:name="page28"/>
    <w:bookmarkEnd w:id="27"/>
    <w:p>
      <w:pPr>
        <w:jc w:val="both"/>
        <w:ind w:firstLine="405"/>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3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387" w:lineRule="exact"/>
        <w:rPr>
          <w:sz w:val="20"/>
          <w:szCs w:val="20"/>
          <w:color w:val="auto"/>
        </w:rPr>
      </w:pPr>
    </w:p>
    <w:p>
      <w:pPr>
        <w:ind w:left="900" w:hanging="487"/>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8" w:lineRule="exact"/>
        <w:rPr>
          <w:rFonts w:ascii="Arial" w:cs="Arial" w:eastAsia="Arial" w:hAnsi="Arial"/>
          <w:sz w:val="18"/>
          <w:szCs w:val="18"/>
          <w:color w:val="auto"/>
        </w:rPr>
      </w:pPr>
    </w:p>
    <w:p>
      <w:pPr>
        <w:jc w:val="both"/>
        <w:ind w:left="900" w:hanging="487"/>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ectPr>
          <w:pgSz w:w="11900" w:h="16838" w:orient="portrait"/>
          <w:cols w:equalWidth="0" w:num="1">
            <w:col w:w="11420"/>
          </w:cols>
          <w:pgMar w:left="240" w:top="976"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420"/>
          </w:cols>
          <w:pgMar w:left="240" w:top="976" w:right="239" w:bottom="1440" w:gutter="0" w:footer="0" w:header="0"/>
          <w:type w:val="continuous"/>
        </w:sectPr>
      </w:pPr>
    </w:p>
    <w:bookmarkStart w:id="28" w:name="page29"/>
    <w:bookmarkEnd w:id="28"/>
    <w:p>
      <w:pPr>
        <w:ind w:left="1920" w:hanging="1093"/>
        <w:spacing w:after="0" w:line="277" w:lineRule="auto"/>
        <w:rPr>
          <w:sz w:val="20"/>
          <w:szCs w:val="20"/>
          <w:color w:val="auto"/>
        </w:rPr>
      </w:pPr>
      <w:r>
        <w:rPr>
          <w:rFonts w:ascii="Arial" w:cs="Arial" w:eastAsia="Arial" w:hAnsi="Arial"/>
          <w:sz w:val="18"/>
          <w:szCs w:val="18"/>
          <w:color w:val="auto"/>
        </w:rPr>
        <w:t>(a)to an institutional investor or to a relevant person defined in Section 275(2) of the SFA, or to any person arising from an offer referred to in Section 275(1A) or Section 276(4)(i)(B) of the SFA;</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(b)where no consideration is or will be given for the transfer;</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(c)where the transfer is by operation of law;</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(d)as specified in Section 276(7) of the SFA; or</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(e)as specified in Regulation 32 of the Securities and Futures (Offers of Investments) (Shares and Debentures) Regulations 2005 of Singapore.</w:t>
      </w:r>
    </w:p>
    <w:p>
      <w:pPr>
        <w:spacing w:after="0" w:line="20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Cooley LLP will pass upon the validity of the securities offered by this prospectus supplement. Latham &amp; Watkins LLP is representing the underwriters in this offering.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statements incorporated in this prospectus supplement and accompanying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000000"/>
        </w:rPr>
        <w:t>. The information on the SEC’s web site is not part of this prospectus supplement or the accompanying prospectus, and any references to this</w:t>
      </w:r>
      <w:r>
        <w:rPr>
          <w:rFonts w:ascii="Arial" w:cs="Arial" w:eastAsia="Arial" w:hAnsi="Arial"/>
          <w:sz w:val="17"/>
          <w:szCs w:val="17"/>
          <w:color w:val="0000FF"/>
        </w:rPr>
        <w:t xml:space="preserve"> </w:t>
      </w:r>
      <w:r>
        <w:rPr>
          <w:rFonts w:ascii="Arial" w:cs="Arial" w:eastAsia="Arial" w:hAnsi="Arial"/>
          <w:sz w:val="17"/>
          <w:szCs w:val="17"/>
          <w:color w:val="000000"/>
        </w:rPr>
        <w:t>web site or any other web site are inactive textual references only.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92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72"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spacing w:after="0" w:line="394" w:lineRule="exact"/>
        <w:rPr>
          <w:sz w:val="20"/>
          <w:szCs w:val="20"/>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w:t>
      </w:r>
      <w:hyperlink r:id="rId17">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1">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25">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December 4,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7">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w:t>
      </w:r>
      <w:hyperlink r:id="rId28">
        <w:r>
          <w:rPr>
            <w:rFonts w:ascii="Arial" w:cs="Arial" w:eastAsia="Arial" w:hAnsi="Arial"/>
            <w:sz w:val="18"/>
            <w:szCs w:val="18"/>
            <w:u w:val="single" w:color="auto"/>
            <w:color w:val="0000EE"/>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3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9">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70" w:lineRule="exact"/>
        <w:rPr>
          <w:rFonts w:ascii="Arial" w:cs="Arial" w:eastAsia="Arial" w:hAnsi="Arial"/>
          <w:sz w:val="18"/>
          <w:szCs w:val="18"/>
          <w:color w:val="auto"/>
        </w:rPr>
      </w:pPr>
    </w:p>
    <w:p>
      <w:pPr>
        <w:jc w:val="both"/>
        <w:ind w:firstLine="297"/>
        <w:spacing w:after="0" w:line="287"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spacing w:after="0" w:line="17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972" w:right="23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S-25</w:t>
      </w:r>
    </w:p>
    <w:p>
      <w:pPr>
        <w:sectPr>
          <w:pgSz w:w="11900" w:h="16838" w:orient="portrait"/>
          <w:cols w:equalWidth="0" w:num="1">
            <w:col w:w="11420"/>
          </w:cols>
          <w:pgMar w:left="240" w:top="972"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365760</wp:posOffset>
            </wp:positionV>
            <wp:extent cx="2573020" cy="995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25730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$200,000,000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jc w:val="center"/>
        <w:spacing w:after="0" w:line="239" w:lineRule="auto"/>
        <w:rPr>
          <w:sz w:val="20"/>
          <w:szCs w:val="20"/>
          <w:color w:val="auto"/>
        </w:rPr>
      </w:pPr>
      <w:r>
        <w:rPr>
          <w:rFonts w:ascii="Arial" w:cs="Arial" w:eastAsia="Arial" w:hAnsi="Arial"/>
          <w:sz w:val="22"/>
          <w:szCs w:val="22"/>
          <w:b w:val="1"/>
          <w:bCs w:val="1"/>
          <w:color w:val="auto"/>
        </w:rPr>
        <w:t>Warrants</w:t>
      </w:r>
    </w:p>
    <w:p>
      <w:pPr>
        <w:ind w:left="4760"/>
        <w:spacing w:after="0"/>
        <w:rPr>
          <w:sz w:val="20"/>
          <w:szCs w:val="20"/>
          <w:color w:val="auto"/>
        </w:rPr>
      </w:pPr>
      <w:r>
        <w:rPr>
          <w:rFonts w:ascii="Arial" w:cs="Arial" w:eastAsia="Arial" w:hAnsi="Arial"/>
          <w:sz w:val="18"/>
          <w:szCs w:val="18"/>
          <w:color w:val="auto"/>
        </w:rPr>
        <w:t>_____________________</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 Shares of Common Stock</w:t>
      </w:r>
    </w:p>
    <w:p>
      <w:pPr>
        <w:spacing w:after="0" w:line="21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00" w:lineRule="exact"/>
        <w:rPr>
          <w:sz w:val="20"/>
          <w:szCs w:val="20"/>
          <w:color w:val="auto"/>
        </w:rPr>
      </w:pPr>
    </w:p>
    <w:p>
      <w:pPr>
        <w:spacing w:after="0" w:line="241"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8"/>
          <w:szCs w:val="18"/>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397"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In addition, selling stockholders to be named in a prospectus supplement may also offer and sell, from time to time, up to 2,000,000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receive any proceeds from the sale of our common stock by selling stockholders.</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3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common stock is listed on the Nasdaq Global Market under the symbol “SIBN.” On December 24, 2019, the last reported sale price of our common stock was $21.13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ectPr>
          <w:pgSz w:w="11900" w:h="16838" w:orient="portrait"/>
          <w:cols w:equalWidth="0" w:num="1">
            <w:col w:w="11420"/>
          </w:cols>
          <w:pgMar w:left="240" w:top="1350" w:right="239" w:bottom="1440" w:gutter="0" w:footer="0" w:header="0"/>
        </w:sectPr>
      </w:pPr>
    </w:p>
    <w:bookmarkStart w:id="31" w:name="page32"/>
    <w:bookmarkEnd w:id="31"/>
    <w:p>
      <w:pPr>
        <w:jc w:val="both"/>
        <w:ind w:firstLine="324"/>
        <w:spacing w:after="0" w:line="276" w:lineRule="auto"/>
        <w:rPr>
          <w:sz w:val="20"/>
          <w:szCs w:val="20"/>
          <w:color w:val="auto"/>
        </w:rPr>
      </w:pPr>
      <w:r>
        <w:rPr>
          <w:rFonts w:ascii="Arial" w:cs="Arial" w:eastAsia="Arial" w:hAnsi="Arial"/>
          <w:sz w:val="17"/>
          <w:szCs w:val="17"/>
          <w:color w:val="auto"/>
        </w:rPr>
        <w:t>The securities may be sold directly by us or the selling stockholders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will be received from such sale will also be set forth in a prospectus supplement.</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354330</wp:posOffset>
            </wp:positionV>
            <wp:extent cx="20237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2, 2020.</w:t>
      </w:r>
    </w:p>
    <w:p>
      <w:pPr>
        <w:sectPr>
          <w:pgSz w:w="11900" w:h="16838" w:orient="portrait"/>
          <w:cols w:equalWidth="0" w:num="1">
            <w:col w:w="11420"/>
          </w:cols>
          <w:pgMar w:left="240" w:top="760"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83"/>
              </w:rPr>
              <w:t>Page</w:t>
            </w: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center"/>
              <w:ind w:right="30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ii</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20" w:type="dxa"/>
            <w:vAlign w:val="bottom"/>
            <w:gridSpan w:val="8"/>
          </w:tcPr>
          <w:p>
            <w:pPr>
              <w:spacing w:after="0" w:line="20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PROSPECTUS SUMMARY</w:t>
              </w:r>
            </w:hyperlink>
          </w:p>
        </w:tc>
        <w:tc>
          <w:tcPr>
            <w:tcW w:w="7340" w:type="dxa"/>
            <w:vAlign w:val="bottom"/>
            <w:gridSpan w:val="8"/>
          </w:tcPr>
          <w:p>
            <w:pPr>
              <w:spacing w:after="0"/>
              <w:rPr>
                <w:sz w:val="17"/>
                <w:szCs w:val="17"/>
                <w:color w:val="auto"/>
              </w:rPr>
            </w:pPr>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400" w:type="dxa"/>
            <w:vAlign w:val="bottom"/>
            <w:gridSpan w:val="4"/>
            <w:shd w:val="clear" w:color="auto" w:fill="CCEEFF"/>
          </w:tcPr>
          <w:p>
            <w:pPr>
              <w:jc w:val="center"/>
              <w:ind w:left="191"/>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5</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SPECIAL NOTE REGARDING FORWARD-LOOKING STATEMENTS</w:t>
              </w:r>
            </w:hyperlink>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5</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USE OF PROCEEDS</w:t>
              </w:r>
            </w:hyperlink>
          </w:p>
        </w:tc>
        <w:tc>
          <w:tcPr>
            <w:tcW w:w="7980" w:type="dxa"/>
            <w:vAlign w:val="bottom"/>
            <w:gridSpan w:val="12"/>
            <w:shd w:val="clear" w:color="auto" w:fill="CCEEFF"/>
          </w:tcPr>
          <w:p>
            <w:pPr>
              <w:spacing w:after="0"/>
              <w:rPr>
                <w:sz w:val="17"/>
                <w:szCs w:val="17"/>
                <w:color w:val="auto"/>
              </w:rPr>
            </w:pPr>
          </w:p>
        </w:tc>
        <w:tc>
          <w:tcPr>
            <w:tcW w:w="400" w:type="dxa"/>
            <w:vAlign w:val="bottom"/>
            <w:gridSpan w:val="4"/>
            <w:shd w:val="clear" w:color="auto" w:fill="CCEEFF"/>
          </w:tcPr>
          <w:p>
            <w:pPr>
              <w:jc w:val="center"/>
              <w:ind w:left="191"/>
              <w:spacing w:after="0" w:line="202"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CAPITAL STOCK</w:t>
              </w:r>
            </w:hyperlink>
          </w:p>
        </w:tc>
        <w:tc>
          <w:tcPr>
            <w:tcW w:w="400" w:type="dxa"/>
            <w:vAlign w:val="bottom"/>
            <w:gridSpan w:val="4"/>
          </w:tcPr>
          <w:p>
            <w:pPr>
              <w:jc w:val="center"/>
              <w:ind w:left="191"/>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DEBT SECURITIES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10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020" w:type="dxa"/>
            <w:vAlign w:val="bottom"/>
            <w:gridSpan w:val="12"/>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WARRANTS</w:t>
              </w:r>
            </w:hyperlink>
          </w:p>
        </w:tc>
        <w:tc>
          <w:tcPr>
            <w:tcW w:w="6540" w:type="dxa"/>
            <w:vAlign w:val="bottom"/>
            <w:gridSpan w:val="4"/>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15</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LEGAL OWNERSHIP SECURITIES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16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740" w:type="dxa"/>
            <w:vAlign w:val="bottom"/>
            <w:gridSpan w:val="10"/>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SELLING STOCKHOLDERS</w:t>
              </w:r>
            </w:hyperlink>
          </w:p>
        </w:tc>
        <w:tc>
          <w:tcPr>
            <w:tcW w:w="6820" w:type="dxa"/>
            <w:vAlign w:val="bottom"/>
            <w:gridSpan w:val="6"/>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19</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19</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040" w:type="dxa"/>
            <w:vAlign w:val="bottom"/>
            <w:gridSpan w:val="5"/>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7520" w:type="dxa"/>
            <w:vAlign w:val="bottom"/>
            <w:gridSpan w:val="11"/>
          </w:tcPr>
          <w:p>
            <w:pPr>
              <w:spacing w:after="0"/>
              <w:rPr>
                <w:sz w:val="17"/>
                <w:szCs w:val="17"/>
                <w:color w:val="auto"/>
              </w:rPr>
            </w:pPr>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20</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560" w:type="dxa"/>
            <w:vAlign w:val="bottom"/>
            <w:gridSpan w:val="16"/>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ADDITIONAL INFORMATION</w:t>
              </w:r>
            </w:hyperlink>
          </w:p>
        </w:tc>
        <w:tc>
          <w:tcPr>
            <w:tcW w:w="700" w:type="dxa"/>
            <w:vAlign w:val="bottom"/>
            <w:gridSpan w:val="6"/>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21</w:t>
              </w:r>
            </w:hyperlink>
          </w:p>
        </w:tc>
      </w:tr>
      <w:tr>
        <w:trPr>
          <w:trHeight w:val="48"/>
        </w:trPr>
        <w:tc>
          <w:tcPr>
            <w:tcW w:w="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INCORPORATION OF CERTAIN INFORMATION BY REFERENCE</w:t>
              </w:r>
            </w:hyperlink>
          </w:p>
        </w:tc>
        <w:tc>
          <w:tcPr>
            <w:tcW w:w="70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21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80"/>
          </w:cols>
          <w:pgMar w:left="820" w:top="769" w:right="7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 In addition, under this shelf process, the selling stockholders to be named in a supplement to this prospectus may, from time to time, offer or sell up to 2,000,000 shares of our common stock.</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prospectus provides you with a general description of the securities we and the selling stockholders may offer. Each time we and/or the selling stockholders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stockholders have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56"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846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250430" cy="8468360"/>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34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62" w:lineRule="exact"/>
        <w:rPr>
          <w:sz w:val="20"/>
          <w:szCs w:val="20"/>
          <w:color w:val="auto"/>
        </w:rPr>
      </w:pPr>
    </w:p>
    <w:p>
      <w:pPr>
        <w:ind w:left="66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62" w:lineRule="exact"/>
        <w:rPr>
          <w:rFonts w:ascii="Arial" w:cs="Arial" w:eastAsia="Arial" w:hAnsi="Arial"/>
          <w:sz w:val="18"/>
          <w:szCs w:val="18"/>
          <w:color w:val="auto"/>
        </w:rPr>
      </w:pPr>
    </w:p>
    <w:p>
      <w:pPr>
        <w:jc w:val="both"/>
        <w:ind w:left="660" w:hanging="334"/>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73"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62" w:lineRule="exact"/>
        <w:rPr>
          <w:rFonts w:ascii="Arial" w:cs="Arial" w:eastAsia="Arial" w:hAnsi="Arial"/>
          <w:sz w:val="18"/>
          <w:szCs w:val="18"/>
          <w:color w:val="auto"/>
        </w:rPr>
      </w:pPr>
    </w:p>
    <w:p>
      <w:pPr>
        <w:ind w:left="660" w:right="2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currently manufacture and sell products primarily used in a single procedure, which could negatively affect our operations and financial condition;</w:t>
      </w:r>
    </w:p>
    <w:p>
      <w:pPr>
        <w:spacing w:after="0" w:line="62" w:lineRule="exact"/>
        <w:rPr>
          <w:rFonts w:ascii="Arial" w:cs="Arial" w:eastAsia="Arial" w:hAnsi="Arial"/>
          <w:sz w:val="18"/>
          <w:szCs w:val="18"/>
          <w:color w:val="auto"/>
        </w:rPr>
      </w:pPr>
    </w:p>
    <w:p>
      <w:pPr>
        <w:ind w:left="660" w:right="20" w:hanging="334"/>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rFonts w:ascii="Arial" w:cs="Arial" w:eastAsia="Arial" w:hAnsi="Arial"/>
          <w:sz w:val="17"/>
          <w:szCs w:val="17"/>
          <w:color w:val="auto"/>
        </w:rPr>
      </w:pPr>
    </w:p>
    <w:p>
      <w:pPr>
        <w:ind w:left="66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62" w:lineRule="exact"/>
        <w:rPr>
          <w:rFonts w:ascii="Arial" w:cs="Arial" w:eastAsia="Arial" w:hAnsi="Arial"/>
          <w:sz w:val="18"/>
          <w:szCs w:val="18"/>
          <w:color w:val="auto"/>
        </w:rPr>
      </w:pPr>
    </w:p>
    <w:p>
      <w:pPr>
        <w:ind w:left="660" w:hanging="334"/>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ectPr>
          <w:pgSz w:w="11900" w:h="16838" w:orient="portrait"/>
          <w:cols w:equalWidth="0" w:num="1">
            <w:col w:w="10580"/>
          </w:cols>
          <w:pgMar w:left="660" w:top="1175" w:right="6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80"/>
          </w:cols>
          <w:pgMar w:left="660" w:top="1175" w:right="6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89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250430" cy="889698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up to a maximum aggregate sales price of $200,000,000.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297" w:lineRule="exact"/>
        <w:rPr>
          <w:sz w:val="20"/>
          <w:szCs w:val="20"/>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17"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selling stockholders to be named in a prospectus supplement may also offer and sell, from time to time, up to 2,000,000 shares of our common stock.</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jc w:val="both"/>
        <w:ind w:firstLine="369"/>
        <w:spacing w:after="0" w:line="312" w:lineRule="auto"/>
        <w:rPr>
          <w:sz w:val="20"/>
          <w:szCs w:val="20"/>
          <w:color w:val="auto"/>
        </w:rPr>
      </w:pPr>
      <w:r>
        <w:rPr>
          <w:rFonts w:ascii="Arial" w:cs="Arial" w:eastAsia="Arial" w:hAnsi="Arial"/>
          <w:sz w:val="16"/>
          <w:szCs w:val="16"/>
          <w:color w:val="auto"/>
        </w:rPr>
        <w:t>We or the selling stockholders may sell the securities directly to investors or to or through agents, underwriters or dealers. We and the selling stockholders, and our or their agents or underwriters, reserve the right to accept or reject all or part of any proposed purchase of securities. If we or the selling stockholders do offer securities to or through agents or underwriters, we will include in the applicable prospectus supplement:</w:t>
      </w:r>
    </w:p>
    <w:p>
      <w:pPr>
        <w:spacing w:after="0" w:line="255" w:lineRule="exact"/>
        <w:rPr>
          <w:sz w:val="20"/>
          <w:szCs w:val="20"/>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proceeds to us.</w:t>
      </w:r>
    </w:p>
    <w:p>
      <w:pPr>
        <w:sectPr>
          <w:pgSz w:w="11900" w:h="16838" w:orient="portrait"/>
          <w:cols w:equalWidth="0" w:num="1">
            <w:col w:w="10580"/>
          </w:cols>
          <w:pgMar w:left="660" w:top="1175" w:right="659" w:bottom="10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80"/>
          </w:cols>
          <w:pgMar w:left="660" w:top="1175" w:right="659" w:bottom="1084" w:gutter="0" w:footer="0" w:header="0"/>
          <w:type w:val="continuous"/>
        </w:sectPr>
      </w:pPr>
    </w:p>
    <w:bookmarkStart w:id="36" w:name="page37"/>
    <w:bookmarkEnd w:id="36"/>
    <w:p>
      <w:pPr>
        <w:jc w:val="both"/>
        <w:ind w:firstLine="324"/>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155575</wp:posOffset>
            </wp:positionH>
            <wp:positionV relativeFrom="page">
              <wp:posOffset>489585</wp:posOffset>
            </wp:positionV>
            <wp:extent cx="7250430" cy="807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t>Common Stock</w:t>
      </w:r>
      <w:r>
        <w:rPr>
          <w:rFonts w:ascii="Arial" w:cs="Arial" w:eastAsia="Arial" w:hAnsi="Arial"/>
          <w:sz w:val="17"/>
          <w:szCs w:val="17"/>
          <w:color w:val="auto"/>
        </w:rPr>
        <w:t>. We may issue shares of our common stock from time to time. The selling stockholders may offer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such shares were issued and outstanding prior to the original date of filing of the registration statement to which this prospectus relates.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We may issue shares of our preferred stock from time to time, in one or more series. Our board of directors will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common stock, preferred stock and/or debt securities in one or more series.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pgSz w:w="11900" w:h="16838" w:orient="portrait"/>
          <w:cols w:equalWidth="0" w:num="1">
            <w:col w:w="10580"/>
          </w:cols>
          <w:pgMar w:left="660" w:top="117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80"/>
          </w:cols>
          <w:pgMar w:left="660" w:top="1179" w:right="6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7250430" cy="2327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250430" cy="2327910"/>
                    </a:xfrm>
                    <a:prstGeom prst="rect">
                      <a:avLst/>
                    </a:prstGeom>
                    <a:noFill/>
                  </pic:spPr>
                </pic:pic>
              </a:graphicData>
            </a:graphic>
          </wp:anchor>
        </w:drawing>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shares of our common stock by any selling stockholder. See “Use of Proceeds” in this prospectus.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left="20" w:firstLine="297"/>
        <w:spacing w:after="0" w:line="264"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660" w:top="1175" w:right="6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 w:firstLine="297"/>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reliance on a limited number of suppliers which may impact the availability of instruments and materials;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ectPr>
          <w:pgSz w:w="11900" w:h="16838" w:orient="portrait"/>
          <w:cols w:equalWidth="0" w:num="1">
            <w:col w:w="11420"/>
          </w:cols>
          <w:pgMar w:left="240" w:top="81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10" w:right="239" w:bottom="1440" w:gutter="0" w:footer="0" w:header="0"/>
          <w:type w:val="continuous"/>
        </w:sectPr>
      </w:pPr>
    </w:p>
    <w:bookmarkStart w:id="39" w:name="page40"/>
    <w:bookmarkEnd w:id="39"/>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will not receive any proceeds from the sale of shares of our common stock by any selling stockholder.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29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ectPr>
          <w:pgSz w:w="11900" w:h="16838" w:orient="portrait"/>
          <w:cols w:equalWidth="0" w:num="1">
            <w:col w:w="11420"/>
          </w:cols>
          <w:pgMar w:left="240" w:top="75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56" w:right="239" w:bottom="1440" w:gutter="0" w:footer="0" w:header="0"/>
          <w:type w:val="continuous"/>
        </w:sectPr>
      </w:pPr>
    </w:p>
    <w:bookmarkStart w:id="41" w:name="page42"/>
    <w:bookmarkEnd w:id="41"/>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17"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8"/>
          <w:szCs w:val="18"/>
          <w:color w:val="000000"/>
        </w:rPr>
        <w:t>or</w:t>
      </w:r>
    </w:p>
    <w:p>
      <w:pPr>
        <w:spacing w:after="0" w:line="8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1"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4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33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56" w:right="239" w:bottom="1440" w:gutter="0" w:footer="0" w:header="0"/>
        </w:sectPr>
      </w:pPr>
    </w:p>
    <w:bookmarkStart w:id="44" w:name="page45"/>
    <w:bookmarkEnd w:id="44"/>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28"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6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279" w:lineRule="exact"/>
        <w:rPr>
          <w:sz w:val="20"/>
          <w:szCs w:val="20"/>
          <w:color w:val="auto"/>
        </w:rPr>
      </w:pPr>
    </w:p>
    <w:p>
      <w:pPr>
        <w:jc w:val="both"/>
        <w:ind w:left="660" w:hanging="328"/>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7"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3"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28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2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6" w:right="239" w:bottom="1440" w:gutter="0" w:footer="0" w:header="0"/>
        </w:sectPr>
      </w:pPr>
    </w:p>
    <w:bookmarkStart w:id="46" w:name="page47"/>
    <w:bookmarkEnd w:id="46"/>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33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3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29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27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0" w:right="239" w:bottom="1440" w:gutter="0" w:footer="0" w:header="0"/>
        </w:sectPr>
      </w:pPr>
    </w:p>
    <w:bookmarkStart w:id="47" w:name="page48"/>
    <w:bookmarkEnd w:id="47"/>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333" w:lineRule="exact"/>
        <w:rPr>
          <w:sz w:val="20"/>
          <w:szCs w:val="20"/>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ectPr>
          <w:pgSz w:w="11900" w:h="16838" w:orient="portrait"/>
          <w:cols w:equalWidth="0" w:num="1">
            <w:col w:w="11420"/>
          </w:cols>
          <w:pgMar w:left="240" w:top="868"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68" w:right="239" w:bottom="1440" w:gutter="0" w:footer="0" w:header="0"/>
          <w:type w:val="continuous"/>
        </w:sectPr>
      </w:pPr>
    </w:p>
    <w:bookmarkStart w:id="48" w:name="page49"/>
    <w:bookmarkEnd w:id="48"/>
    <w:p>
      <w:pPr>
        <w:jc w:val="both"/>
        <w:ind w:firstLine="324"/>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33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60" w:right="239" w:bottom="1440" w:gutter="0" w:footer="0" w:header="0"/>
          <w:type w:val="continuous"/>
        </w:sectPr>
      </w:pPr>
    </w:p>
    <w:bookmarkStart w:id="49" w:name="page50"/>
    <w:bookmarkEnd w:id="49"/>
    <w:p>
      <w:pPr>
        <w:ind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279"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50" w:name="page51"/>
    <w:bookmarkEnd w:id="50"/>
    <w:p>
      <w:pPr>
        <w:jc w:val="both"/>
        <w:ind w:firstLine="324"/>
        <w:spacing w:after="0" w:line="264"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27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51" w:name="page52"/>
    <w:bookmarkEnd w:id="51"/>
    <w:p>
      <w:pPr>
        <w:jc w:val="both"/>
        <w:ind w:firstLine="324"/>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333"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we provide otherwise in the applicable prospectus supplement, the global security will terminate when the following special situations occur:</w:t>
      </w:r>
    </w:p>
    <w:p>
      <w:pPr>
        <w:spacing w:after="0" w:line="345"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ectPr>
          <w:pgSz w:w="11900" w:h="16838" w:orient="portrait"/>
          <w:cols w:equalWidth="0" w:num="1">
            <w:col w:w="11420"/>
          </w:cols>
          <w:pgMar w:left="240" w:top="760"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60" w:right="239" w:bottom="1440" w:gutter="0" w:footer="0" w:header="0"/>
          <w:type w:val="continuous"/>
        </w:sectPr>
      </w:pPr>
    </w:p>
    <w:bookmarkStart w:id="52" w:name="page53"/>
    <w:bookmarkEnd w:id="52"/>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of up to 2,000,000 shares of our common stock that were issued and outstanding prior to the original date of filing of the registration statement of which this prospectus forms a part, including shares that may be owned by affiliates. The selling stockholders are (1) former holders of our preferred stock that originally acquired the shares of our common stock included in this prospectus through several private placements of our convertible preferred stock prior to our initial public offering, all of which shares of preferred stock were converted into shares of our common stock in connection with our initial public offering, or (2) a holder who acquired shares of common stock in a private placement of our common stock or pursuant to the exercise of stock options.</w:t>
      </w:r>
    </w:p>
    <w:p>
      <w:pPr>
        <w:spacing w:after="0" w:line="111"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9" w:lineRule="exact"/>
        <w:rPr>
          <w:sz w:val="20"/>
          <w:szCs w:val="20"/>
          <w:color w:val="auto"/>
        </w:rPr>
      </w:pPr>
    </w:p>
    <w:p>
      <w:pPr>
        <w:jc w:val="both"/>
        <w:ind w:firstLine="297"/>
        <w:spacing w:after="0" w:line="312" w:lineRule="auto"/>
        <w:rPr>
          <w:sz w:val="20"/>
          <w:szCs w:val="20"/>
          <w:color w:val="auto"/>
        </w:rPr>
      </w:pPr>
      <w:r>
        <w:rPr>
          <w:rFonts w:ascii="Arial" w:cs="Arial" w:eastAsia="Arial" w:hAnsi="Arial"/>
          <w:sz w:val="16"/>
          <w:szCs w:val="16"/>
          <w:color w:val="auto"/>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or the selling stockholders may sell the securities from time to time pursuant to underwritten public offerings, direct sales to the public, negotiated transactions, block trades or a combination of these methods. We or the selling stockholders may sell the securities to or through underwriters or dealers, through agents, or directly to one or more purchasers. We or the selling stockholders may distribute securities from time to time in one or more transactions:</w:t>
      </w:r>
    </w:p>
    <w:p>
      <w:pPr>
        <w:spacing w:after="0" w:line="25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27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68" w:right="239" w:bottom="1440" w:gutter="0" w:footer="0" w:header="0"/>
        </w:sectPr>
      </w:pPr>
    </w:p>
    <w:bookmarkStart w:id="53" w:name="page54"/>
    <w:bookmarkEnd w:id="53"/>
    <w:p>
      <w:pPr>
        <w:jc w:val="both"/>
        <w:ind w:firstLine="324"/>
        <w:spacing w:after="0" w:line="25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stockholders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our or the selling stockholders’ agent will act on a best-efforts basis for the period of its appointment.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authorize agents or underwriters to solicit offers by certain types of institutional investors to purchase securities from us or the selling stockholders at the public offering price set forth in the prospectus supplement pursuant to delayed delivery contracts providing for payment and delivery on a specified date in the future. We will describe the conditions to these contracts and the commissions we or the selling stockholders must pay for solicitation of these contracts in the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or the selling stockholders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stockholders in the ordinary course of business.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EXPERTS</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00" w:lineRule="exact"/>
        <w:rPr>
          <w:sz w:val="20"/>
          <w:szCs w:val="20"/>
          <w:color w:val="auto"/>
        </w:rPr>
      </w:pPr>
    </w:p>
    <w:p>
      <w:pPr>
        <w:spacing w:after="0" w:line="245" w:lineRule="exact"/>
        <w:rPr>
          <w:sz w:val="20"/>
          <w:szCs w:val="20"/>
          <w:color w:val="auto"/>
        </w:rPr>
      </w:pPr>
    </w:p>
    <w:p>
      <w:pPr>
        <w:jc w:val="both"/>
        <w:ind w:firstLine="297"/>
        <w:spacing w:after="0" w:line="285"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001-38701):</w:t>
      </w:r>
    </w:p>
    <w:p>
      <w:pPr>
        <w:spacing w:after="0" w:line="37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17">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filed with the SEC on March 14,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EE"/>
          </w:rPr>
          <w:t>Quarterly Report on Form 10-Q, for the quarter ended March 31, 2019</w:t>
        </w:r>
      </w:hyperlink>
      <w:r>
        <w:rPr>
          <w:rFonts w:ascii="Arial" w:cs="Arial" w:eastAsia="Arial" w:hAnsi="Arial"/>
          <w:sz w:val="18"/>
          <w:szCs w:val="18"/>
          <w:color w:val="auto"/>
        </w:rPr>
        <w:t>, filed with the SEC on May 9,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19">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 filed with the SEC on August 7, 2019;</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EE"/>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1">
        <w:r>
          <w:rPr>
            <w:rFonts w:ascii="Arial" w:cs="Arial" w:eastAsia="Arial" w:hAnsi="Arial"/>
            <w:sz w:val="18"/>
            <w:szCs w:val="18"/>
            <w:u w:val="single" w:color="auto"/>
            <w:color w:val="0000EE"/>
          </w:rPr>
          <w:t>January 22, 2019</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April 11,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25">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xml:space="preserve">, and </w:t>
      </w:r>
      <w:hyperlink r:id="rId26">
        <w:r>
          <w:rPr>
            <w:rFonts w:ascii="Arial" w:cs="Arial" w:eastAsia="Arial" w:hAnsi="Arial"/>
            <w:sz w:val="18"/>
            <w:szCs w:val="18"/>
            <w:u w:val="single" w:color="auto"/>
            <w:color w:val="0000EE"/>
          </w:rPr>
          <w:t>December 4, 2019</w:t>
        </w:r>
      </w:hyperlink>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28">
        <w:r>
          <w:rPr>
            <w:rFonts w:ascii="Arial" w:cs="Arial" w:eastAsia="Arial" w:hAnsi="Arial"/>
            <w:sz w:val="18"/>
            <w:szCs w:val="18"/>
            <w:u w:val="single" w:color="auto"/>
            <w:color w:val="0000EE"/>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2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9">
        <w:r>
          <w:rPr>
            <w:rFonts w:ascii="Arial" w:cs="Arial" w:eastAsia="Arial" w:hAnsi="Arial"/>
            <w:sz w:val="18"/>
            <w:szCs w:val="18"/>
            <w:u w:val="single" w:color="auto"/>
            <w:color w:val="0000EE"/>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16" w:lineRule="exact"/>
        <w:rPr>
          <w:rFonts w:ascii="Arial" w:cs="Arial" w:eastAsia="Arial" w:hAnsi="Arial"/>
          <w:sz w:val="18"/>
          <w:szCs w:val="18"/>
          <w:color w:val="auto"/>
        </w:rPr>
      </w:pPr>
    </w:p>
    <w:p>
      <w:pPr>
        <w:jc w:val="both"/>
        <w:ind w:firstLine="435"/>
        <w:spacing w:after="0" w:line="272"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420"/>
          </w:cols>
          <w:pgMar w:left="240" w:top="756" w:right="239" w:bottom="1081" w:gutter="0" w:footer="0" w:header="0"/>
        </w:sectPr>
      </w:pPr>
    </w:p>
    <w:p>
      <w:pPr>
        <w:spacing w:after="0" w:line="2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56" w:right="239" w:bottom="1081"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848995</wp:posOffset>
            </wp:positionV>
            <wp:extent cx="2409825" cy="926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240982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Prospectus</w:t>
      </w:r>
    </w:p>
    <w:p>
      <w:pPr>
        <w:sectPr>
          <w:pgSz w:w="11900" w:h="16838" w:orient="portrait"/>
          <w:cols w:equalWidth="0" w:num="1">
            <w:col w:w="10580"/>
          </w:cols>
          <w:pgMar w:left="66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BofA Securities</w:t>
      </w:r>
    </w:p>
    <w:p>
      <w:pPr>
        <w:spacing w:after="0" w:line="114" w:lineRule="exact"/>
        <w:rPr>
          <w:sz w:val="20"/>
          <w:szCs w:val="20"/>
          <w:color w:val="auto"/>
        </w:rPr>
      </w:pPr>
    </w:p>
    <w:p>
      <w:pPr>
        <w:sectPr>
          <w:pgSz w:w="11900" w:h="16838" w:orient="portrait"/>
          <w:cols w:equalWidth="0" w:num="2">
            <w:col w:w="7720" w:space="720"/>
            <w:col w:w="2140"/>
          </w:cols>
          <w:pgMar w:left="660" w:top="1440" w:right="659" w:bottom="1440" w:gutter="0" w:footer="0" w:header="0"/>
          <w:type w:val="continuous"/>
        </w:sect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240" w:space="720"/>
            <w:col w:w="1620"/>
          </w:cols>
          <w:pgMar w:left="660" w:top="144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January 22, 2020</w:t>
      </w:r>
    </w:p>
    <w:sectPr>
      <w:pgSz w:w="11900" w:h="16838" w:orient="portrait"/>
      <w:cols w:equalWidth="0" w:num="1">
        <w:col w:w="10580"/>
      </w:cols>
      <w:pgMar w:left="660" w:top="144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lvl w:ilvl="1">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lvl w:ilvl="1">
      <w:lvlJc w:val="left"/>
      <w:lvlText w:val="(%2)"/>
      <w:numFmt w:val="lowerRoman"/>
      <w:start w:val="2"/>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Roman"/>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0" Type="http://schemas.openxmlformats.org/officeDocument/2006/relationships/image" Target="media/image10.jpe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jpeg"/><Relationship Id="rId17" Type="http://schemas.openxmlformats.org/officeDocument/2006/relationships/hyperlink" Target="http://www.sec.gov/Archives/edgar/data/1459839/000145983919000011/sibn1231201810-k.htm" TargetMode="External"/><Relationship Id="rId18" Type="http://schemas.openxmlformats.org/officeDocument/2006/relationships/hyperlink" Target="http://www.sec.gov/Archives/edgar/data/1459839/000145983919000026/sibn331201910-q.htm" TargetMode="External"/><Relationship Id="rId19" Type="http://schemas.openxmlformats.org/officeDocument/2006/relationships/hyperlink" Target="http://www.sec.gov/Archives/edgar/data/1459839/000145983919000035/sibn630201910-q.htm" TargetMode="External"/><Relationship Id="rId20" Type="http://schemas.openxmlformats.org/officeDocument/2006/relationships/hyperlink" Target="http://www.sec.gov/Archives/edgar/data/1459839/000145983919000044/sibn930201910-q.htm" TargetMode="External"/><Relationship Id="rId21" Type="http://schemas.openxmlformats.org/officeDocument/2006/relationships/hyperlink" Target="http://www.sec.gov/Archives/edgar/data/1459839/000145983919000004/sibn-8xkbonusplan.htm" TargetMode="External"/><Relationship Id="rId22" Type="http://schemas.openxmlformats.org/officeDocument/2006/relationships/hyperlink" Target="http://www.sec.gov/Archives/edgar/data/1459839/000145983919000017/sibn-8xkbodchange.htm" TargetMode="External"/><Relationship Id="rId23" Type="http://schemas.openxmlformats.org/officeDocument/2006/relationships/hyperlink" Target="http://www.sec.gov/Archives/edgar/data/1459839/000145983919000028/sibn8-k.htm" TargetMode="External"/><Relationship Id="rId24" Type="http://schemas.openxmlformats.org/officeDocument/2006/relationships/hyperlink" Target="http://www.sec.gov/Archives/edgar/data/1459839/000145983919000033/sibn630198-k.htm" TargetMode="External"/><Relationship Id="rId25" Type="http://schemas.openxmlformats.org/officeDocument/2006/relationships/hyperlink" Target="http://www.sec.gov/Archives/edgar/data/1459839/000145983919000037/sibn8-k8132019bodresignati.htm" TargetMode="External"/><Relationship Id="rId26" Type="http://schemas.openxmlformats.org/officeDocument/2006/relationships/hyperlink" Target="http://www.sec.gov/Archives/edgar/data/1459839/000145983919000053/sibn8-k12419bodadditionxhi.htm" TargetMode="External"/><Relationship Id="rId27" Type="http://schemas.openxmlformats.org/officeDocument/2006/relationships/hyperlink" Target="http://www.sec.gov/Archives/edgar/data/1459839/000145983920000003/sibn8-k132020fy2020bonuspl.htm" TargetMode="External"/><Relationship Id="rId28" Type="http://schemas.openxmlformats.org/officeDocument/2006/relationships/hyperlink" Target="http://www.sec.gov/Archives/edgar/data/1459839/000145983919000021/sibn2019proxystatement.htm" TargetMode="External"/><Relationship Id="rId29" Type="http://schemas.openxmlformats.org/officeDocument/2006/relationships/hyperlink" Target="http://www.sec.gov/Archives/edgar/data/1459839/000119312518297571/d486750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2020-01-23T16:32:21Z</dcterms:created>
  <dcterms:modified xsi:type="dcterms:W3CDTF">2020-01-23T16:32:21Z</dcterms:modified>
</cp:coreProperties>
</file>