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ADVISORY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2,669,868.00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3,219,079.00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3,219,079.00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INVESTMENT ADVISORY &amp; TRUST CO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18,203.00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18,203.00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18,203.00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BROWN ADVISORY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2,650,771.00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3,198,548.00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3,198,548.00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SIGNATURE FINANCIAL MANAGEMENT, INC.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800"/>
          </w:cols>
          <w:pgMar w:left="360" w:top="126" w:right="6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20"/>
          </w:cols>
          <w:pgMar w:left="360" w:top="126" w:right="6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 Santa Clara, CALIFORNIA 95050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BROWN ADVISORY INC BROWN INVESTMENT ADVISORY &amp; TRUST CO BROWN ADVISORY LLC SIGNATURE FINANCIAL MANAGEMENT, INC.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901 SOUTH BOND STREET SUITE #400 Baltimore, Maryland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BROWN ADVISORY INC - MARYLAND BROWN INVESTMENT ADVISORY &amp; TRUST CO - MARYLAND BROWN ADVISORY LLC - MARYLAND SIGNATURE FINANCIAL MANAGEMENT, INC. - VIRGINIA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825704109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ectPr>
          <w:pgSz w:w="11900" w:h="16838" w:orient="portrait"/>
          <w:cols w:equalWidth="0" w:num="2">
            <w:col w:w="620" w:space="300"/>
            <w:col w:w="10000"/>
          </w:cols>
          <w:pgMar w:left="360" w:top="126" w:right="61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3,219,079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BROWN ADVISORY INC - 2,669,868 BROWN INVESTMENT ADVISORY &amp; TRUST CO - 18,203 BROWN ADVISORY LLC - 2,650,771 SIGNATURE FINANCIAL MANAGEMENT, INC. - 894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BROWN ADVISORY INC - 0 BROWN INVESTMENT ADVISORY &amp; TRUST CO - 0 BROWN ADVISORY LLC - 0 SIGNATURE FINANCIAL MANAGEMENT, INC.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BROWN ADVISORY INC - 0 BROWN INVESTMENT ADVISORY &amp; TRUST CO - 0 BROWN ADVISORY LLC - 0 SIGNATURE FINANCIAL MANAGEMENT, INC.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BROWN ADVISORY INC - 3,219,079 BROWN INVESTMENT ADVISORY &amp; TRUST CO - 18,203 BROWN ADVISORY LLC - 3,198,548 SIGNATURE FINANCIAL MANAGEMENT, INC. - 2,328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The total securities being reported are beneficially owned by investment companies and other managed accounts of direct/indirect subsidiaries of BROWN ADVISORY INC (listed above). These subsidiaries may be deemed to be beneficial owners of the reported securities because applicable investment advisory contracts provide voting and/or investment power over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line="258"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ind w:left="920" w:right="20"/>
        <w:spacing w:after="0" w:line="259" w:lineRule="auto"/>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27" w:lineRule="exact"/>
        <w:rPr>
          <w:sz w:val="20"/>
          <w:szCs w:val="20"/>
          <w:color w:val="auto"/>
        </w:rPr>
      </w:pPr>
    </w:p>
    <w:p>
      <w:pPr>
        <w:ind w:left="920" w:right="240"/>
        <w:spacing w:after="0" w:line="239" w:lineRule="auto"/>
        <w:rPr>
          <w:sz w:val="20"/>
          <w:szCs w:val="20"/>
          <w:color w:val="auto"/>
        </w:rPr>
      </w:pPr>
      <w:r>
        <w:rPr>
          <w:rFonts w:ascii="Times New Roman" w:cs="Times New Roman" w:eastAsia="Times New Roman" w:hAnsi="Times New Roman"/>
          <w:sz w:val="22"/>
          <w:szCs w:val="22"/>
          <w:color w:val="auto"/>
        </w:rPr>
        <w:t>BROWN ADVISORY INC is a parent holding company filing this schedule on behalf of the following subsidiaries pursuant to Rule 13d-1(b)(1)(ii)(G) under the Securities Exchange Act of 1934: BROWN INVESTMENT ADVISORY &amp; TRUST CO - BK (Bank) BROWN ADVISORY LLC - IA (Investment Adviser) SIGNATURE FINANCIAL MANAGEMENT, INC. - IA (Investment Adviser)</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BROWN ADVISORY INC</w:t>
      </w:r>
    </w:p>
    <w:p>
      <w:pPr>
        <w:spacing w:after="0" w:line="152"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Brett D. Rogers</w:t>
      </w:r>
    </w:p>
    <w:p>
      <w:pPr>
        <w:spacing w:after="0" w:line="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Name/Title: General Counsel &amp; Chief Compliance Officer</w:t>
      </w:r>
    </w:p>
    <w:p>
      <w:pPr>
        <w:spacing w:after="0" w:line="44"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04/18/2025</w:t>
      </w:r>
    </w:p>
    <w:p>
      <w:pPr>
        <w:spacing w:after="0" w:line="15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BROWN INVESTMENT ADVISORY &amp; TRUST CO</w:t>
      </w:r>
    </w:p>
    <w:p>
      <w:pPr>
        <w:spacing w:after="0" w:line="152"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Brett D. Rogers</w:t>
      </w:r>
    </w:p>
    <w:p>
      <w:pPr>
        <w:spacing w:after="0" w:line="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Name/Title: General Counsel &amp; Chief Compliance Officer</w:t>
      </w:r>
    </w:p>
    <w:p>
      <w:pPr>
        <w:spacing w:after="0" w:line="44"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04/18/2025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BROWN ADVISORY LLC</w:t>
      </w:r>
    </w:p>
    <w:p>
      <w:pPr>
        <w:spacing w:after="0" w:line="152"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Brett D. Rogers</w:t>
      </w:r>
    </w:p>
    <w:p>
      <w:pPr>
        <w:spacing w:after="0" w:line="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Name/Title: General Counsel &amp; Chief Compliance Officer</w:t>
      </w:r>
    </w:p>
    <w:p>
      <w:pPr>
        <w:spacing w:after="0" w:line="44"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04/18/2025</w:t>
      </w:r>
    </w:p>
    <w:p>
      <w:pPr>
        <w:spacing w:after="0" w:line="15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SIGNATURE FINANCIAL MANAGEMENT, INC.</w:t>
      </w:r>
    </w:p>
    <w:p>
      <w:pPr>
        <w:spacing w:after="0" w:line="152"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Brett D. Rogers</w:t>
      </w:r>
    </w:p>
    <w:p>
      <w:pPr>
        <w:spacing w:after="0" w:line="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Name/Title: General Counsel &amp; Chief Compliance Officer</w:t>
      </w:r>
    </w:p>
    <w:p>
      <w:pPr>
        <w:spacing w:after="0" w:line="44"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04/18/2025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2025-04-18T16:30:07Z</dcterms:created>
  <dcterms:modified xsi:type="dcterms:W3CDTF">2025-04-18T16:30:07Z</dcterms:modified>
</cp:coreProperties>
</file>