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DUNN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24.8504</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80,673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24.8067</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79,159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24.807</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77,204</w:t>
            </w:r>
            <w:r>
              <w:rPr>
                <w:rFonts w:ascii="Times;serif" w:hAnsi="Times;serif"/>
                <w:color w:val="008000"/>
                <w:position w:val="7"/>
                <w:sz w:val="16"/>
                <w:sz w:val="20"/>
                <w:shd w:fill="FFFFFF" w:val="clear"/>
              </w:rPr>
              <w:t>(5)</w:t>
            </w:r>
            <w:r>
              <w:rPr/>
              <w:t xml:space="preserve"> </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132,580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$24.50 USD to $24.96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$24.49 USD to $24.96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$24.51 USD to $24.96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69,130 shares issuable on settlement of restricted stock units granted to the Reporting Person. Each restricted stock unit represents a contingent right to receive one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The Jeffrey W. Dunn Living Trust Dated May 17, 2012.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Pisetsky, Attorney-in-Fact for Jeffrey W. Dunn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035986" TargetMode="External"/><Relationship Id="rId4" Type="http://schemas.openxmlformats.org/officeDocument/2006/relationships/hyperlink" Target="http://www.sec.gov/cgi-bin/browse-edgar?action=getcompany&amp;CIK=000145983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911</Words>
  <Characters>4876</Characters>
  <CharactersWithSpaces>5707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