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TO BE INCLUDED IN STATEMENTS FILED PURSUANT TO RULES 13d-1 (b),</w:t>
      </w:r>
    </w:p>
    <w:p>
      <w:pPr>
        <w:spacing w:after="0" w:line="27" w:lineRule="exact"/>
        <w:rPr>
          <w:sz w:val="24"/>
          <w:szCs w:val="24"/>
          <w:color w:val="auto"/>
        </w:rPr>
      </w:pPr>
    </w:p>
    <w:p>
      <w:pPr>
        <w:ind w:left="4920" w:right="2540" w:hanging="2343"/>
        <w:spacing w:after="0" w:line="261" w:lineRule="auto"/>
        <w:tabs>
          <w:tab w:leader="none" w:pos="28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AND (d) AND AMENDMENTS THERETO FILED PURSUANT TO 13d-2 (b) (Amendment No. 1)*</w:t>
      </w:r>
    </w:p>
    <w:p>
      <w:pPr>
        <w:spacing w:after="0" w:line="15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825704109</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13d-1(d)</w:t>
      </w:r>
    </w:p>
    <w:p>
      <w:pPr>
        <w:spacing w:after="0" w:line="279"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1" w:name="page2"/>
    <w:bookmarkEnd w:id="1"/>
    <w:p>
      <w:pPr>
        <w:ind w:left="52"/>
        <w:spacing w:after="0"/>
        <w:rPr>
          <w:sz w:val="20"/>
          <w:szCs w:val="20"/>
          <w:color w:val="auto"/>
        </w:rPr>
      </w:pPr>
      <w:r>
        <w:rPr>
          <w:rFonts w:ascii="Arial" w:cs="Arial" w:eastAsia="Arial" w:hAnsi="Arial"/>
          <w:sz w:val="18"/>
          <w:szCs w:val="18"/>
          <w:color w:val="auto"/>
        </w:rPr>
        <w:t>CUSIP No.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right="8000" w:hanging="620"/>
        <w:spacing w:after="0" w:line="342" w:lineRule="auto"/>
        <w:tabs>
          <w:tab w:leader="none" w:pos="1052" w:val="left"/>
        </w:tabs>
        <w:numPr>
          <w:ilvl w:val="0"/>
          <w:numId w:val="3"/>
        </w:numPr>
        <w:rPr>
          <w:rFonts w:ascii="Arial" w:cs="Arial" w:eastAsia="Arial" w:hAnsi="Arial"/>
          <w:sz w:val="16"/>
          <w:szCs w:val="16"/>
          <w:color w:val="auto"/>
        </w:rPr>
      </w:pPr>
      <w:r>
        <w:rPr>
          <w:rFonts w:ascii="Arial" w:cs="Arial" w:eastAsia="Arial" w:hAnsi="Arial"/>
          <w:sz w:val="16"/>
          <w:szCs w:val="16"/>
          <w:color w:val="auto"/>
        </w:rPr>
        <w:t>Name of Reporting Persons Skyline Venture Partners V, L.P.</w:t>
      </w:r>
    </w:p>
    <w:p>
      <w:pPr>
        <w:spacing w:after="0" w:line="339" w:lineRule="exact"/>
        <w:rPr>
          <w:rFonts w:ascii="Arial" w:cs="Arial" w:eastAsia="Arial" w:hAnsi="Arial"/>
          <w:sz w:val="16"/>
          <w:szCs w:val="16"/>
          <w:color w:val="auto"/>
        </w:rPr>
      </w:pPr>
    </w:p>
    <w:p>
      <w:pPr>
        <w:ind w:left="1052" w:hanging="620"/>
        <w:spacing w:after="0"/>
        <w:tabs>
          <w:tab w:leader="none" w:pos="1052" w:val="left"/>
        </w:tabs>
        <w:numPr>
          <w:ilvl w:val="0"/>
          <w:numId w:val="3"/>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3"/>
        </w:numPr>
        <w:rPr>
          <w:rFonts w:ascii="Arial" w:cs="Arial" w:eastAsia="Arial" w:hAnsi="Arial"/>
          <w:sz w:val="18"/>
          <w:szCs w:val="18"/>
          <w:color w:val="auto"/>
        </w:rPr>
      </w:pPr>
      <w:r>
        <w:rPr>
          <w:rFonts w:ascii="Arial" w:cs="Arial" w:eastAsia="Arial" w:hAnsi="Arial"/>
          <w:sz w:val="18"/>
          <w:szCs w:val="18"/>
          <w:color w:val="auto"/>
        </w:rPr>
        <w:t>x (1)</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both"/>
        <w:ind w:left="1052" w:right="7700" w:hanging="620"/>
        <w:spacing w:after="0" w:line="342" w:lineRule="auto"/>
        <w:tabs>
          <w:tab w:leader="none" w:pos="1052" w:val="left"/>
        </w:tabs>
        <w:numPr>
          <w:ilvl w:val="0"/>
          <w:numId w:val="3"/>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-563245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-974725</wp:posOffset>
            </wp:positionV>
            <wp:extent cx="58743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-1189355</wp:posOffset>
            </wp:positionV>
            <wp:extent cx="58743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-1806575</wp:posOffset>
            </wp:positionV>
            <wp:extent cx="6612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72"/>
          </w:cols>
          <w:pgMar w:left="248" w:top="395" w:right="279" w:bottom="1440" w:gutter="0" w:footer="0" w:header="0"/>
        </w:sectPr>
      </w:pPr>
    </w:p>
    <w:p>
      <w:pPr>
        <w:spacing w:after="0" w:line="353"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3,819,985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3,819,985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620"/>
          </w:cols>
          <w:pgMar w:left="248" w:top="395" w:right="279" w:bottom="1440" w:gutter="0" w:footer="0" w:header="0"/>
          <w:type w:val="continuous"/>
        </w:sectPr>
      </w:pPr>
    </w:p>
    <w:p>
      <w:pPr>
        <w:spacing w:after="0" w:line="227" w:lineRule="exact"/>
        <w:rPr>
          <w:sz w:val="20"/>
          <w:szCs w:val="20"/>
          <w:color w:val="auto"/>
        </w:rPr>
      </w:pPr>
    </w:p>
    <w:p>
      <w:pPr>
        <w:ind w:left="1052" w:right="5520" w:hanging="620"/>
        <w:spacing w:after="0" w:line="277" w:lineRule="auto"/>
        <w:tabs>
          <w:tab w:leader="none" w:pos="1052"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3,819,985 (2)</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1"/>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15.3% (3)</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8" w:firstLine="8"/>
        <w:spacing w:after="0" w:line="264" w:lineRule="auto"/>
        <w:tabs>
          <w:tab w:leader="none" w:pos="24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Schedule 13G is filed by Skyline Venture Partners V, L.P. (“SVP V”), Skyline Venture Management V, LLC (“SVM V”) , John G. Freund (“Freund”) and Yasunori Kaneko (“Kaneko” and together with SVP V, SVM V and Freund the “Skyline Entities”). The Skyline Entities expressly disclaim status as a “group” for purposes of this Schedule 13G.</w:t>
      </w:r>
    </w:p>
    <w:p>
      <w:pPr>
        <w:spacing w:after="0" w:line="181" w:lineRule="exact"/>
        <w:rPr>
          <w:rFonts w:ascii="Arial" w:cs="Arial" w:eastAsia="Arial" w:hAnsi="Arial"/>
          <w:sz w:val="18"/>
          <w:szCs w:val="18"/>
          <w:color w:val="auto"/>
        </w:rPr>
      </w:pPr>
    </w:p>
    <w:p>
      <w:pPr>
        <w:ind w:left="-8" w:right="20" w:firstLine="8"/>
        <w:spacing w:after="0" w:line="277" w:lineRule="auto"/>
        <w:tabs>
          <w:tab w:leader="none" w:pos="29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shares are held by SVP V. SVM V is the sole general partner of SVP V. Freund and Kaneko are managing directors of SVM V and share voting and dispositive power over the shares held by the SVP V.</w:t>
      </w:r>
    </w:p>
    <w:p>
      <w:pPr>
        <w:spacing w:after="0" w:line="170" w:lineRule="exact"/>
        <w:rPr>
          <w:rFonts w:ascii="Arial" w:cs="Arial" w:eastAsia="Arial" w:hAnsi="Arial"/>
          <w:sz w:val="18"/>
          <w:szCs w:val="18"/>
          <w:color w:val="auto"/>
        </w:rPr>
      </w:pPr>
    </w:p>
    <w:p>
      <w:pPr>
        <w:ind w:left="-8" w:right="120" w:firstLine="8"/>
        <w:spacing w:after="0" w:line="277" w:lineRule="auto"/>
        <w:tabs>
          <w:tab w:leader="none" w:pos="29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percentage is calculated based upon 25,005,329 shares of the Issuer’s common stock outstanding as of November 8, 2019 as set forth in the Issuers most recent 10-Q, filed with the Securities and Exchange Commission on November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-1545590</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-2094865</wp:posOffset>
            </wp:positionV>
            <wp:extent cx="6612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-2643505</wp:posOffset>
            </wp:positionV>
            <wp:extent cx="66122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-3054985</wp:posOffset>
            </wp:positionV>
            <wp:extent cx="6612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-1331595</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95" w:right="279" w:bottom="1440" w:gutter="0" w:footer="0" w:header="0"/>
          <w:type w:val="continuous"/>
        </w:sectPr>
      </w:pPr>
    </w:p>
    <w:bookmarkStart w:id="2" w:name="page3"/>
    <w:bookmarkEnd w:id="2"/>
    <w:p>
      <w:pPr>
        <w:ind w:left="52"/>
        <w:spacing w:after="0"/>
        <w:rPr>
          <w:sz w:val="20"/>
          <w:szCs w:val="20"/>
          <w:color w:val="auto"/>
        </w:rPr>
      </w:pPr>
      <w:r>
        <w:rPr>
          <w:rFonts w:ascii="Arial" w:cs="Arial" w:eastAsia="Arial" w:hAnsi="Arial"/>
          <w:sz w:val="18"/>
          <w:szCs w:val="18"/>
          <w:color w:val="auto"/>
        </w:rPr>
        <w:t>CUSIP No.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hanging="620"/>
        <w:spacing w:after="0"/>
        <w:tabs>
          <w:tab w:leader="none" w:pos="1052"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Skyline Venture Management V, LLC</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0"/>
          <w:numId w:val="6"/>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6"/>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6"/>
        </w:numPr>
        <w:rPr>
          <w:rFonts w:ascii="Arial" w:cs="Arial" w:eastAsia="Arial" w:hAnsi="Arial"/>
          <w:sz w:val="18"/>
          <w:szCs w:val="18"/>
          <w:color w:val="auto"/>
        </w:rPr>
      </w:pPr>
      <w:r>
        <w:rPr>
          <w:rFonts w:ascii="Arial" w:cs="Arial" w:eastAsia="Arial" w:hAnsi="Arial"/>
          <w:sz w:val="18"/>
          <w:szCs w:val="18"/>
          <w:color w:val="auto"/>
        </w:rPr>
        <w:t>x (1)</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both"/>
        <w:ind w:left="1052" w:right="7700" w:hanging="620"/>
        <w:spacing w:after="0" w:line="342" w:lineRule="auto"/>
        <w:tabs>
          <w:tab w:leader="none" w:pos="1052" w:val="left"/>
        </w:tabs>
        <w:numPr>
          <w:ilvl w:val="0"/>
          <w:numId w:val="6"/>
        </w:numPr>
        <w:rPr>
          <w:rFonts w:ascii="Arial" w:cs="Arial" w:eastAsia="Arial" w:hAnsi="Arial"/>
          <w:sz w:val="16"/>
          <w:szCs w:val="16"/>
          <w:color w:val="auto"/>
        </w:rPr>
      </w:pPr>
      <w:r>
        <w:rPr>
          <w:rFonts w:ascii="Arial" w:cs="Arial" w:eastAsia="Arial" w:hAnsi="Arial"/>
          <w:sz w:val="16"/>
          <w:szCs w:val="16"/>
          <w:color w:val="auto"/>
        </w:rPr>
        <w:t>Citizenship or Place of Organization Delaware,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-563245</wp:posOffset>
            </wp:positionV>
            <wp:extent cx="66122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-974725</wp:posOffset>
            </wp:positionV>
            <wp:extent cx="58743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-1189355</wp:posOffset>
            </wp:positionV>
            <wp:extent cx="587438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-1806575</wp:posOffset>
            </wp:positionV>
            <wp:extent cx="6612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72"/>
          </w:cols>
          <w:pgMar w:left="248" w:top="395" w:right="279" w:bottom="1440" w:gutter="0" w:footer="0" w:header="0"/>
        </w:sectPr>
      </w:pPr>
    </w:p>
    <w:p>
      <w:pPr>
        <w:spacing w:after="0" w:line="353"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3,819,985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3,819,985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620"/>
          </w:cols>
          <w:pgMar w:left="248" w:top="395" w:right="279" w:bottom="1440" w:gutter="0" w:footer="0" w:header="0"/>
          <w:type w:val="continuous"/>
        </w:sectPr>
      </w:pPr>
    </w:p>
    <w:p>
      <w:pPr>
        <w:spacing w:after="0" w:line="227" w:lineRule="exact"/>
        <w:rPr>
          <w:sz w:val="20"/>
          <w:szCs w:val="20"/>
          <w:color w:val="auto"/>
        </w:rPr>
      </w:pPr>
    </w:p>
    <w:p>
      <w:pPr>
        <w:ind w:left="1052" w:right="5520" w:hanging="620"/>
        <w:spacing w:after="0" w:line="277" w:lineRule="auto"/>
        <w:tabs>
          <w:tab w:leader="none" w:pos="1052"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3,819,985 (2)</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15.3% (3)</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8" w:firstLine="8"/>
        <w:spacing w:after="0" w:line="264" w:lineRule="auto"/>
        <w:tabs>
          <w:tab w:leader="none" w:pos="24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Schedule 13G is filed by Skyline Venture Partners V, L.P. (“SVP V”), Skyline Venture Management V, LLC (“SVM V”) , John G. Freund (“Freund”) and Yasunori Kaneko (“Kaneko” and together with SVP V, SVM V and Freund the “Skyline Entities”). The Skyline Entities expressly disclaim status as a “group” for purposes of this Schedule 13G.</w:t>
      </w:r>
    </w:p>
    <w:p>
      <w:pPr>
        <w:spacing w:after="0" w:line="181" w:lineRule="exact"/>
        <w:rPr>
          <w:rFonts w:ascii="Arial" w:cs="Arial" w:eastAsia="Arial" w:hAnsi="Arial"/>
          <w:sz w:val="18"/>
          <w:szCs w:val="18"/>
          <w:color w:val="auto"/>
        </w:rPr>
      </w:pPr>
    </w:p>
    <w:p>
      <w:pPr>
        <w:ind w:left="-8" w:right="20" w:firstLine="8"/>
        <w:spacing w:after="0" w:line="277" w:lineRule="auto"/>
        <w:tabs>
          <w:tab w:leader="none" w:pos="29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shares are held by SVP V. SVM V is the sole general partner of SVP V. Freund and Kaneko are managing directors of SVM V and share voting and dispositive power over the shares held by the SVP V.</w:t>
      </w:r>
    </w:p>
    <w:p>
      <w:pPr>
        <w:spacing w:after="0" w:line="170" w:lineRule="exact"/>
        <w:rPr>
          <w:rFonts w:ascii="Arial" w:cs="Arial" w:eastAsia="Arial" w:hAnsi="Arial"/>
          <w:sz w:val="18"/>
          <w:szCs w:val="18"/>
          <w:color w:val="auto"/>
        </w:rPr>
      </w:pPr>
    </w:p>
    <w:p>
      <w:pPr>
        <w:ind w:left="-8" w:right="120" w:firstLine="8"/>
        <w:spacing w:after="0" w:line="277" w:lineRule="auto"/>
        <w:tabs>
          <w:tab w:leader="none" w:pos="29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percentage is calculated based upon 25,005,329 shares of the Issuer’s common stock outstanding as of November 8, 2019 as set forth in the Issuers most recent 10-Q, filed with the Securities and Exchange Commission on November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-1545590</wp:posOffset>
            </wp:positionV>
            <wp:extent cx="66122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-2094865</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-2643505</wp:posOffset>
            </wp:positionV>
            <wp:extent cx="66122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-3054985</wp:posOffset>
            </wp:positionV>
            <wp:extent cx="6612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-1331595</wp:posOffset>
            </wp:positionV>
            <wp:extent cx="182689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95" w:right="279" w:bottom="1440" w:gutter="0" w:footer="0" w:header="0"/>
          <w:type w:val="continuous"/>
        </w:sectPr>
      </w:pPr>
    </w:p>
    <w:bookmarkStart w:id="3" w:name="page4"/>
    <w:bookmarkEnd w:id="3"/>
    <w:p>
      <w:pPr>
        <w:ind w:left="52"/>
        <w:spacing w:after="0"/>
        <w:rPr>
          <w:sz w:val="20"/>
          <w:szCs w:val="20"/>
          <w:color w:val="auto"/>
        </w:rPr>
      </w:pPr>
      <w:r>
        <w:rPr>
          <w:rFonts w:ascii="Arial" w:cs="Arial" w:eastAsia="Arial" w:hAnsi="Arial"/>
          <w:sz w:val="18"/>
          <w:szCs w:val="18"/>
          <w:color w:val="auto"/>
        </w:rPr>
        <w:t>CUSIP No.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48895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52" w:right="8320" w:hanging="620"/>
        <w:spacing w:after="0" w:line="308" w:lineRule="auto"/>
        <w:tabs>
          <w:tab w:leader="none" w:pos="1052" w:val="left"/>
        </w:tabs>
        <w:numPr>
          <w:ilvl w:val="0"/>
          <w:numId w:val="9"/>
        </w:numPr>
        <w:rPr>
          <w:rFonts w:ascii="Arial" w:cs="Arial" w:eastAsia="Arial" w:hAnsi="Arial"/>
          <w:sz w:val="17"/>
          <w:szCs w:val="17"/>
          <w:color w:val="auto"/>
        </w:rPr>
      </w:pPr>
      <w:r>
        <w:rPr>
          <w:rFonts w:ascii="Arial" w:cs="Arial" w:eastAsia="Arial" w:hAnsi="Arial"/>
          <w:sz w:val="17"/>
          <w:szCs w:val="17"/>
          <w:color w:val="auto"/>
        </w:rPr>
        <w:t>Name of Reporting Persons Yasunori Kaneko</w:t>
      </w:r>
    </w:p>
    <w:p>
      <w:pPr>
        <w:spacing w:after="0" w:line="362" w:lineRule="exact"/>
        <w:rPr>
          <w:rFonts w:ascii="Arial" w:cs="Arial" w:eastAsia="Arial" w:hAnsi="Arial"/>
          <w:sz w:val="17"/>
          <w:szCs w:val="17"/>
          <w:color w:val="auto"/>
        </w:rPr>
      </w:pPr>
    </w:p>
    <w:p>
      <w:pPr>
        <w:ind w:left="1052" w:hanging="620"/>
        <w:spacing w:after="0"/>
        <w:tabs>
          <w:tab w:leader="none" w:pos="1052" w:val="left"/>
        </w:tabs>
        <w:numPr>
          <w:ilvl w:val="0"/>
          <w:numId w:val="9"/>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12" w:hanging="1159"/>
        <w:spacing w:after="0"/>
        <w:tabs>
          <w:tab w:leader="none" w:pos="2212" w:val="left"/>
        </w:tabs>
        <w:numPr>
          <w:ilvl w:val="1"/>
          <w:numId w:val="9"/>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12" w:hanging="1159"/>
        <w:spacing w:after="0"/>
        <w:tabs>
          <w:tab w:leader="none" w:pos="2212" w:val="left"/>
        </w:tabs>
        <w:numPr>
          <w:ilvl w:val="1"/>
          <w:numId w:val="9"/>
        </w:numPr>
        <w:rPr>
          <w:rFonts w:ascii="Arial" w:cs="Arial" w:eastAsia="Arial" w:hAnsi="Arial"/>
          <w:sz w:val="18"/>
          <w:szCs w:val="18"/>
          <w:color w:val="auto"/>
        </w:rPr>
      </w:pPr>
      <w:r>
        <w:rPr>
          <w:rFonts w:ascii="Arial" w:cs="Arial" w:eastAsia="Arial" w:hAnsi="Arial"/>
          <w:sz w:val="18"/>
          <w:szCs w:val="18"/>
          <w:color w:val="auto"/>
        </w:rPr>
        <w:t>x (1)</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both"/>
        <w:ind w:left="1052" w:right="7680" w:hanging="620"/>
        <w:spacing w:after="0" w:line="342" w:lineRule="auto"/>
        <w:tabs>
          <w:tab w:leader="none" w:pos="1052" w:val="left"/>
        </w:tabs>
        <w:numPr>
          <w:ilvl w:val="0"/>
          <w:numId w:val="9"/>
        </w:numPr>
        <w:rPr>
          <w:rFonts w:ascii="Arial" w:cs="Arial" w:eastAsia="Arial" w:hAnsi="Arial"/>
          <w:sz w:val="16"/>
          <w:szCs w:val="16"/>
          <w:color w:val="auto"/>
        </w:rPr>
      </w:pPr>
      <w:r>
        <w:rPr>
          <w:rFonts w:ascii="Arial" w:cs="Arial" w:eastAsia="Arial" w:hAnsi="Arial"/>
          <w:sz w:val="16"/>
          <w:szCs w:val="16"/>
          <w:color w:val="auto"/>
        </w:rPr>
        <w:t>Citizenship or Place of Organization California,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-14605</wp:posOffset>
            </wp:positionV>
            <wp:extent cx="6612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-563245</wp:posOffset>
            </wp:positionV>
            <wp:extent cx="6612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-974725</wp:posOffset>
            </wp:positionV>
            <wp:extent cx="58743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1372235</wp:posOffset>
            </wp:positionH>
            <wp:positionV relativeFrom="paragraph">
              <wp:posOffset>-1189355</wp:posOffset>
            </wp:positionV>
            <wp:extent cx="587438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7438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-1806575</wp:posOffset>
            </wp:positionV>
            <wp:extent cx="66122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ectPr>
          <w:pgSz w:w="11900" w:h="16838" w:orient="portrait"/>
          <w:cols w:equalWidth="0" w:num="1">
            <w:col w:w="11372"/>
          </w:cols>
          <w:pgMar w:left="248" w:top="395" w:right="279" w:bottom="1440" w:gutter="0" w:footer="0" w:header="0"/>
        </w:sectPr>
      </w:pPr>
    </w:p>
    <w:p>
      <w:pPr>
        <w:spacing w:after="0" w:line="353" w:lineRule="exact"/>
        <w:rPr>
          <w:sz w:val="20"/>
          <w:szCs w:val="20"/>
          <w:color w:val="auto"/>
        </w:rPr>
      </w:pPr>
    </w:p>
    <w:tbl>
      <w:tblPr>
        <w:tblLayout w:type="fixed"/>
        <w:tblInd w:w="52" w:type="dxa"/>
        <w:tblCellMar>
          <w:top w:w="0" w:type="dxa"/>
          <w:left w:w="0" w:type="dxa"/>
          <w:bottom w:w="0" w:type="dxa"/>
          <w:right w:w="0" w:type="dxa"/>
        </w:tblCellMar>
      </w:tblPr>
      <w:tr>
        <w:trPr>
          <w:trHeight w:val="230"/>
        </w:trPr>
        <w:tc>
          <w:tcPr>
            <w:tcW w:w="1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8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8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8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3,819,985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3,819,985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40005</wp:posOffset>
            </wp:positionV>
            <wp:extent cx="553148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531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32" w:space="720"/>
            <w:col w:w="8620"/>
          </w:cols>
          <w:pgMar w:left="248" w:top="395" w:right="279" w:bottom="1440" w:gutter="0" w:footer="0" w:header="0"/>
          <w:type w:val="continuous"/>
        </w:sectPr>
      </w:pPr>
    </w:p>
    <w:p>
      <w:pPr>
        <w:spacing w:after="0" w:line="227" w:lineRule="exact"/>
        <w:rPr>
          <w:sz w:val="20"/>
          <w:szCs w:val="20"/>
          <w:color w:val="auto"/>
        </w:rPr>
      </w:pPr>
    </w:p>
    <w:p>
      <w:pPr>
        <w:ind w:left="1052" w:right="5520" w:hanging="620"/>
        <w:spacing w:after="0" w:line="277" w:lineRule="auto"/>
        <w:tabs>
          <w:tab w:leader="none" w:pos="10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3,819,985 (2)</w:t>
      </w:r>
    </w:p>
    <w:p>
      <w:pPr>
        <w:spacing w:after="0" w:line="386" w:lineRule="exact"/>
        <w:rPr>
          <w:rFonts w:ascii="Arial" w:cs="Arial" w:eastAsia="Arial" w:hAnsi="Arial"/>
          <w:sz w:val="18"/>
          <w:szCs w:val="18"/>
          <w:color w:val="auto"/>
        </w:rPr>
      </w:pPr>
    </w:p>
    <w:p>
      <w:pPr>
        <w:ind w:left="1052" w:hanging="620"/>
        <w:spacing w:after="0"/>
        <w:tabs>
          <w:tab w:leader="none" w:pos="10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52" w:hanging="620"/>
        <w:spacing w:after="0"/>
        <w:tabs>
          <w:tab w:leader="none" w:pos="10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15.3% (3)</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52" w:hanging="620"/>
        <w:spacing w:after="0"/>
        <w:tabs>
          <w:tab w:leader="none" w:pos="1052" w:val="left"/>
        </w:tabs>
        <w:numPr>
          <w:ilvl w:val="1"/>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05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8" w:firstLine="8"/>
        <w:spacing w:after="0" w:line="264" w:lineRule="auto"/>
        <w:tabs>
          <w:tab w:leader="none" w:pos="2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Schedule 13G is filed by Skyline Venture Partners V, L.P. (“SVP V”), Skyline Venture Management V, LLC (“SVM V”) , John G. Freund (“Freund”) and Yasunori Kaneko (“Kaneko” and together with SVP V, SVM V and Freund the “Skyline Entities”). The Skyline Entities expressly disclaim status as a “group” for purposes of this Schedule 13G.</w:t>
      </w:r>
    </w:p>
    <w:p>
      <w:pPr>
        <w:spacing w:after="0" w:line="181" w:lineRule="exact"/>
        <w:rPr>
          <w:rFonts w:ascii="Arial" w:cs="Arial" w:eastAsia="Arial" w:hAnsi="Arial"/>
          <w:sz w:val="18"/>
          <w:szCs w:val="18"/>
          <w:color w:val="auto"/>
        </w:rPr>
      </w:pPr>
    </w:p>
    <w:p>
      <w:pPr>
        <w:ind w:left="-8" w:right="20" w:firstLine="8"/>
        <w:spacing w:after="0" w:line="277" w:lineRule="auto"/>
        <w:tabs>
          <w:tab w:leader="none" w:pos="2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shares are held by SVP V. SVM V is the sole general partner of SVP V. Freund and Kaneko are managing directors of SVM V and share voting and dispositive power over the shares held by the SVP V.</w:t>
      </w:r>
    </w:p>
    <w:p>
      <w:pPr>
        <w:spacing w:after="0" w:line="170" w:lineRule="exact"/>
        <w:rPr>
          <w:rFonts w:ascii="Arial" w:cs="Arial" w:eastAsia="Arial" w:hAnsi="Arial"/>
          <w:sz w:val="18"/>
          <w:szCs w:val="18"/>
          <w:color w:val="auto"/>
        </w:rPr>
      </w:pPr>
    </w:p>
    <w:p>
      <w:pPr>
        <w:ind w:left="-8" w:right="120" w:firstLine="8"/>
        <w:spacing w:after="0" w:line="277" w:lineRule="auto"/>
        <w:tabs>
          <w:tab w:leader="none" w:pos="2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percentage is calculated based upon 25,005,329 shares of the Issuer’s common stock outstanding as of November 8, 2019 as set forth in the Issuers most recent 10-Q, filed with the Securities and Exchange Commission on November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634365</wp:posOffset>
            </wp:positionH>
            <wp:positionV relativeFrom="paragraph">
              <wp:posOffset>-1545590</wp:posOffset>
            </wp:positionV>
            <wp:extent cx="6612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-2094865</wp:posOffset>
            </wp:positionV>
            <wp:extent cx="6612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-2643505</wp:posOffset>
            </wp:positionV>
            <wp:extent cx="66122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634365</wp:posOffset>
            </wp:positionH>
            <wp:positionV relativeFrom="paragraph">
              <wp:posOffset>-3054985</wp:posOffset>
            </wp:positionV>
            <wp:extent cx="6612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-1331595</wp:posOffset>
            </wp:positionV>
            <wp:extent cx="182689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95" w:right="279" w:bottom="1440" w:gutter="0" w:footer="0" w:header="0"/>
          <w:type w:val="continuous"/>
        </w:sectPr>
      </w:pPr>
    </w:p>
    <w:bookmarkStart w:id="4" w:name="page5"/>
    <w:bookmarkEnd w:id="4"/>
    <w:p>
      <w:pPr>
        <w:ind w:left="112"/>
        <w:spacing w:after="0"/>
        <w:rPr>
          <w:sz w:val="20"/>
          <w:szCs w:val="20"/>
          <w:color w:val="auto"/>
        </w:rPr>
      </w:pPr>
      <w:r>
        <w:rPr>
          <w:rFonts w:ascii="Arial" w:cs="Arial" w:eastAsia="Arial" w:hAnsi="Arial"/>
          <w:sz w:val="18"/>
          <w:szCs w:val="18"/>
          <w:color w:val="auto"/>
        </w:rPr>
        <w:t>CUSIP No.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48895</wp:posOffset>
            </wp:positionV>
            <wp:extent cx="7160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112" w:right="8260" w:hanging="626"/>
        <w:spacing w:after="0" w:line="277" w:lineRule="auto"/>
        <w:tabs>
          <w:tab w:leader="none" w:pos="11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 of Reporting Persons John G. Freund</w:t>
      </w:r>
    </w:p>
    <w:p>
      <w:pPr>
        <w:spacing w:after="0" w:line="386" w:lineRule="exact"/>
        <w:rPr>
          <w:rFonts w:ascii="Arial" w:cs="Arial" w:eastAsia="Arial" w:hAnsi="Arial"/>
          <w:sz w:val="18"/>
          <w:szCs w:val="18"/>
          <w:color w:val="auto"/>
        </w:rPr>
      </w:pPr>
    </w:p>
    <w:p>
      <w:pPr>
        <w:ind w:left="1112" w:hanging="626"/>
        <w:spacing w:after="0"/>
        <w:tabs>
          <w:tab w:leader="none" w:pos="1112" w:val="left"/>
        </w:tabs>
        <w:numPr>
          <w:ilvl w:val="0"/>
          <w:numId w:val="12"/>
        </w:numPr>
        <w:rPr>
          <w:rFonts w:ascii="Arial" w:cs="Arial" w:eastAsia="Arial" w:hAnsi="Arial"/>
          <w:sz w:val="16"/>
          <w:szCs w:val="16"/>
          <w:color w:val="auto"/>
        </w:rPr>
      </w:pPr>
      <w:r>
        <w:rPr>
          <w:rFonts w:ascii="Arial" w:cs="Arial" w:eastAsia="Arial" w:hAnsi="Arial"/>
          <w:sz w:val="16"/>
          <w:szCs w:val="16"/>
          <w:color w:val="auto"/>
        </w:rPr>
        <w:t>Check the Appropriate Box if a Member of a Group (See Instructions)</w:t>
      </w:r>
    </w:p>
    <w:p>
      <w:pPr>
        <w:spacing w:after="0" w:line="140" w:lineRule="exact"/>
        <w:rPr>
          <w:rFonts w:ascii="Arial" w:cs="Arial" w:eastAsia="Arial" w:hAnsi="Arial"/>
          <w:sz w:val="16"/>
          <w:szCs w:val="16"/>
          <w:color w:val="auto"/>
        </w:rPr>
      </w:pPr>
    </w:p>
    <w:p>
      <w:pPr>
        <w:ind w:left="2252" w:hanging="1145"/>
        <w:spacing w:after="0"/>
        <w:tabs>
          <w:tab w:leader="none" w:pos="22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2252" w:hanging="1145"/>
        <w:spacing w:after="0"/>
        <w:tabs>
          <w:tab w:leader="none" w:pos="22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x (1)</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112" w:hanging="626"/>
        <w:spacing w:after="0"/>
        <w:tabs>
          <w:tab w:leader="none" w:pos="11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jc w:val="both"/>
        <w:ind w:left="1112" w:right="7620" w:hanging="626"/>
        <w:spacing w:after="0" w:line="342" w:lineRule="auto"/>
        <w:tabs>
          <w:tab w:leader="none" w:pos="1112" w:val="left"/>
        </w:tabs>
        <w:numPr>
          <w:ilvl w:val="0"/>
          <w:numId w:val="12"/>
        </w:numPr>
        <w:rPr>
          <w:rFonts w:ascii="Arial" w:cs="Arial" w:eastAsia="Arial" w:hAnsi="Arial"/>
          <w:sz w:val="16"/>
          <w:szCs w:val="16"/>
          <w:color w:val="auto"/>
        </w:rPr>
      </w:pPr>
      <w:r>
        <w:rPr>
          <w:rFonts w:ascii="Arial" w:cs="Arial" w:eastAsia="Arial" w:hAnsi="Arial"/>
          <w:sz w:val="16"/>
          <w:szCs w:val="16"/>
          <w:color w:val="auto"/>
        </w:rPr>
        <w:t>Citizenship or Place of Organization California,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-14605</wp:posOffset>
            </wp:positionV>
            <wp:extent cx="6525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25895" cy="8890"/>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-563245</wp:posOffset>
            </wp:positionV>
            <wp:extent cx="652589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525895" cy="8890"/>
                    </a:xfrm>
                    <a:prstGeom prst="rect">
                      <a:avLst/>
                    </a:prstGeom>
                    <a:noFill/>
                  </pic:spPr>
                </pic:pic>
              </a:graphicData>
            </a:graphic>
          </wp:anchor>
        </w:drawing>
        <w:drawing>
          <wp:anchor simplePos="0" relativeHeight="251657728" behindDoc="1" locked="0" layoutInCell="0" allowOverlap="1">
            <wp:simplePos x="0" y="0"/>
            <wp:positionH relativeFrom="column">
              <wp:posOffset>1389380</wp:posOffset>
            </wp:positionH>
            <wp:positionV relativeFrom="paragraph">
              <wp:posOffset>-974725</wp:posOffset>
            </wp:positionV>
            <wp:extent cx="58058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1389380</wp:posOffset>
            </wp:positionH>
            <wp:positionV relativeFrom="paragraph">
              <wp:posOffset>-1189355</wp:posOffset>
            </wp:positionV>
            <wp:extent cx="580580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-1806575</wp:posOffset>
            </wp:positionV>
            <wp:extent cx="6525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25895" cy="8890"/>
                    </a:xfrm>
                    <a:prstGeom prst="rect">
                      <a:avLst/>
                    </a:prstGeom>
                    <a:noFill/>
                  </pic:spPr>
                </pic:pic>
              </a:graphicData>
            </a:graphic>
          </wp:anchor>
        </w:drawing>
      </w:r>
    </w:p>
    <w:p>
      <w:pPr>
        <w:sectPr>
          <w:pgSz w:w="11900" w:h="16838" w:orient="portrait"/>
          <w:cols w:equalWidth="0" w:num="1">
            <w:col w:w="11372"/>
          </w:cols>
          <w:pgMar w:left="248" w:top="422" w:right="279" w:bottom="1440" w:gutter="0" w:footer="0" w:header="0"/>
        </w:sectPr>
      </w:pPr>
    </w:p>
    <w:p>
      <w:pPr>
        <w:spacing w:after="0" w:line="353" w:lineRule="exact"/>
        <w:rPr>
          <w:sz w:val="20"/>
          <w:szCs w:val="20"/>
          <w:color w:val="auto"/>
        </w:rPr>
      </w:pPr>
    </w:p>
    <w:tbl>
      <w:tblPr>
        <w:tblLayout w:type="fixed"/>
        <w:tblInd w:w="112"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742"/>
        </w:trPr>
        <w:tc>
          <w:tcPr>
            <w:tcW w:w="126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22"/>
        </w:trPr>
        <w:tc>
          <w:tcPr>
            <w:tcW w:w="126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6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22"/>
        </w:trPr>
        <w:tc>
          <w:tcPr>
            <w:tcW w:w="12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26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2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46290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3,819,985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4629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4629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3,819,985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4629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72" w:space="720"/>
            <w:col w:w="8580"/>
          </w:cols>
          <w:pgMar w:left="248" w:top="422" w:right="279" w:bottom="1440" w:gutter="0" w:footer="0" w:header="0"/>
          <w:type w:val="continuous"/>
        </w:sectPr>
      </w:pPr>
    </w:p>
    <w:p>
      <w:pPr>
        <w:spacing w:after="0" w:line="227" w:lineRule="exact"/>
        <w:rPr>
          <w:sz w:val="20"/>
          <w:szCs w:val="20"/>
          <w:color w:val="auto"/>
        </w:rPr>
      </w:pPr>
    </w:p>
    <w:p>
      <w:pPr>
        <w:ind w:left="1112" w:right="5460" w:hanging="626"/>
        <w:spacing w:after="0" w:line="277" w:lineRule="auto"/>
        <w:tabs>
          <w:tab w:leader="none" w:pos="11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3,819,985 (2)</w:t>
      </w:r>
    </w:p>
    <w:p>
      <w:pPr>
        <w:spacing w:after="0" w:line="386" w:lineRule="exact"/>
        <w:rPr>
          <w:rFonts w:ascii="Arial" w:cs="Arial" w:eastAsia="Arial" w:hAnsi="Arial"/>
          <w:sz w:val="18"/>
          <w:szCs w:val="18"/>
          <w:color w:val="auto"/>
        </w:rPr>
      </w:pPr>
    </w:p>
    <w:p>
      <w:pPr>
        <w:ind w:left="1112" w:hanging="626"/>
        <w:spacing w:after="0"/>
        <w:tabs>
          <w:tab w:leader="none" w:pos="11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112" w:hanging="626"/>
        <w:spacing w:after="0"/>
        <w:tabs>
          <w:tab w:leader="none" w:pos="11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112"/>
        <w:spacing w:after="0"/>
        <w:rPr>
          <w:rFonts w:ascii="Arial" w:cs="Arial" w:eastAsia="Arial" w:hAnsi="Arial"/>
          <w:sz w:val="18"/>
          <w:szCs w:val="18"/>
          <w:color w:val="auto"/>
        </w:rPr>
      </w:pPr>
      <w:r>
        <w:rPr>
          <w:rFonts w:ascii="Arial" w:cs="Arial" w:eastAsia="Arial" w:hAnsi="Arial"/>
          <w:sz w:val="18"/>
          <w:szCs w:val="18"/>
          <w:color w:val="auto"/>
        </w:rPr>
        <w:t>15.3% (3)</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112" w:hanging="626"/>
        <w:spacing w:after="0"/>
        <w:tabs>
          <w:tab w:leader="none" w:pos="1112" w:val="left"/>
        </w:tabs>
        <w:numPr>
          <w:ilvl w:val="1"/>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111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0" w:lineRule="exact"/>
        <w:rPr>
          <w:rFonts w:ascii="Arial" w:cs="Arial" w:eastAsia="Arial" w:hAnsi="Arial"/>
          <w:sz w:val="18"/>
          <w:szCs w:val="18"/>
          <w:color w:val="auto"/>
        </w:rPr>
      </w:pPr>
    </w:p>
    <w:p>
      <w:pPr>
        <w:spacing w:after="0" w:line="307" w:lineRule="exact"/>
        <w:rPr>
          <w:rFonts w:ascii="Arial" w:cs="Arial" w:eastAsia="Arial" w:hAnsi="Arial"/>
          <w:sz w:val="18"/>
          <w:szCs w:val="18"/>
          <w:color w:val="auto"/>
        </w:rPr>
      </w:pPr>
    </w:p>
    <w:p>
      <w:pPr>
        <w:ind w:left="-8" w:firstLine="8"/>
        <w:spacing w:after="0" w:line="264" w:lineRule="auto"/>
        <w:tabs>
          <w:tab w:leader="none" w:pos="2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Schedule 13G is filed by Skyline Venture Partners V, L.P. (“SVP V”), Skyline Venture Management V, LLC (“SVM V”) , John G. Freund (“Freund”) and Yasunori Kaneko (“Kaneko” and together with SVP V, SVM V and Freund the “Skyline Entities”). The Skyline Entities expressly disclaim status as a “group” for purposes of this Schedule 13G.</w:t>
      </w:r>
    </w:p>
    <w:p>
      <w:pPr>
        <w:spacing w:after="0" w:line="181" w:lineRule="exact"/>
        <w:rPr>
          <w:rFonts w:ascii="Arial" w:cs="Arial" w:eastAsia="Arial" w:hAnsi="Arial"/>
          <w:sz w:val="18"/>
          <w:szCs w:val="18"/>
          <w:color w:val="auto"/>
        </w:rPr>
      </w:pPr>
    </w:p>
    <w:p>
      <w:pPr>
        <w:ind w:left="-8" w:right="20" w:firstLine="8"/>
        <w:spacing w:after="0" w:line="277" w:lineRule="auto"/>
        <w:tabs>
          <w:tab w:leader="none" w:pos="2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shares are held by SVP V. SVM V is the sole general partner of SVP V. Freund and Kaneko are managing directors of SVM V and share voting and dispositive power over the shares held by the SVP V.</w:t>
      </w:r>
    </w:p>
    <w:p>
      <w:pPr>
        <w:spacing w:after="0" w:line="170" w:lineRule="exact"/>
        <w:rPr>
          <w:rFonts w:ascii="Arial" w:cs="Arial" w:eastAsia="Arial" w:hAnsi="Arial"/>
          <w:sz w:val="18"/>
          <w:szCs w:val="18"/>
          <w:color w:val="auto"/>
        </w:rPr>
      </w:pPr>
    </w:p>
    <w:p>
      <w:pPr>
        <w:ind w:left="-8" w:right="120" w:firstLine="8"/>
        <w:spacing w:after="0" w:line="277" w:lineRule="auto"/>
        <w:tabs>
          <w:tab w:leader="none" w:pos="2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This percentage is calculated based upon 25,005,329 shares of the Issuer’s common stock outstanding as of November 8, 2019 as set forth in the Issuers most recent 10-Q, filed with the Securities and Exchange Commission on November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-1545590</wp:posOffset>
            </wp:positionV>
            <wp:extent cx="6525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25895" cy="8890"/>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-2094865</wp:posOffset>
            </wp:positionV>
            <wp:extent cx="652589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25895" cy="8890"/>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-2643505</wp:posOffset>
            </wp:positionV>
            <wp:extent cx="65258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25895" cy="8890"/>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-3054985</wp:posOffset>
            </wp:positionV>
            <wp:extent cx="6525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2589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-1331595</wp:posOffset>
            </wp:positionV>
            <wp:extent cx="18268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422" w:right="279"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color w:val="auto"/>
        </w:rPr>
        <w:t>CUSIP No.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firstLine="247"/>
        <w:spacing w:after="0" w:line="259" w:lineRule="auto"/>
        <w:rPr>
          <w:sz w:val="20"/>
          <w:szCs w:val="20"/>
          <w:color w:val="auto"/>
        </w:rPr>
      </w:pPr>
      <w:r>
        <w:rPr>
          <w:rFonts w:ascii="Arial" w:cs="Arial" w:eastAsia="Arial" w:hAnsi="Arial"/>
          <w:sz w:val="18"/>
          <w:szCs w:val="18"/>
          <w:color w:val="auto"/>
        </w:rPr>
        <w:t>Introductory Note: This Statement on Schedule 13G is filed on behalf of Skyline Venture Partners V, L.P., a limited partnership organized under the laws of the State of Delaware (“SVP V”), Skyline Venture Management V, LLC, a limited liability company organized under the laws of the State of Delaware (“SVP V”), John G. Freund (“Freund”) and Yasunori Kaneko (“Kaneko”, and together with SVP V, SVM V and Freund, the “Skyline Entities”) in respect of shares of Common Stock of SI-BONE, Inc.</w:t>
      </w:r>
    </w:p>
    <w:p>
      <w:pPr>
        <w:sectPr>
          <w:pgSz w:w="11900" w:h="16838" w:orient="portrait"/>
          <w:cols w:equalWidth="0" w:num="1">
            <w:col w:w="11340"/>
          </w:cols>
          <w:pgMar w:left="240" w:top="395" w:right="319" w:bottom="1440" w:gutter="0" w:footer="0" w:header="0"/>
        </w:sect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1(a)</w:t>
      </w:r>
    </w:p>
    <w:p>
      <w:pPr>
        <w:spacing w:after="0" w:line="34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2(b)</w:t>
      </w:r>
    </w:p>
    <w:p>
      <w:pPr>
        <w:spacing w:after="0" w:line="200" w:lineRule="exact"/>
        <w:rPr>
          <w:sz w:val="20"/>
          <w:szCs w:val="20"/>
          <w:color w:val="auto"/>
        </w:rPr>
      </w:pPr>
    </w:p>
    <w:p>
      <w:pPr>
        <w:spacing w:after="0" w:line="37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2(c)</w:t>
      </w:r>
    </w:p>
    <w:p>
      <w:pPr>
        <w:spacing w:after="0" w:line="200" w:lineRule="exact"/>
        <w:rPr>
          <w:sz w:val="20"/>
          <w:szCs w:val="20"/>
          <w:color w:val="auto"/>
        </w:rPr>
      </w:pPr>
    </w:p>
    <w:p>
      <w:pPr>
        <w:spacing w:after="0" w:line="37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2(d)</w:t>
      </w:r>
    </w:p>
    <w:p>
      <w:pPr>
        <w:spacing w:after="0" w:line="35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2(e)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Name of Issuer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40005</wp:posOffset>
            </wp:positionV>
            <wp:extent cx="63290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Address of Issuer’s Principal Executive Offices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471 El Camino Real, Suite 101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40005</wp:posOffset>
            </wp:positionV>
            <wp:extent cx="63290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Name of Person Filing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Skyline Venture Partners 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Skyline Venture Management 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G. Freund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Yasunori Kaneko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40005</wp:posOffset>
            </wp:positionV>
            <wp:extent cx="632904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Address of Principal Business Office or, if none, Residence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525 University Avenue, Suite 1350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40005</wp:posOffset>
            </wp:positionV>
            <wp:extent cx="632904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Citizenship</w:t>
      </w:r>
    </w:p>
    <w:p>
      <w:pPr>
        <w:spacing w:after="0" w:line="23"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SVP V is a limited partnership organized in the State of Delaware. SVM V is a limited liability company organized in the State of Delaware. Freund and Kaneko are individuals residing in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22860</wp:posOffset>
            </wp:positionV>
            <wp:extent cx="632904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Title of Class of Securities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40005</wp:posOffset>
            </wp:positionV>
            <wp:extent cx="632904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CUSIP Number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40005</wp:posOffset>
            </wp:positionV>
            <wp:extent cx="63290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0" w:space="720"/>
            <w:col w:w="9840"/>
          </w:cols>
          <w:pgMar w:left="240" w:top="395" w:right="319" w:bottom="1440" w:gutter="0" w:footer="0" w:header="0"/>
          <w:type w:val="continuous"/>
        </w:sectPr>
      </w:pPr>
    </w:p>
    <w:p>
      <w:pPr>
        <w:spacing w:after="0" w:line="399" w:lineRule="exact"/>
        <w:rPr>
          <w:sz w:val="20"/>
          <w:szCs w:val="20"/>
          <w:color w:val="auto"/>
        </w:rPr>
      </w:pPr>
    </w:p>
    <w:p>
      <w:pPr>
        <w:ind w:left="60"/>
        <w:spacing w:after="0"/>
        <w:tabs>
          <w:tab w:leader="none" w:pos="14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color w:val="auto"/>
        </w:rPr>
        <w:t>Not applicable.</w:t>
      </w:r>
    </w:p>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95" w:right="319" w:bottom="1440" w:gutter="0" w:footer="0" w:header="0"/>
          <w:type w:val="continuous"/>
        </w:sectPr>
      </w:pPr>
    </w:p>
    <w:bookmarkStart w:id="6" w:name="page7"/>
    <w:bookmarkEnd w:id="6"/>
    <w:p>
      <w:pPr>
        <w:ind w:left="60"/>
        <w:spacing w:after="0"/>
        <w:rPr>
          <w:sz w:val="20"/>
          <w:szCs w:val="20"/>
          <w:color w:val="auto"/>
        </w:rPr>
      </w:pPr>
      <w:r>
        <w:rPr>
          <w:rFonts w:ascii="Arial" w:cs="Arial" w:eastAsia="Arial" w:hAnsi="Arial"/>
          <w:sz w:val="18"/>
          <w:szCs w:val="18"/>
          <w:color w:val="auto"/>
        </w:rPr>
        <w:t>CUSIP No.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ind w:left="60"/>
              <w:spacing w:after="0"/>
              <w:rPr>
                <w:sz w:val="20"/>
                <w:szCs w:val="20"/>
                <w:color w:val="auto"/>
              </w:rPr>
            </w:pPr>
            <w:r>
              <w:rPr>
                <w:rFonts w:ascii="Arial" w:cs="Arial" w:eastAsia="Arial" w:hAnsi="Arial"/>
                <w:sz w:val="18"/>
                <w:szCs w:val="18"/>
                <w:b w:val="1"/>
                <w:bCs w:val="1"/>
                <w:color w:val="auto"/>
              </w:rPr>
              <w:t>Item 4</w:t>
            </w:r>
          </w:p>
        </w:tc>
        <w:tc>
          <w:tcPr>
            <w:tcW w:w="2180" w:type="dxa"/>
            <w:vAlign w:val="bottom"/>
            <w:gridSpan w:val="2"/>
          </w:tcPr>
          <w:p>
            <w:pPr>
              <w:ind w:left="140"/>
              <w:spacing w:after="0"/>
              <w:rPr>
                <w:sz w:val="20"/>
                <w:szCs w:val="20"/>
                <w:color w:val="auto"/>
              </w:rPr>
            </w:pPr>
            <w:r>
              <w:rPr>
                <w:rFonts w:ascii="Arial" w:cs="Arial" w:eastAsia="Arial" w:hAnsi="Arial"/>
                <w:sz w:val="18"/>
                <w:szCs w:val="18"/>
                <w:b w:val="1"/>
                <w:bCs w:val="1"/>
                <w:color w:val="auto"/>
              </w:rPr>
              <w:t>Ownership</w:t>
            </w: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10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8"/>
              </w:rPr>
              <w:t>Shares Held</w:t>
            </w:r>
          </w:p>
        </w:tc>
        <w:tc>
          <w:tcPr>
            <w:tcW w:w="720" w:type="dxa"/>
            <w:vAlign w:val="bottom"/>
          </w:tcPr>
          <w:p>
            <w:pPr>
              <w:jc w:val="center"/>
              <w:ind w:left="108"/>
              <w:spacing w:after="0"/>
              <w:rPr>
                <w:sz w:val="20"/>
                <w:szCs w:val="20"/>
                <w:color w:val="auto"/>
              </w:rPr>
            </w:pPr>
            <w:r>
              <w:rPr>
                <w:rFonts w:ascii="Arial" w:cs="Arial" w:eastAsia="Arial" w:hAnsi="Arial"/>
                <w:sz w:val="14"/>
                <w:szCs w:val="14"/>
                <w:b w:val="1"/>
                <w:bCs w:val="1"/>
                <w:color w:val="auto"/>
                <w:w w:val="87"/>
              </w:rPr>
              <w:t>Sole</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Shared</w:t>
            </w: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1"/>
              </w:rPr>
              <w:t>Sole</w:t>
            </w: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Shared</w:t>
            </w: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Beneficial</w:t>
            </w:r>
          </w:p>
        </w:tc>
        <w:tc>
          <w:tcPr>
            <w:tcW w:w="10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9"/>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rPr>
              <w:t>Skyline Entity</w:t>
            </w:r>
          </w:p>
        </w:tc>
        <w:tc>
          <w:tcPr>
            <w:tcW w:w="1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720" w:type="dxa"/>
            <w:vAlign w:val="bottom"/>
          </w:tcPr>
          <w:p>
            <w:pPr>
              <w:jc w:val="center"/>
              <w:ind w:left="88"/>
              <w:spacing w:after="0" w:line="149" w:lineRule="exact"/>
              <w:rPr>
                <w:sz w:val="20"/>
                <w:szCs w:val="20"/>
                <w:color w:val="auto"/>
              </w:rPr>
            </w:pPr>
            <w:r>
              <w:rPr>
                <w:rFonts w:ascii="Arial" w:cs="Arial" w:eastAsia="Arial" w:hAnsi="Arial"/>
                <w:sz w:val="14"/>
                <w:szCs w:val="14"/>
                <w:b w:val="1"/>
                <w:bCs w:val="1"/>
                <w:color w:val="auto"/>
                <w:w w:val="91"/>
              </w:rPr>
              <w:t>Voting</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Voting</w:t>
            </w: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Dispositive</w:t>
            </w: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Dispositive</w:t>
            </w:r>
          </w:p>
        </w:tc>
        <w:tc>
          <w:tcPr>
            <w:tcW w:w="120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40" w:type="dxa"/>
            <w:vAlign w:val="bottom"/>
            <w:tcBorders>
              <w:bottom w:val="single" w:sz="8" w:color="auto"/>
            </w:tcBorders>
            <w:vMerge w:val="continue"/>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Directly</w:t>
            </w:r>
          </w:p>
        </w:tc>
        <w:tc>
          <w:tcPr>
            <w:tcW w:w="3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5"/>
              </w:rPr>
              <w:t>Power</w:t>
            </w: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Power</w:t>
            </w:r>
          </w:p>
        </w:tc>
        <w:tc>
          <w:tcPr>
            <w:tcW w:w="28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Power</w:t>
            </w:r>
          </w:p>
        </w:tc>
        <w:tc>
          <w:tcPr>
            <w:tcW w:w="2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Power</w:t>
            </w:r>
          </w:p>
        </w:tc>
        <w:tc>
          <w:tcPr>
            <w:tcW w:w="2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Ownership</w:t>
            </w:r>
          </w:p>
        </w:tc>
        <w:tc>
          <w:tcPr>
            <w:tcW w:w="3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of Class (2)</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Skyline Venture Partners V, L.P. (1)</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3,819,985</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3,819,985</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3,819,985</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3,819,985</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2"/>
        </w:trPr>
        <w:tc>
          <w:tcPr>
            <w:tcW w:w="3220" w:type="dxa"/>
            <w:vAlign w:val="bottom"/>
            <w:gridSpan w:val="3"/>
          </w:tcPr>
          <w:p>
            <w:pPr>
              <w:spacing w:after="0" w:line="201" w:lineRule="exact"/>
              <w:rPr>
                <w:sz w:val="20"/>
                <w:szCs w:val="20"/>
                <w:color w:val="auto"/>
              </w:rPr>
            </w:pPr>
            <w:r>
              <w:rPr>
                <w:rFonts w:ascii="Arial" w:cs="Arial" w:eastAsia="Arial" w:hAnsi="Arial"/>
                <w:sz w:val="18"/>
                <w:szCs w:val="18"/>
                <w:color w:val="auto"/>
              </w:rPr>
              <w:t>Skyline Venture Management V, LLC</w:t>
            </w: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040" w:type="dxa"/>
            <w:vAlign w:val="bottom"/>
          </w:tcPr>
          <w:p>
            <w:pPr>
              <w:ind w:left="180"/>
              <w:spacing w:after="0"/>
              <w:rPr>
                <w:sz w:val="20"/>
                <w:szCs w:val="20"/>
                <w:color w:val="auto"/>
              </w:rPr>
            </w:pPr>
            <w:r>
              <w:rPr>
                <w:rFonts w:ascii="Arial" w:cs="Arial" w:eastAsia="Arial" w:hAnsi="Arial"/>
                <w:sz w:val="18"/>
                <w:szCs w:val="18"/>
                <w:color w:val="auto"/>
              </w:rPr>
              <w:t>(1)</w:t>
            </w:r>
          </w:p>
        </w:tc>
        <w:tc>
          <w:tcPr>
            <w:tcW w:w="1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20"/>
                <w:szCs w:val="20"/>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900" w:type="dxa"/>
            <w:vAlign w:val="bottom"/>
          </w:tcPr>
          <w:p>
            <w:pPr>
              <w:jc w:val="right"/>
              <w:spacing w:after="0"/>
              <w:rPr>
                <w:sz w:val="20"/>
                <w:szCs w:val="20"/>
                <w:color w:val="auto"/>
              </w:rPr>
            </w:pPr>
            <w:r>
              <w:rPr>
                <w:rFonts w:ascii="Arial" w:cs="Arial" w:eastAsia="Arial" w:hAnsi="Arial"/>
                <w:sz w:val="18"/>
                <w:szCs w:val="18"/>
                <w:color w:val="auto"/>
              </w:rPr>
              <w:t>3,819,985</w:t>
            </w:r>
          </w:p>
        </w:tc>
        <w:tc>
          <w:tcPr>
            <w:tcW w:w="28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3,819,985</w:t>
            </w:r>
          </w:p>
        </w:tc>
        <w:tc>
          <w:tcPr>
            <w:tcW w:w="900" w:type="dxa"/>
            <w:vAlign w:val="bottom"/>
          </w:tcPr>
          <w:p>
            <w:pPr>
              <w:jc w:val="right"/>
              <w:spacing w:after="0"/>
              <w:rPr>
                <w:sz w:val="20"/>
                <w:szCs w:val="20"/>
                <w:color w:val="auto"/>
              </w:rPr>
            </w:pPr>
            <w:r>
              <w:rPr>
                <w:rFonts w:ascii="Arial" w:cs="Arial" w:eastAsia="Arial" w:hAnsi="Arial"/>
                <w:sz w:val="18"/>
                <w:szCs w:val="18"/>
                <w:color w:val="auto"/>
              </w:rPr>
              <w:t>3,819,985</w:t>
            </w:r>
          </w:p>
        </w:tc>
        <w:tc>
          <w:tcPr>
            <w:tcW w:w="3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Yasunori Kaneko (1)</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7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3,819,985</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3,819,985</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3,819,985</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3220" w:type="dxa"/>
            <w:vAlign w:val="bottom"/>
            <w:gridSpan w:val="3"/>
          </w:tcPr>
          <w:p>
            <w:pPr>
              <w:spacing w:after="0"/>
              <w:rPr>
                <w:sz w:val="20"/>
                <w:szCs w:val="20"/>
                <w:color w:val="auto"/>
              </w:rPr>
            </w:pPr>
            <w:r>
              <w:rPr>
                <w:rFonts w:ascii="Arial" w:cs="Arial" w:eastAsia="Arial" w:hAnsi="Arial"/>
                <w:sz w:val="18"/>
                <w:szCs w:val="18"/>
                <w:color w:val="auto"/>
              </w:rPr>
              <w:t>John G. Freund (1)</w:t>
            </w: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0</w:t>
            </w:r>
          </w:p>
        </w:tc>
        <w:tc>
          <w:tcPr>
            <w:tcW w:w="720" w:type="dxa"/>
            <w:vAlign w:val="bottom"/>
          </w:tcPr>
          <w:p>
            <w:pPr>
              <w:spacing w:after="0"/>
              <w:rPr>
                <w:sz w:val="20"/>
                <w:szCs w:val="20"/>
                <w:color w:val="auto"/>
              </w:rPr>
            </w:pP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900" w:type="dxa"/>
            <w:vAlign w:val="bottom"/>
          </w:tcPr>
          <w:p>
            <w:pPr>
              <w:jc w:val="right"/>
              <w:spacing w:after="0"/>
              <w:rPr>
                <w:sz w:val="20"/>
                <w:szCs w:val="20"/>
                <w:color w:val="auto"/>
              </w:rPr>
            </w:pPr>
            <w:r>
              <w:rPr>
                <w:rFonts w:ascii="Arial" w:cs="Arial" w:eastAsia="Arial" w:hAnsi="Arial"/>
                <w:sz w:val="18"/>
                <w:szCs w:val="18"/>
                <w:color w:val="auto"/>
              </w:rPr>
              <w:t>3,819,985</w:t>
            </w:r>
          </w:p>
        </w:tc>
        <w:tc>
          <w:tcPr>
            <w:tcW w:w="28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3,819,985</w:t>
            </w:r>
          </w:p>
        </w:tc>
        <w:tc>
          <w:tcPr>
            <w:tcW w:w="900" w:type="dxa"/>
            <w:vAlign w:val="bottom"/>
          </w:tcPr>
          <w:p>
            <w:pPr>
              <w:jc w:val="right"/>
              <w:spacing w:after="0"/>
              <w:rPr>
                <w:sz w:val="20"/>
                <w:szCs w:val="20"/>
                <w:color w:val="auto"/>
              </w:rPr>
            </w:pPr>
            <w:r>
              <w:rPr>
                <w:rFonts w:ascii="Arial" w:cs="Arial" w:eastAsia="Arial" w:hAnsi="Arial"/>
                <w:sz w:val="18"/>
                <w:szCs w:val="18"/>
                <w:color w:val="auto"/>
              </w:rPr>
              <w:t>3,819,985</w:t>
            </w:r>
          </w:p>
        </w:tc>
        <w:tc>
          <w:tcPr>
            <w:tcW w:w="30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right="100" w:firstLine="8"/>
        <w:spacing w:after="0" w:line="277"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shares are held by SVP V. SVM V is the sole general partner of SVP V. Freund and Kaneko are managing directors of SVM V and share voting and dispositive power over the shares held by the SVP V.</w:t>
      </w:r>
    </w:p>
    <w:p>
      <w:pPr>
        <w:spacing w:after="0" w:line="170" w:lineRule="exact"/>
        <w:rPr>
          <w:rFonts w:ascii="Arial" w:cs="Arial" w:eastAsia="Arial" w:hAnsi="Arial"/>
          <w:sz w:val="18"/>
          <w:szCs w:val="18"/>
          <w:color w:val="auto"/>
        </w:rPr>
      </w:pPr>
    </w:p>
    <w:p>
      <w:pPr>
        <w:ind w:right="200" w:firstLine="8"/>
        <w:spacing w:after="0" w:line="277" w:lineRule="auto"/>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This percentage is calculated based upon 25,005,329 shares of the Issuer’s common stock outstanding as of November 8, 2019 as set forth in the Issuers most recent 10-Q, filed with the Securities and Exchange Commission on November 12, 2019.</w:t>
      </w:r>
    </w:p>
    <w:p>
      <w:pPr>
        <w:spacing w:after="0" w:line="220"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60" w:right="1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ind w:left="60"/>
              <w:spacing w:after="0"/>
              <w:rPr>
                <w:sz w:val="20"/>
                <w:szCs w:val="20"/>
                <w:color w:val="auto"/>
              </w:rPr>
            </w:pPr>
            <w:r>
              <w:rPr>
                <w:rFonts w:ascii="Arial" w:cs="Arial" w:eastAsia="Arial" w:hAnsi="Arial"/>
                <w:sz w:val="18"/>
                <w:szCs w:val="18"/>
                <w:b w:val="1"/>
                <w:bCs w:val="1"/>
                <w:color w:val="auto"/>
              </w:rPr>
              <w:t>Item 6</w:t>
            </w:r>
          </w:p>
        </w:tc>
        <w:tc>
          <w:tcPr>
            <w:tcW w:w="10280" w:type="dxa"/>
            <w:vAlign w:val="bottom"/>
          </w:tcPr>
          <w:p>
            <w:pPr>
              <w:spacing w:after="0"/>
              <w:rPr>
                <w:sz w:val="20"/>
                <w:szCs w:val="20"/>
                <w:color w:val="auto"/>
              </w:rPr>
            </w:pPr>
            <w:r>
              <w:rPr>
                <w:rFonts w:ascii="Arial" w:cs="Arial" w:eastAsia="Arial" w:hAnsi="Arial"/>
                <w:sz w:val="18"/>
                <w:szCs w:val="18"/>
                <w:b w:val="1"/>
                <w:bCs w:val="1"/>
                <w:color w:val="auto"/>
              </w:rPr>
              <w:t>Ownership of More than Five Percent of Another Person</w:t>
            </w:r>
          </w:p>
        </w:tc>
      </w:tr>
      <w:tr>
        <w:trPr>
          <w:trHeight w:val="324"/>
        </w:trPr>
        <w:tc>
          <w:tcPr>
            <w:tcW w:w="1180" w:type="dxa"/>
            <w:vAlign w:val="bottom"/>
          </w:tcPr>
          <w:p>
            <w:pPr>
              <w:ind w:left="60"/>
              <w:spacing w:after="0"/>
              <w:rPr>
                <w:sz w:val="20"/>
                <w:szCs w:val="20"/>
                <w:color w:val="auto"/>
              </w:rPr>
            </w:pPr>
            <w:r>
              <w:rPr>
                <w:rFonts w:ascii="Arial" w:cs="Arial" w:eastAsia="Arial" w:hAnsi="Arial"/>
                <w:sz w:val="18"/>
                <w:szCs w:val="18"/>
                <w:color w:val="auto"/>
                <w:w w:val="92"/>
              </w:rPr>
              <w:t>Not applicable.</w:t>
            </w:r>
          </w:p>
        </w:tc>
        <w:tc>
          <w:tcPr>
            <w:tcW w:w="10280" w:type="dxa"/>
            <w:vAlign w:val="bottom"/>
          </w:tcPr>
          <w:p>
            <w:pPr>
              <w:spacing w:after="0"/>
              <w:rPr>
                <w:sz w:val="24"/>
                <w:szCs w:val="24"/>
                <w:color w:val="auto"/>
              </w:rPr>
            </w:pPr>
          </w:p>
        </w:tc>
      </w:tr>
      <w:tr>
        <w:trPr>
          <w:trHeight w:val="648"/>
        </w:trPr>
        <w:tc>
          <w:tcPr>
            <w:tcW w:w="1180" w:type="dxa"/>
            <w:vAlign w:val="bottom"/>
          </w:tcPr>
          <w:p>
            <w:pPr>
              <w:ind w:left="60"/>
              <w:spacing w:after="0"/>
              <w:rPr>
                <w:sz w:val="20"/>
                <w:szCs w:val="20"/>
                <w:color w:val="auto"/>
              </w:rPr>
            </w:pPr>
            <w:r>
              <w:rPr>
                <w:rFonts w:ascii="Arial" w:cs="Arial" w:eastAsia="Arial" w:hAnsi="Arial"/>
                <w:sz w:val="18"/>
                <w:szCs w:val="18"/>
                <w:b w:val="1"/>
                <w:bCs w:val="1"/>
                <w:color w:val="auto"/>
              </w:rPr>
              <w:t>Item 7</w:t>
            </w:r>
          </w:p>
        </w:tc>
        <w:tc>
          <w:tcPr>
            <w:tcW w:w="10280" w:type="dxa"/>
            <w:vAlign w:val="bottom"/>
          </w:tcPr>
          <w:p>
            <w:pPr>
              <w:spacing w:after="0"/>
              <w:rPr>
                <w:sz w:val="20"/>
                <w:szCs w:val="20"/>
                <w:color w:val="auto"/>
              </w:rPr>
            </w:pPr>
            <w:r>
              <w:rPr>
                <w:rFonts w:ascii="Arial" w:cs="Arial" w:eastAsia="Arial" w:hAnsi="Arial"/>
                <w:sz w:val="18"/>
                <w:szCs w:val="18"/>
                <w:b w:val="1"/>
                <w:bCs w:val="1"/>
                <w:color w:val="auto"/>
                <w:w w:val="91"/>
              </w:rPr>
              <w:t>Identification and Classification of the Subsidiary Which Acquired the Security Being Reported on By the Parent Holding Company</w:t>
            </w:r>
          </w:p>
        </w:tc>
      </w:tr>
      <w:tr>
        <w:trPr>
          <w:trHeight w:val="324"/>
        </w:trPr>
        <w:tc>
          <w:tcPr>
            <w:tcW w:w="1180" w:type="dxa"/>
            <w:vAlign w:val="bottom"/>
          </w:tcPr>
          <w:p>
            <w:pPr>
              <w:ind w:left="60"/>
              <w:spacing w:after="0"/>
              <w:rPr>
                <w:sz w:val="20"/>
                <w:szCs w:val="20"/>
                <w:color w:val="auto"/>
              </w:rPr>
            </w:pPr>
            <w:r>
              <w:rPr>
                <w:rFonts w:ascii="Arial" w:cs="Arial" w:eastAsia="Arial" w:hAnsi="Arial"/>
                <w:sz w:val="18"/>
                <w:szCs w:val="18"/>
                <w:color w:val="auto"/>
                <w:w w:val="92"/>
              </w:rPr>
              <w:t>Not applicable.</w:t>
            </w:r>
          </w:p>
        </w:tc>
        <w:tc>
          <w:tcPr>
            <w:tcW w:w="10280" w:type="dxa"/>
            <w:vAlign w:val="bottom"/>
          </w:tcPr>
          <w:p>
            <w:pPr>
              <w:spacing w:after="0"/>
              <w:rPr>
                <w:sz w:val="24"/>
                <w:szCs w:val="24"/>
                <w:color w:val="auto"/>
              </w:rPr>
            </w:pPr>
          </w:p>
        </w:tc>
      </w:tr>
      <w:tr>
        <w:trPr>
          <w:trHeight w:val="648"/>
        </w:trPr>
        <w:tc>
          <w:tcPr>
            <w:tcW w:w="1180" w:type="dxa"/>
            <w:vAlign w:val="bottom"/>
          </w:tcPr>
          <w:p>
            <w:pPr>
              <w:ind w:left="60"/>
              <w:spacing w:after="0"/>
              <w:rPr>
                <w:sz w:val="20"/>
                <w:szCs w:val="20"/>
                <w:color w:val="auto"/>
              </w:rPr>
            </w:pPr>
            <w:r>
              <w:rPr>
                <w:rFonts w:ascii="Arial" w:cs="Arial" w:eastAsia="Arial" w:hAnsi="Arial"/>
                <w:sz w:val="18"/>
                <w:szCs w:val="18"/>
                <w:b w:val="1"/>
                <w:bCs w:val="1"/>
                <w:color w:val="auto"/>
              </w:rPr>
              <w:t>Item 8</w:t>
            </w:r>
          </w:p>
        </w:tc>
        <w:tc>
          <w:tcPr>
            <w:tcW w:w="10280" w:type="dxa"/>
            <w:vAlign w:val="bottom"/>
          </w:tcPr>
          <w:p>
            <w:pPr>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324"/>
        </w:trPr>
        <w:tc>
          <w:tcPr>
            <w:tcW w:w="1180" w:type="dxa"/>
            <w:vAlign w:val="bottom"/>
          </w:tcPr>
          <w:p>
            <w:pPr>
              <w:ind w:left="60"/>
              <w:spacing w:after="0"/>
              <w:rPr>
                <w:sz w:val="20"/>
                <w:szCs w:val="20"/>
                <w:color w:val="auto"/>
              </w:rPr>
            </w:pPr>
            <w:r>
              <w:rPr>
                <w:rFonts w:ascii="Arial" w:cs="Arial" w:eastAsia="Arial" w:hAnsi="Arial"/>
                <w:sz w:val="18"/>
                <w:szCs w:val="18"/>
                <w:color w:val="auto"/>
                <w:w w:val="92"/>
              </w:rPr>
              <w:t>Not applicable.</w:t>
            </w:r>
          </w:p>
        </w:tc>
        <w:tc>
          <w:tcPr>
            <w:tcW w:w="10280" w:type="dxa"/>
            <w:vAlign w:val="bottom"/>
          </w:tcPr>
          <w:p>
            <w:pPr>
              <w:spacing w:after="0"/>
              <w:rPr>
                <w:sz w:val="24"/>
                <w:szCs w:val="24"/>
                <w:color w:val="auto"/>
              </w:rPr>
            </w:pPr>
          </w:p>
        </w:tc>
      </w:tr>
      <w:tr>
        <w:trPr>
          <w:trHeight w:val="648"/>
        </w:trPr>
        <w:tc>
          <w:tcPr>
            <w:tcW w:w="1180" w:type="dxa"/>
            <w:vAlign w:val="bottom"/>
          </w:tcPr>
          <w:p>
            <w:pPr>
              <w:ind w:left="60"/>
              <w:spacing w:after="0"/>
              <w:rPr>
                <w:sz w:val="20"/>
                <w:szCs w:val="20"/>
                <w:color w:val="auto"/>
              </w:rPr>
            </w:pPr>
            <w:r>
              <w:rPr>
                <w:rFonts w:ascii="Arial" w:cs="Arial" w:eastAsia="Arial" w:hAnsi="Arial"/>
                <w:sz w:val="18"/>
                <w:szCs w:val="18"/>
                <w:b w:val="1"/>
                <w:bCs w:val="1"/>
                <w:color w:val="auto"/>
              </w:rPr>
              <w:t>Item 9</w:t>
            </w:r>
          </w:p>
        </w:tc>
        <w:tc>
          <w:tcPr>
            <w:tcW w:w="10280" w:type="dxa"/>
            <w:vAlign w:val="bottom"/>
          </w:tcPr>
          <w:p>
            <w:pPr>
              <w:spacing w:after="0"/>
              <w:rPr>
                <w:sz w:val="20"/>
                <w:szCs w:val="20"/>
                <w:color w:val="auto"/>
              </w:rPr>
            </w:pPr>
            <w:r>
              <w:rPr>
                <w:rFonts w:ascii="Arial" w:cs="Arial" w:eastAsia="Arial" w:hAnsi="Arial"/>
                <w:sz w:val="18"/>
                <w:szCs w:val="18"/>
                <w:b w:val="1"/>
                <w:bCs w:val="1"/>
                <w:color w:val="auto"/>
              </w:rPr>
              <w:t>Notice of Dissolution of Group</w:t>
            </w:r>
          </w:p>
        </w:tc>
      </w:tr>
      <w:tr>
        <w:trPr>
          <w:trHeight w:val="324"/>
        </w:trPr>
        <w:tc>
          <w:tcPr>
            <w:tcW w:w="1180" w:type="dxa"/>
            <w:vAlign w:val="bottom"/>
          </w:tcPr>
          <w:p>
            <w:pPr>
              <w:ind w:left="60"/>
              <w:spacing w:after="0"/>
              <w:rPr>
                <w:sz w:val="20"/>
                <w:szCs w:val="20"/>
                <w:color w:val="auto"/>
              </w:rPr>
            </w:pPr>
            <w:r>
              <w:rPr>
                <w:rFonts w:ascii="Arial" w:cs="Arial" w:eastAsia="Arial" w:hAnsi="Arial"/>
                <w:sz w:val="18"/>
                <w:szCs w:val="18"/>
                <w:color w:val="auto"/>
                <w:w w:val="92"/>
              </w:rPr>
              <w:t>Not applicable.</w:t>
            </w:r>
          </w:p>
        </w:tc>
        <w:tc>
          <w:tcPr>
            <w:tcW w:w="10280" w:type="dxa"/>
            <w:vAlign w:val="bottom"/>
          </w:tcPr>
          <w:p>
            <w:pPr>
              <w:spacing w:after="0"/>
              <w:rPr>
                <w:sz w:val="24"/>
                <w:szCs w:val="24"/>
                <w:color w:val="auto"/>
              </w:rPr>
            </w:pPr>
          </w:p>
        </w:tc>
      </w:tr>
      <w:tr>
        <w:trPr>
          <w:trHeight w:val="486"/>
        </w:trPr>
        <w:tc>
          <w:tcPr>
            <w:tcW w:w="1180" w:type="dxa"/>
            <w:vAlign w:val="bottom"/>
          </w:tcPr>
          <w:p>
            <w:pPr>
              <w:spacing w:after="0"/>
              <w:rPr>
                <w:sz w:val="24"/>
                <w:szCs w:val="24"/>
                <w:color w:val="auto"/>
              </w:rPr>
            </w:pPr>
          </w:p>
        </w:tc>
        <w:tc>
          <w:tcPr>
            <w:tcW w:w="10280" w:type="dxa"/>
            <w:vAlign w:val="bottom"/>
          </w:tcPr>
          <w:p>
            <w:pPr>
              <w:ind w:left="4480"/>
              <w:spacing w:after="0"/>
              <w:rPr>
                <w:sz w:val="20"/>
                <w:szCs w:val="20"/>
                <w:color w:val="auto"/>
              </w:rPr>
            </w:pPr>
            <w:r>
              <w:rPr>
                <w:rFonts w:ascii="Arial" w:cs="Arial" w:eastAsia="Arial" w:hAnsi="Arial"/>
                <w:sz w:val="18"/>
                <w:szCs w:val="18"/>
                <w:color w:val="auto"/>
              </w:rPr>
              <w:t>7</w:t>
            </w:r>
          </w:p>
        </w:tc>
      </w:tr>
      <w:tr>
        <w:trPr>
          <w:trHeight w:val="132"/>
        </w:trPr>
        <w:tc>
          <w:tcPr>
            <w:tcW w:w="1180" w:type="dxa"/>
            <w:vAlign w:val="bottom"/>
            <w:tcBorders>
              <w:bottom w:val="single" w:sz="8" w:color="808080"/>
            </w:tcBorders>
          </w:tcPr>
          <w:p>
            <w:pPr>
              <w:spacing w:after="0"/>
              <w:rPr>
                <w:sz w:val="11"/>
                <w:szCs w:val="11"/>
                <w:color w:val="auto"/>
              </w:rPr>
            </w:pPr>
          </w:p>
        </w:tc>
        <w:tc>
          <w:tcPr>
            <w:tcW w:w="102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95" w:right="199"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color w:val="auto"/>
        </w:rPr>
        <w:t>CUSIP No.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3"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27" w:lineRule="exact"/>
        <w:rPr>
          <w:sz w:val="20"/>
          <w:szCs w:val="20"/>
          <w:color w:val="auto"/>
        </w:rPr>
      </w:pPr>
    </w:p>
    <w:p>
      <w:pPr>
        <w:ind w:left="340"/>
        <w:spacing w:after="0"/>
        <w:tabs>
          <w:tab w:leader="none" w:pos="4860" w:val="left"/>
        </w:tabs>
        <w:rPr>
          <w:sz w:val="20"/>
          <w:szCs w:val="20"/>
          <w:color w:val="auto"/>
        </w:rPr>
      </w:pPr>
      <w:r>
        <w:rPr>
          <w:rFonts w:ascii="Arial" w:cs="Arial" w:eastAsia="Arial" w:hAnsi="Arial"/>
          <w:sz w:val="18"/>
          <w:szCs w:val="18"/>
          <w:color w:val="auto"/>
        </w:rPr>
        <w:t>February 12, 2020</w:t>
      </w:r>
      <w:r>
        <w:rPr>
          <w:sz w:val="20"/>
          <w:szCs w:val="20"/>
          <w:color w:val="auto"/>
        </w:rPr>
        <w:tab/>
      </w:r>
      <w:r>
        <w:rPr>
          <w:rFonts w:ascii="Arial" w:cs="Arial" w:eastAsia="Arial" w:hAnsi="Arial"/>
          <w:sz w:val="16"/>
          <w:szCs w:val="16"/>
          <w:color w:val="auto"/>
        </w:rPr>
        <w:t>SKYLINE VENTURE PARTNERS V, L.P.</w:t>
      </w:r>
    </w:p>
    <w:p>
      <w:pPr>
        <w:spacing w:after="0" w:line="225"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SKYLINE VENTURE MANAGEMENT V, LLC</w:t>
      </w:r>
    </w:p>
    <w:p>
      <w:pPr>
        <w:spacing w:after="0" w:line="23"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Kerensa Kenny as attorney-in-fact</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John G. 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SKYLINE VENTURE MANAGEMENT V, LLC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Kerensa Kenny as attorney-in-fact</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John G. 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Managing Member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Kerensa Kenny as attorney-in-fact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YASUNORI KANEKO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Kerensa Kenny as attorney-in-fact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G. 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40"/>
          </w:cols>
          <w:pgMar w:left="240" w:top="395" w:right="519"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color w:val="auto"/>
        </w:rPr>
        <w:t>CUSIP No.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80" w:type="dxa"/>
            <w:vAlign w:val="bottom"/>
            <w:gridSpan w:val="2"/>
          </w:tcPr>
          <w:p>
            <w:pPr>
              <w:jc w:val="center"/>
              <w:ind w:right="280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97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10">
              <w:r>
                <w:rPr>
                  <w:rFonts w:ascii="Arial" w:cs="Arial" w:eastAsia="Arial" w:hAnsi="Arial"/>
                  <w:sz w:val="18"/>
                  <w:szCs w:val="18"/>
                  <w:color w:val="0000EE"/>
                  <w:w w:val="90"/>
                </w:rPr>
                <w:t>Agreement pursuant to 13d-1(k)(1) among Skyline Venture Partners V, L.P., Skyline Venture Management V, LLC John G. Freund and</w:t>
              </w:r>
            </w:hyperlink>
          </w:p>
        </w:tc>
        <w:tc>
          <w:tcPr>
            <w:tcW w:w="26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960" w:type="dxa"/>
            <w:vAlign w:val="bottom"/>
            <w:gridSpan w:val="4"/>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Yasunori Kaneko.</w:t>
              </w:r>
            </w:hyperlink>
          </w:p>
        </w:tc>
      </w:tr>
      <w:tr>
        <w:trPr>
          <w:trHeight w:val="453"/>
        </w:trPr>
        <w:tc>
          <w:tcPr>
            <w:tcW w:w="1160" w:type="dxa"/>
            <w:vAlign w:val="bottom"/>
          </w:tcPr>
          <w:p>
            <w:pPr>
              <w:spacing w:after="0"/>
              <w:rPr>
                <w:sz w:val="24"/>
                <w:szCs w:val="24"/>
                <w:color w:val="auto"/>
              </w:rPr>
            </w:pPr>
          </w:p>
        </w:tc>
        <w:tc>
          <w:tcPr>
            <w:tcW w:w="360" w:type="dxa"/>
            <w:vAlign w:val="bottom"/>
            <w:gridSpan w:val="2"/>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8420" w:type="dxa"/>
            <w:vAlign w:val="bottom"/>
          </w:tcPr>
          <w:p>
            <w:pPr>
              <w:jc w:val="right"/>
              <w:ind w:right="535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84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95" w:right="19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99.1</w:t>
      </w:r>
    </w:p>
    <w:p>
      <w:pPr>
        <w:spacing w:after="0" w:line="2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CUSIP No.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Pursuant to Rule 13d-1(k)(l) promulgated pursuant to the Securities Exchange Act of 1934, as amended, the undersigned agree that the attached Schedule 13G is being filed on behalf of each of the undersigned.</w:t>
      </w:r>
    </w:p>
    <w:p>
      <w:pPr>
        <w:spacing w:after="0" w:line="387" w:lineRule="exact"/>
        <w:rPr>
          <w:sz w:val="20"/>
          <w:szCs w:val="20"/>
          <w:color w:val="auto"/>
        </w:rPr>
      </w:pPr>
    </w:p>
    <w:p>
      <w:pPr>
        <w:ind w:left="340"/>
        <w:spacing w:after="0"/>
        <w:tabs>
          <w:tab w:leader="none" w:pos="5700" w:val="left"/>
        </w:tabs>
        <w:rPr>
          <w:sz w:val="20"/>
          <w:szCs w:val="20"/>
          <w:color w:val="auto"/>
        </w:rPr>
      </w:pPr>
      <w:r>
        <w:rPr>
          <w:rFonts w:ascii="Arial" w:cs="Arial" w:eastAsia="Arial" w:hAnsi="Arial"/>
          <w:sz w:val="18"/>
          <w:szCs w:val="18"/>
          <w:color w:val="auto"/>
        </w:rPr>
        <w:t>February 12, 2020</w:t>
      </w:r>
      <w:r>
        <w:rPr>
          <w:sz w:val="20"/>
          <w:szCs w:val="20"/>
          <w:color w:val="auto"/>
        </w:rPr>
        <w:tab/>
      </w:r>
      <w:r>
        <w:rPr>
          <w:rFonts w:ascii="Arial" w:cs="Arial" w:eastAsia="Arial" w:hAnsi="Arial"/>
          <w:sz w:val="17"/>
          <w:szCs w:val="17"/>
          <w:color w:val="auto"/>
        </w:rPr>
        <w:t>SKYLINE VENTURE PARTNERS V, L.P.</w:t>
      </w:r>
    </w:p>
    <w:p>
      <w:pPr>
        <w:spacing w:after="0" w:line="225"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SKYLINE VENTURE MANAGEMENT V, LLC</w:t>
      </w:r>
    </w:p>
    <w:p>
      <w:pPr>
        <w:spacing w:after="0" w:line="23"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ITS:</w:t>
        <w:tab/>
        <w:t>GENERAL PARTNER</w:t>
      </w:r>
    </w:p>
    <w:p>
      <w:pPr>
        <w:spacing w:after="0" w:line="211"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Kerensa Kenny as attorney-in-fact</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John G. 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Managing Director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SKYLINE VENTURE MANAGEMENT V, LLC</w:t>
      </w:r>
    </w:p>
    <w:p>
      <w:pPr>
        <w:spacing w:after="0" w:line="200" w:lineRule="exact"/>
        <w:rPr>
          <w:sz w:val="20"/>
          <w:szCs w:val="20"/>
          <w:color w:val="auto"/>
        </w:rPr>
      </w:pPr>
    </w:p>
    <w:p>
      <w:pPr>
        <w:spacing w:after="0" w:line="241" w:lineRule="exact"/>
        <w:rPr>
          <w:sz w:val="20"/>
          <w:szCs w:val="20"/>
          <w:color w:val="auto"/>
        </w:rPr>
      </w:pPr>
    </w:p>
    <w:p>
      <w:pPr>
        <w:ind w:left="5720"/>
        <w:spacing w:after="0"/>
        <w:tabs>
          <w:tab w:leader="none" w:pos="6220" w:val="left"/>
        </w:tabs>
        <w:rPr>
          <w:sz w:val="20"/>
          <w:szCs w:val="20"/>
          <w:color w:val="auto"/>
        </w:rPr>
      </w:pPr>
      <w:r>
        <w:rPr>
          <w:rFonts w:ascii="Arial" w:cs="Arial" w:eastAsia="Arial" w:hAnsi="Arial"/>
          <w:sz w:val="18"/>
          <w:szCs w:val="18"/>
          <w:color w:val="auto"/>
        </w:rPr>
        <w:t>By:</w:t>
        <w:tab/>
        <w:t>/s/ Kerensa Kenny as attorney-in-fact</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John G. 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-130810</wp:posOffset>
            </wp:positionV>
            <wp:extent cx="32931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93110" cy="8890"/>
                    </a:xfrm>
                    <a:prstGeom prst="rect">
                      <a:avLst/>
                    </a:prstGeom>
                    <a:noFill/>
                  </pic:spPr>
                </pic:pic>
              </a:graphicData>
            </a:graphic>
          </wp:anchor>
        </w:drawing>
      </w:r>
    </w:p>
    <w:p>
      <w:pPr>
        <w:spacing w:after="0" w:line="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Managing Member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Kerensa Kenny as attorney-in-fact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YASUNORI KANEKO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Kerensa Kenny as attorney-in-fact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JOHN G. 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lowerLetter"/>
      <w:start w:val="3"/>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decimal"/>
      <w:start w:val="1"/>
    </w:lvl>
    <w:lvl w:ilvl="1">
      <w:lvlJc w:val="left"/>
      <w:lvlText w:val="(%2)"/>
      <w:numFmt w:val="lowerLetter"/>
      <w:start w:val="1"/>
    </w:lvl>
  </w:abstractNum>
  <w:abstractNum w:abstractNumId="3">
    <w:nsid w:val="12200854"/>
    <w:multiLevelType w:val="hybridMultilevel"/>
    <w:lvl w:ilvl="0">
      <w:lvlJc w:val="left"/>
      <w:lvlText w:val="%1"/>
      <w:numFmt w:val="decimal"/>
      <w:start w:val="1"/>
    </w:lvl>
    <w:lvl w:ilvl="1">
      <w:lvlJc w:val="left"/>
      <w:lvlText w:val="%2."/>
      <w:numFmt w:val="decimal"/>
      <w:start w:val="9"/>
    </w:lvl>
  </w:abstractNum>
  <w:abstractNum w:abstractNumId="4">
    <w:nsid w:val="4DB127F8"/>
    <w:multiLevelType w:val="hybridMultilevel"/>
    <w:lvl w:ilvl="0">
      <w:lvlJc w:val="left"/>
      <w:lvlText w:val="(%1)"/>
      <w:numFmt w:val="decimal"/>
      <w:start w:val="1"/>
    </w:lvl>
    <w:lvl w:ilvl="1">
      <w:lvlJc w:val="left"/>
      <w:lvlText w:val="%2"/>
      <w:numFmt w:val="decimal"/>
      <w:start w:val="1"/>
    </w:lvl>
  </w:abstractNum>
  <w:abstractNum w:abstractNumId="5">
    <w:nsid w:val="216231B"/>
    <w:multiLevelType w:val="hybridMultilevel"/>
    <w:lvl w:ilvl="0">
      <w:lvlJc w:val="left"/>
      <w:lvlText w:val="%1."/>
      <w:numFmt w:val="decimal"/>
      <w:start w:val="1"/>
    </w:lvl>
    <w:lvl w:ilvl="1">
      <w:lvlJc w:val="left"/>
      <w:lvlText w:val="(%2)"/>
      <w:numFmt w:val="lowerLetter"/>
      <w:start w:val="1"/>
    </w:lvl>
  </w:abstractNum>
  <w:abstractNum w:abstractNumId="6">
    <w:nsid w:val="1F16E9E8"/>
    <w:multiLevelType w:val="hybridMultilevel"/>
    <w:lvl w:ilvl="0">
      <w:lvlJc w:val="left"/>
      <w:lvlText w:val="%1"/>
      <w:numFmt w:val="decimal"/>
      <w:start w:val="1"/>
    </w:lvl>
    <w:lvl w:ilvl="1">
      <w:lvlJc w:val="left"/>
      <w:lvlText w:val="%2."/>
      <w:numFmt w:val="decimal"/>
      <w:start w:val="9"/>
    </w:lvl>
  </w:abstractNum>
  <w:abstractNum w:abstractNumId="7">
    <w:nsid w:val="1190CDE7"/>
    <w:multiLevelType w:val="hybridMultilevel"/>
    <w:lvl w:ilvl="0">
      <w:lvlJc w:val="left"/>
      <w:lvlText w:val="(%1)"/>
      <w:numFmt w:val="decimal"/>
      <w:start w:val="1"/>
    </w:lvl>
    <w:lvl w:ilvl="1">
      <w:lvlJc w:val="left"/>
      <w:lvlText w:val="%2"/>
      <w:numFmt w:val="decimal"/>
      <w:start w:val="1"/>
    </w:lvl>
  </w:abstractNum>
  <w:abstractNum w:abstractNumId="8">
    <w:nsid w:val="66EF438D"/>
    <w:multiLevelType w:val="hybridMultilevel"/>
    <w:lvl w:ilvl="0">
      <w:lvlJc w:val="left"/>
      <w:lvlText w:val="%1."/>
      <w:numFmt w:val="decimal"/>
      <w:start w:val="1"/>
    </w:lvl>
    <w:lvl w:ilvl="1">
      <w:lvlJc w:val="left"/>
      <w:lvlText w:val="(%2)"/>
      <w:numFmt w:val="lowerLetter"/>
      <w:start w:val="1"/>
    </w:lvl>
  </w:abstractNum>
  <w:abstractNum w:abstractNumId="9">
    <w:nsid w:val="140E0F76"/>
    <w:multiLevelType w:val="hybridMultilevel"/>
    <w:lvl w:ilvl="0">
      <w:lvlJc w:val="left"/>
      <w:lvlText w:val="%1"/>
      <w:numFmt w:val="decimal"/>
      <w:start w:val="1"/>
    </w:lvl>
    <w:lvl w:ilvl="1">
      <w:lvlJc w:val="left"/>
      <w:lvlText w:val="%2."/>
      <w:numFmt w:val="decimal"/>
      <w:start w:val="9"/>
    </w:lvl>
  </w:abstractNum>
  <w:abstractNum w:abstractNumId="10">
    <w:nsid w:val="3352255A"/>
    <w:multiLevelType w:val="hybridMultilevel"/>
    <w:lvl w:ilvl="0">
      <w:lvlJc w:val="left"/>
      <w:lvlText w:val="(%1)"/>
      <w:numFmt w:val="decimal"/>
      <w:start w:val="1"/>
    </w:lvl>
    <w:lvl w:ilvl="1">
      <w:lvlJc w:val="left"/>
      <w:lvlText w:val="%2"/>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decimal"/>
      <w:start w:val="9"/>
    </w:lvl>
  </w:abstractNum>
  <w:abstractNum w:abstractNumId="13">
    <w:nsid w:val="7FDCC233"/>
    <w:multiLevelType w:val="hybridMultilevel"/>
    <w:lvl w:ilvl="0">
      <w:lvlJc w:val="left"/>
      <w:lvlText w:val="(%1)"/>
      <w:numFmt w:val="decimal"/>
      <w:start w:val="1"/>
    </w:lvl>
    <w:lvl w:ilvl="1">
      <w:lvlJc w:val="left"/>
      <w:lvlText w:val="%2"/>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2020-02-12T13:29:49Z</dcterms:created>
  <dcterms:modified xsi:type="dcterms:W3CDTF">2020-02-12T13:29:49Z</dcterms:modified>
</cp:coreProperties>
</file>