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14, 2020</w:t>
      </w:r>
    </w:p>
    <w:p>
      <w:pPr>
        <w:spacing w:after="0" w:line="1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340" w:type="dxa"/>
            <w:vAlign w:val="bottom"/>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1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249"/>
        </w:trPr>
        <w:tc>
          <w:tcPr>
            <w:tcW w:w="234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1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(Commission</w:t>
            </w:r>
          </w:p>
        </w:tc>
        <w:tc>
          <w:tcPr>
            <w:tcW w:w="172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34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1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File Number)</w:t>
            </w:r>
          </w:p>
        </w:tc>
        <w:tc>
          <w:tcPr>
            <w:tcW w:w="172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57"/>
        </w:trPr>
        <w:tc>
          <w:tcPr>
            <w:tcW w:w="2340" w:type="dxa"/>
            <w:vAlign w:val="bottom"/>
          </w:tcPr>
          <w:p>
            <w:pPr>
              <w:spacing w:after="0"/>
              <w:rPr>
                <w:sz w:val="24"/>
                <w:szCs w:val="24"/>
                <w:color w:val="auto"/>
              </w:rPr>
            </w:pPr>
          </w:p>
        </w:tc>
        <w:tc>
          <w:tcPr>
            <w:tcW w:w="51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720" w:type="dxa"/>
            <w:vAlign w:val="bottom"/>
          </w:tcPr>
          <w:p>
            <w:pPr>
              <w:spacing w:after="0"/>
              <w:rPr>
                <w:sz w:val="16"/>
                <w:szCs w:val="16"/>
                <w:color w:val="auto"/>
              </w:rPr>
            </w:pPr>
          </w:p>
        </w:tc>
      </w:tr>
      <w:tr>
        <w:trPr>
          <w:trHeight w:val="191"/>
        </w:trPr>
        <w:tc>
          <w:tcPr>
            <w:tcW w:w="2340" w:type="dxa"/>
            <w:vAlign w:val="bottom"/>
          </w:tcPr>
          <w:p>
            <w:pPr>
              <w:spacing w:after="0"/>
              <w:rPr>
                <w:sz w:val="16"/>
                <w:szCs w:val="16"/>
                <w:color w:val="auto"/>
              </w:rPr>
            </w:pPr>
          </w:p>
        </w:tc>
        <w:tc>
          <w:tcPr>
            <w:tcW w:w="51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720" w:type="dxa"/>
            <w:vAlign w:val="bottom"/>
          </w:tcPr>
          <w:p>
            <w:pPr>
              <w:spacing w:after="0"/>
              <w:rPr>
                <w:sz w:val="16"/>
                <w:szCs w:val="16"/>
                <w:color w:val="auto"/>
              </w:rPr>
            </w:pPr>
          </w:p>
        </w:tc>
      </w:tr>
      <w:tr>
        <w:trPr>
          <w:trHeight w:val="210"/>
        </w:trPr>
        <w:tc>
          <w:tcPr>
            <w:tcW w:w="2340" w:type="dxa"/>
            <w:vAlign w:val="bottom"/>
          </w:tcPr>
          <w:p>
            <w:pPr>
              <w:spacing w:after="0"/>
              <w:rPr>
                <w:sz w:val="18"/>
                <w:szCs w:val="18"/>
                <w:color w:val="auto"/>
              </w:rPr>
            </w:pPr>
          </w:p>
        </w:tc>
        <w:tc>
          <w:tcPr>
            <w:tcW w:w="51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N/A</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20" w:type="dxa"/>
            <w:vAlign w:val="bottom"/>
          </w:tcPr>
          <w:p>
            <w:pPr>
              <w:spacing w:after="0"/>
              <w:rPr>
                <w:sz w:val="18"/>
                <w:szCs w:val="18"/>
                <w:color w:val="auto"/>
              </w:rPr>
            </w:pPr>
          </w:p>
        </w:tc>
      </w:tr>
    </w:tbl>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02"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00" w:lineRule="exact"/>
        <w:rPr>
          <w:rFonts w:ascii="MS PGothic" w:cs="MS PGothic" w:eastAsia="MS PGothic" w:hAnsi="MS PGothic"/>
          <w:sz w:val="16"/>
          <w:szCs w:val="16"/>
          <w:color w:val="auto"/>
        </w:rPr>
      </w:pPr>
    </w:p>
    <w:p>
      <w:pPr>
        <w:spacing w:after="0" w:line="25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00" w:lineRule="exact"/>
        <w:rPr>
          <w:rFonts w:ascii="MS PGothic" w:cs="MS PGothic" w:eastAsia="MS PGothic" w:hAnsi="MS PGothic"/>
          <w:sz w:val="16"/>
          <w:szCs w:val="16"/>
          <w:color w:val="auto"/>
        </w:rPr>
      </w:pPr>
    </w:p>
    <w:p>
      <w:pPr>
        <w:spacing w:after="0" w:line="25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6"/>
          <w:szCs w:val="16"/>
          <w:color w:val="auto"/>
        </w:rPr>
      </w:pPr>
    </w:p>
    <w:p>
      <w:pPr>
        <w:spacing w:after="0" w:line="250"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1"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5"/>
                <w:szCs w:val="15"/>
                <w:color w:val="auto"/>
              </w:rPr>
            </w:pPr>
          </w:p>
        </w:tc>
        <w:tc>
          <w:tcPr>
            <w:tcW w:w="3100" w:type="dxa"/>
            <w:vAlign w:val="bottom"/>
            <w:gridSpan w:val="2"/>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4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71"/>
        </w:trPr>
        <w:tc>
          <w:tcPr>
            <w:tcW w:w="392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SIBN</w:t>
            </w:r>
          </w:p>
        </w:tc>
        <w:tc>
          <w:tcPr>
            <w:tcW w:w="1040" w:type="dxa"/>
            <w:vAlign w:val="bottom"/>
          </w:tcPr>
          <w:p>
            <w:pPr>
              <w:spacing w:after="0"/>
              <w:rPr>
                <w:sz w:val="23"/>
                <w:szCs w:val="2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370"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6" w:lineRule="exact"/>
        <w:rPr>
          <w:sz w:val="24"/>
          <w:szCs w:val="24"/>
          <w:color w:val="auto"/>
        </w:rPr>
      </w:pPr>
    </w:p>
    <w:p>
      <w:pPr>
        <w:jc w:val="center"/>
        <w:spacing w:after="0" w:line="184" w:lineRule="exact"/>
        <w:tabs>
          <w:tab w:leader="none" w:pos="1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4" w:lineRule="exact"/>
        <w:rPr>
          <w:sz w:val="24"/>
          <w:szCs w:val="24"/>
          <w:color w:val="auto"/>
        </w:rPr>
      </w:pPr>
    </w:p>
    <w:p>
      <w:pPr>
        <w:jc w:val="cente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695325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88"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October 14, 2020, SI-BONE, Inc. (the “Company”) entered into an Underwriting Agreement (the “Underwriting Agreement”) with Morgan Stanley &amp; Co. LLC and BofA Securities, Inc., representatives of the several underwriters (the “Underwriters”), and a stockholder of the Company (the “Selling Stockholder”) relating to the offering and sale (the “Offering”) of 3,190,053 shares of the Company’s common stock, par value $0.0001 per share. Of these shares, 190,053 shares were offered by the Selling Stockholder, and 3,000,000 shares were offered by the Company. The price to the public in the Offering is $22.00 per share of common stock. Pursuant to the Underwriting Agreement, the Underwriters have a 30-day option to purchase up to an additional 478,507 shares of common stock from the Company on the same terms and conditions. The Offering is scheduled to close on October 19, 2020, subject to the satisfaction of customary closing conditions. The shares of common stock are listed on The Nasdaq Global Market.</w:t>
      </w:r>
    </w:p>
    <w:p>
      <w:pPr>
        <w:spacing w:after="0" w:line="2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Offering is being made pursuant to the Company’s effective shelf registration statement on Form S-3 (Registration No. 333-235714) filed with the Securities and Exchange Commission (the “SEC”) on December 27, 2019, and declared effective on January 2, 2020. The Company filed with the SEC a preliminary prospectus supplement, dated October 14, 2020, and a final prospectus supplement, dated October 14, 2020, relating to the offer and sale of the shares.</w:t>
      </w:r>
    </w:p>
    <w:p>
      <w:pPr>
        <w:spacing w:after="0" w:line="20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Morgan Stanley and BofA Securities are acting as joint book-running managers. Cantor Fitzgerald &amp; Co., JMP Securities LLC and Needham &amp; Company, LLC are acting as co-managers.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and the Selling Stockholder, customary conditions to closing, indemnification obligations of the Company, the Selling Stockholder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21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Underwriting Agreement is filed as Exhibit 1.1 hereto. The foregoing description of the terms of the Underwriting Agreement is qualified in its entirety by reference to such exhibit. A copy of the opinion of Cooley LLP relating to the shares in the Offering is attached as Exhibit 5.1 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4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60" w:type="dxa"/>
            <w:vAlign w:val="bottom"/>
            <w:gridSpan w:val="2"/>
          </w:tcPr>
          <w:p>
            <w:pPr>
              <w:ind w:left="4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4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r>
      <w:tr>
        <w:trPr>
          <w:trHeight w:val="45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Pr>
          <w:p>
            <w:pPr>
              <w:spacing w:after="0"/>
              <w:rPr>
                <w:sz w:val="24"/>
                <w:szCs w:val="24"/>
                <w:color w:val="auto"/>
              </w:rPr>
            </w:pPr>
          </w:p>
        </w:tc>
        <w:tc>
          <w:tcPr>
            <w:tcW w:w="10060" w:type="dxa"/>
            <w:vAlign w:val="bottom"/>
            <w:gridSpan w:val="2"/>
          </w:tcPr>
          <w:p>
            <w:pPr>
              <w:ind w:lef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Underwriting Agreement, dated October 14,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and among the Company, Morgan Stanley &amp; Co. LLC and BofA Securities,</w:t>
            </w:r>
          </w:p>
        </w:tc>
      </w:tr>
      <w:tr>
        <w:trPr>
          <w:trHeight w:val="162"/>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color w:val="auto"/>
              </w:rPr>
              <w:t>Inc., as representatives of the several underwriters named on Schedule II thereto, and certain shareholders of the Company named</w:t>
            </w:r>
          </w:p>
        </w:tc>
      </w:tr>
      <w:tr>
        <w:trPr>
          <w:trHeight w:val="234"/>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 Schedule I thereto.</w:t>
            </w:r>
          </w:p>
        </w:tc>
      </w:tr>
      <w:tr>
        <w:trPr>
          <w:trHeight w:val="2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260" w:type="dxa"/>
            <w:vAlign w:val="bottom"/>
          </w:tcPr>
          <w:p>
            <w:pPr>
              <w:spacing w:after="0"/>
              <w:rPr>
                <w:sz w:val="20"/>
                <w:szCs w:val="20"/>
                <w:color w:val="auto"/>
              </w:rPr>
            </w:pPr>
          </w:p>
        </w:tc>
        <w:tc>
          <w:tcPr>
            <w:tcW w:w="1006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Opinion Cooley</w:t>
              </w:r>
            </w:hyperlink>
          </w:p>
        </w:tc>
      </w:tr>
      <w:tr>
        <w:trPr>
          <w:trHeight w:val="27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3"/>
                <w:szCs w:val="23"/>
                <w:color w:val="auto"/>
              </w:rPr>
            </w:pPr>
          </w:p>
        </w:tc>
        <w:tc>
          <w:tcPr>
            <w:tcW w:w="10060" w:type="dxa"/>
            <w:vAlign w:val="bottom"/>
            <w:gridSpan w:val="2"/>
          </w:tcPr>
          <w:p>
            <w:pPr>
              <w:ind w:left="20"/>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u w:val="single" w:color="auto"/>
                  <w:color w:val="0000FF"/>
                </w:rPr>
                <w:t>Consent of Cooley LLP</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(contained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Exhibit 5.1)</w:t>
            </w:r>
          </w:p>
        </w:tc>
      </w:tr>
      <w:tr>
        <w:trPr>
          <w:trHeight w:val="27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260" w:type="dxa"/>
            <w:vAlign w:val="bottom"/>
          </w:tcPr>
          <w:p>
            <w:pPr>
              <w:spacing w:after="0"/>
              <w:rPr>
                <w:sz w:val="23"/>
                <w:szCs w:val="23"/>
                <w:color w:val="auto"/>
              </w:rPr>
            </w:pPr>
          </w:p>
        </w:tc>
        <w:tc>
          <w:tcPr>
            <w:tcW w:w="10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tc>
      </w:tr>
      <w:tr>
        <w:trPr>
          <w:trHeight w:val="1263"/>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37" w:lineRule="exact"/>
        <w:rPr>
          <w:sz w:val="20"/>
          <w:szCs w:val="20"/>
          <w:color w:val="auto"/>
        </w:rPr>
      </w:pPr>
    </w:p>
    <w:p>
      <w:pPr>
        <w:ind w:left="20"/>
        <w:spacing w:after="0"/>
        <w:tabs>
          <w:tab w:leader="none" w:pos="800" w:val="left"/>
          <w:tab w:leader="none" w:pos="4660" w:val="left"/>
          <w:tab w:leader="none" w:pos="5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15,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34290</wp:posOffset>
            </wp:positionV>
            <wp:extent cx="3694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Laura A. Francis</w:t>
      </w:r>
    </w:p>
    <w:p>
      <w:pPr>
        <w:spacing w:after="0" w:line="6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p>
      <w:pPr>
        <w:spacing w:after="0" w:line="6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720"/>
          </w:cols>
          <w:pgMar w:left="320" w:top="887"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3,190,053 Shares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SI-BONE, INC.</w:t>
      </w:r>
    </w:p>
    <w:p>
      <w:pPr>
        <w:spacing w:after="0" w:line="26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COMMON STOCK (PAR VALUE $0.0001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UNDERWRITING AGREEMENT</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October 14, 2020</w:t>
      </w:r>
    </w:p>
    <w:p>
      <w:pPr>
        <w:sectPr>
          <w:pgSz w:w="11900" w:h="16838" w:orient="portrait"/>
          <w:cols w:equalWidth="0" w:num="1">
            <w:col w:w="10120"/>
          </w:cols>
          <w:pgMar w:left="144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October 14,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2" w:lineRule="exact"/>
        <w:rPr>
          <w:sz w:val="20"/>
          <w:szCs w:val="20"/>
          <w:color w:val="auto"/>
        </w:rPr>
      </w:pPr>
    </w:p>
    <w:p>
      <w:pPr>
        <w:jc w:val="both"/>
        <w:ind w:firstLine="648"/>
        <w:spacing w:after="0" w:line="214" w:lineRule="exact"/>
        <w:rPr>
          <w:sz w:val="20"/>
          <w:szCs w:val="20"/>
          <w:color w:val="auto"/>
        </w:rPr>
      </w:pPr>
      <w:r>
        <w:rPr>
          <w:rFonts w:ascii="Times New Roman" w:cs="Times New Roman" w:eastAsia="Times New Roman" w:hAnsi="Times New Roman"/>
          <w:sz w:val="18"/>
          <w:szCs w:val="18"/>
          <w:color w:val="auto"/>
        </w:rPr>
        <w:t>SI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which Morgan Stanley &amp; Co. LLC and BofA Securities, Inc. are acting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and the shareholder of the Company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named in Schedule I hereto proposes to sell to the several Underwriters, an aggregate of 3,190,053 shares of its common stock, par value $.0001 per share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of which 3,000,000 shares are to be issued and sold by the Company and 190,053 shares are to be sold by the Selling Shareholder.</w:t>
      </w:r>
    </w:p>
    <w:p>
      <w:pPr>
        <w:spacing w:after="0" w:line="21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Company also proposes to issue and sell to the several Underwriters not more than an additional 478,507 shares of its common stock, par value $.0001 per share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if and to the extent that you, as Representatives, shall have determined to exercise, on behalf of the Underwriters, the right to purchase such shares of common stock granted to the Underwriters in Section 3 hereof. The Firm Shares and the Additional Shares are hereinafter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shares of common stock, par value $.0001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Company and the Selling Shareholder are hereinafter sometimes collectively referred to as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 (File No. 333-235714) on Form S-3, relating to the securities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Shares, to be issued and sold from time to time by the Company and to be sold from time to time by the Selling Shareholder. The registration statement as amended to the date of this Agreement, including the information (if any) deemed to be part of the registration statement at the time of effectiveness pursuant to Rule 430A or Rule 430 B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prospectus covering the Shelf Securities dated January 2, 2020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The Basic Prospectus, as supplemented by the prospectus supplement specifically relating to the Shares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form of the Prospectus. 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 documents and pricing information set forth opposite the caption “Time of Sale Prospectus” in Schedule III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 without restriction to any person. As used herein, the terms “Registration Statement,” “Basic Prospectus,” “preliminary prospectus,” “Time of Sale Prospectus” and “Prospectus” shall include the documents, if any, incorporated by reference therein as of the date hereof.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 Registration Statement, the Basic Prospectus, the Time of Sale Prospectus, any preliminary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211"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of the Underwriters that:</w:t>
      </w:r>
    </w:p>
    <w:p>
      <w:pPr>
        <w:spacing w:after="0" w:line="227" w:lineRule="exact"/>
        <w:rPr>
          <w:sz w:val="20"/>
          <w:szCs w:val="20"/>
          <w:color w:val="auto"/>
        </w:rPr>
      </w:pPr>
    </w:p>
    <w:p>
      <w:pPr>
        <w:jc w:val="both"/>
        <w:ind w:firstLine="656"/>
        <w:spacing w:after="0" w:line="266" w:lineRule="auto"/>
        <w:tabs>
          <w:tab w:leader="none" w:pos="1293" w:val="left"/>
        </w:tabs>
        <w:numPr>
          <w:ilvl w:val="0"/>
          <w:numId w:val="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769" w:right="339" w:bottom="1440" w:gutter="0" w:footer="0" w:header="0"/>
        </w:sectPr>
      </w:pPr>
    </w:p>
    <w:bookmarkStart w:id="5" w:name="page6"/>
    <w:bookmarkEnd w:id="5"/>
    <w:p>
      <w:pPr>
        <w:jc w:val="both"/>
        <w:ind w:firstLine="656"/>
        <w:spacing w:after="0" w:line="252" w:lineRule="auto"/>
        <w:tabs>
          <w:tab w:leader="none" w:pos="1290"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(iii) the Registration Statement as of the date hereof does not contain any untrue statement of a material fact or omit to state a material fact required to be stated therein or necessary to make the statements therein not misleading, (iv) the Registration Statement and the Prospectus comply, and as amended or supplemented, if applicable, will comply in all material respects with the Securities Act and the applicable rules and regulations of the Commission thereunder, (v)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the date hereof does not contain and, as amended or supplemented, if applicable, will not contain as of its date and as of the Closing Date (as defined in Section 5),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191" w:lineRule="exact"/>
        <w:rPr>
          <w:rFonts w:ascii="Times New Roman" w:cs="Times New Roman" w:eastAsia="Times New Roman" w:hAnsi="Times New Roman"/>
          <w:sz w:val="18"/>
          <w:szCs w:val="18"/>
          <w:color w:val="010000"/>
        </w:rPr>
      </w:pPr>
    </w:p>
    <w:p>
      <w:pPr>
        <w:jc w:val="both"/>
        <w:ind w:firstLine="656"/>
        <w:spacing w:after="0" w:line="254" w:lineRule="auto"/>
        <w:tabs>
          <w:tab w:leader="none" w:pos="1293"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if filed after the effective date of this Agreement, will comply as of the date of such filing in all material respects with the requirements of the Securities Act and the applicable rules and regulations of the Commission thereunder. Except for the free writing prospectuses, if any, identified in Schedule II hereto, and electronic road shows, if any, each furnished to you before first use, the Company has not prepared, used or referred to, and will not, without your prior consent, prepare, use or refer to, any free writing prospectus.</w:t>
      </w:r>
    </w:p>
    <w:p>
      <w:pPr>
        <w:spacing w:after="0" w:line="191" w:lineRule="exact"/>
        <w:rPr>
          <w:rFonts w:ascii="Times New Roman" w:cs="Times New Roman" w:eastAsia="Times New Roman" w:hAnsi="Times New Roman"/>
          <w:sz w:val="18"/>
          <w:szCs w:val="18"/>
          <w:color w:val="010000"/>
        </w:rPr>
      </w:pPr>
    </w:p>
    <w:p>
      <w:pPr>
        <w:jc w:val="both"/>
        <w:ind w:firstLine="656"/>
        <w:spacing w:after="0" w:line="254" w:lineRule="auto"/>
        <w:tabs>
          <w:tab w:leader="none" w:pos="1290"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been duly incorporated, is validly existing as a corporation in good standing under the laws of the State of Delaware, has the corporate power and authority to own or lease its property and to conduct its business as described in the Time of Sale Prospectus and to enter into and perform its obligations under this Agreement,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individually or in the aggregate, reasonably be expected to have a material adverse effect on the business, properties, management, financial position, stockholders’ equity, results of operations or prospects of the Company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and its subsidiaries, taken as a whole, or on the performance by the Company of its obligations under this Agreement or to consummate the transactions contemplated by Time of Sale Prospectus.</w:t>
      </w:r>
    </w:p>
    <w:p>
      <w:pPr>
        <w:spacing w:after="0" w:line="191" w:lineRule="exact"/>
        <w:rPr>
          <w:rFonts w:ascii="Times New Roman" w:cs="Times New Roman" w:eastAsia="Times New Roman" w:hAnsi="Times New Roman"/>
          <w:sz w:val="18"/>
          <w:szCs w:val="18"/>
          <w:color w:val="010000"/>
        </w:rPr>
      </w:pPr>
    </w:p>
    <w:p>
      <w:pPr>
        <w:jc w:val="both"/>
        <w:ind w:firstLine="656"/>
        <w:spacing w:after="0" w:line="254" w:lineRule="auto"/>
        <w:tabs>
          <w:tab w:leader="none" w:pos="1293"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subsidiary of the Company has been duly organized, is validly existing and in good standing under the laws of the jurisdiction of its organization (to the extent the concept of good standing or an equivalent concept is applicable under the laws of such jurisdiction), has the corporate or other organizational power and authority to own, lease and operate its property and to conduct its business as described in the Time of Sale Prospectus and is duly qualified to transact business and is in good standing in each jurisdiction (to the extent the concept of good standing or an equivalent concept is applicable under the laws of such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equity securities of each subsidiary of the Company have been duly and validly authorized and issued, are fully paid and non-assessable (to the extent that such concepts are applicable in such jurisdiction) and are owned directly or indirectly by the Company, free and clear of all liens, encumbrances, equities or claims.</w:t>
      </w:r>
    </w:p>
    <w:p>
      <w:pPr>
        <w:spacing w:after="0" w:line="188"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287"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PricewaterhouseCoopers LLP, which has expressed an opinion with respect to the financial statements of the Company and its subsidiaries filed with the Commission as a part of the Registration Statement, and included in each of the Time of Sale Prospectus and the Prospectus,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69" w:right="339" w:bottom="1440" w:gutter="0" w:footer="0" w:header="0"/>
        </w:sectPr>
      </w:pPr>
    </w:p>
    <w:bookmarkStart w:id="6" w:name="page7"/>
    <w:bookmarkEnd w:id="6"/>
    <w:p>
      <w:pPr>
        <w:jc w:val="both"/>
        <w:ind w:firstLine="656"/>
        <w:spacing w:after="0" w:line="254" w:lineRule="auto"/>
        <w:tabs>
          <w:tab w:leader="none" w:pos="129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financial statements included in the Registration Statement, the Time of Sale Prospectus and the Prospectus, together with the related schedules and notes, present fairly in all material respects the financial position of the Company and its subsidiaries at the dates indicated and the statement of comprehensive loss, stockholders’ equity and cash flows of the Company and its subsidiaries for the periods specified; said financial statements have been prepared in conformity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The selected financial data and the summary financial information included in the Registration Statement, the Time of Sale Prospectus and the Prospectus present fairly the information shown therein and have been compiled on a basis consistent with that of the audited financial statements included therein. Except as included therein, no historical financial statements or supporting schedules are required to be included in the Registration Statement, the Time of Sale Prospectus or the Prospectus under the Securities Act or any applicable rules and regulations of the Commission thereunder.</w:t>
      </w:r>
    </w:p>
    <w:p>
      <w:pPr>
        <w:spacing w:after="0" w:line="191"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010000"/>
        </w:rPr>
      </w:pPr>
    </w:p>
    <w:p>
      <w:pPr>
        <w:ind w:firstLine="656"/>
        <w:spacing w:after="0" w:line="282" w:lineRule="auto"/>
        <w:tabs>
          <w:tab w:leader="none" w:pos="129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authorized capital stock of the Company conforms as to legal matters in all material respects to the description thereof contained in each of the Time of Sale Prospectus and the Prospectus.</w:t>
      </w:r>
    </w:p>
    <w:p>
      <w:pPr>
        <w:spacing w:after="0" w:line="161" w:lineRule="exact"/>
        <w:rPr>
          <w:rFonts w:ascii="Times New Roman" w:cs="Times New Roman" w:eastAsia="Times New Roman" w:hAnsi="Times New Roman"/>
          <w:sz w:val="18"/>
          <w:szCs w:val="18"/>
          <w:color w:val="010000"/>
        </w:rPr>
      </w:pPr>
    </w:p>
    <w:p>
      <w:pPr>
        <w:ind w:firstLine="656"/>
        <w:spacing w:after="0" w:line="282" w:lineRule="auto"/>
        <w:tabs>
          <w:tab w:leader="none" w:pos="129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shares of Common Stock (including the Shares to be sold by the Selling Shareholders) outstanding prior to the issuance of the Shares have been duly authorized and are validly issued, fully paid and non-assessable.</w:t>
      </w:r>
    </w:p>
    <w:p>
      <w:pPr>
        <w:spacing w:after="0" w:line="161" w:lineRule="exact"/>
        <w:rPr>
          <w:rFonts w:ascii="Times New Roman" w:cs="Times New Roman" w:eastAsia="Times New Roman" w:hAnsi="Times New Roman"/>
          <w:sz w:val="18"/>
          <w:szCs w:val="18"/>
          <w:color w:val="010000"/>
        </w:rPr>
      </w:pPr>
    </w:p>
    <w:p>
      <w:pPr>
        <w:ind w:firstLine="656"/>
        <w:spacing w:after="0" w:line="282" w:lineRule="auto"/>
        <w:tabs>
          <w:tab w:leader="none" w:pos="129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Shares have been duly authorized and, when issued, delivered and paid for in accordance with the terms of this Agreement, will be validly issued, fully paid and non-assessable, and the issuance of such Shares will not be subject to any preemptive or similar rights.</w:t>
      </w:r>
    </w:p>
    <w:p>
      <w:pPr>
        <w:spacing w:after="0" w:line="161" w:lineRule="exact"/>
        <w:rPr>
          <w:rFonts w:ascii="Times New Roman" w:cs="Times New Roman" w:eastAsia="Times New Roman" w:hAnsi="Times New Roman"/>
          <w:sz w:val="18"/>
          <w:szCs w:val="18"/>
          <w:color w:val="010000"/>
        </w:rPr>
      </w:pPr>
    </w:p>
    <w:p>
      <w:pPr>
        <w:jc w:val="both"/>
        <w:ind w:firstLine="656"/>
        <w:spacing w:after="0" w:line="254" w:lineRule="auto"/>
        <w:tabs>
          <w:tab w:leader="none" w:pos="129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Company nor any of its subsidiaries is (i) in violation of its charter, by-laws or similar organizational document, (ii) in default in the performance or observance of any obligation, agreement, covenant or condition contained in any contract, indenture, mortgage, deed of trust, loan or credit agreement, note, lease or other agreement or instrument to which any of the Company or its subsidiaries is a party or by which it or any of them may be bound or to which any of the properties or assets of the Company or its subsidiaries is subject, or (iii) in violation of any law, statute, rule, regulation, judgment, order, writ or decree of any arbitrator, court, governmental body, regulatory body, administrative agency or other authority, body or agency having jurisdiction over the Company, any of its subsidiaries or any of their respective properties, assets or operations (each, a “</w:t>
      </w:r>
      <w:r>
        <w:rPr>
          <w:rFonts w:ascii="Times New Roman" w:cs="Times New Roman" w:eastAsia="Times New Roman" w:hAnsi="Times New Roman"/>
          <w:sz w:val="18"/>
          <w:szCs w:val="18"/>
          <w:b w:val="1"/>
          <w:bCs w:val="1"/>
          <w:color w:val="auto"/>
        </w:rPr>
        <w:t>Governmental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except with respect to clauses (ii) and (iii) for such violations and defaults that would not, individually or in the aggregate,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result in a Material Adverse Effect.</w:t>
      </w:r>
    </w:p>
    <w:p>
      <w:pPr>
        <w:spacing w:after="0" w:line="191" w:lineRule="exact"/>
        <w:rPr>
          <w:rFonts w:ascii="Times New Roman" w:cs="Times New Roman" w:eastAsia="Times New Roman" w:hAnsi="Times New Roman"/>
          <w:sz w:val="18"/>
          <w:szCs w:val="18"/>
          <w:color w:val="010000"/>
        </w:rPr>
      </w:pPr>
    </w:p>
    <w:p>
      <w:pPr>
        <w:jc w:val="both"/>
        <w:ind w:firstLine="656"/>
        <w:spacing w:after="0" w:line="254" w:lineRule="auto"/>
        <w:tabs>
          <w:tab w:leader="none" w:pos="1286"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has been duly authorized by all necessary corporate action and does not and will not contravene (i) any provision of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Entity, except that in the case of clauses (i), (iii) and (iv) as would not, individually or in the aggregate, have a Material Adverse Effect on the Company; and no consent, approval, authorization or order of, or qualification with, or filing with, any Governmental Entity is required for the performance by the Company of its obligations under this Agreement, except such as may be required by the securities or Blue Sky laws of the various states or foreign jurisdictions or the rules and regulations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in connection with the offer and sale of the Shares.</w:t>
      </w:r>
    </w:p>
    <w:p>
      <w:pPr>
        <w:spacing w:after="0" w:line="191"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29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75" w:lineRule="exact"/>
        <w:rPr>
          <w:rFonts w:ascii="Times New Roman" w:cs="Times New Roman" w:eastAsia="Times New Roman" w:hAnsi="Times New Roman"/>
          <w:sz w:val="18"/>
          <w:szCs w:val="18"/>
          <w:color w:val="010000"/>
        </w:rPr>
      </w:pPr>
    </w:p>
    <w:p>
      <w:pPr>
        <w:jc w:val="both"/>
        <w:ind w:firstLine="656"/>
        <w:spacing w:after="0" w:line="255" w:lineRule="auto"/>
        <w:tabs>
          <w:tab w:leader="none" w:pos="129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legal or governmental proceedings pending or, to the Company’s knowledge, threatened to which the Company or any of its subsidiaries is a party or to which any of the properties of the Company or any of its subsidiaries is subject other than proceedings accurately described in all material respects in the Time of Sale Prospectus and proceedings that would not have a Material Adverse Effect on the Company and its subsidiaries, taken as a whole or that are required to be described in the Registration Statement or the Prospectus and are not so described in all material respects; and there are no statutes, regulations, contracts or other documents to which the Company is subject or by which the Company is bound that are required to be described in the Registration Statement or the Prospectus or to be filed as exhibits to the Registration Statement that are not described in all material respects or filed as required.</w:t>
      </w:r>
    </w:p>
    <w:p>
      <w:pPr>
        <w:spacing w:after="0" w:line="188"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29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769" w:right="339" w:bottom="1440" w:gutter="0" w:footer="0" w:header="0"/>
        </w:sectPr>
      </w:pPr>
    </w:p>
    <w:bookmarkStart w:id="7" w:name="page8"/>
    <w:bookmarkEnd w:id="7"/>
    <w:p>
      <w:pPr>
        <w:jc w:val="both"/>
        <w:ind w:firstLine="656"/>
        <w:spacing w:after="0" w:line="282" w:lineRule="auto"/>
        <w:tabs>
          <w:tab w:leader="none" w:pos="129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010000"/>
        </w:rPr>
      </w:pPr>
    </w:p>
    <w:p>
      <w:pPr>
        <w:jc w:val="both"/>
        <w:ind w:firstLine="656"/>
        <w:spacing w:after="0" w:line="255" w:lineRule="auto"/>
        <w:tabs>
          <w:tab w:leader="none" w:pos="1287"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have a Material Adverse Effect on the Company and its subsidiaries, taken as a whole.</w:t>
      </w:r>
    </w:p>
    <w:p>
      <w:pPr>
        <w:spacing w:after="0" w:line="188"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283"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 on the Company and its subsidiaries, taken as a whole.</w:t>
      </w:r>
    </w:p>
    <w:p>
      <w:pPr>
        <w:spacing w:after="0" w:line="179"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29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such as have been duly waived or complied with in connection with the issuance and sale of the Shares contemplated hereby.</w:t>
      </w:r>
    </w:p>
    <w:p>
      <w:pPr>
        <w:spacing w:after="0" w:line="179" w:lineRule="exact"/>
        <w:rPr>
          <w:rFonts w:ascii="Times New Roman" w:cs="Times New Roman" w:eastAsia="Times New Roman" w:hAnsi="Times New Roman"/>
          <w:sz w:val="18"/>
          <w:szCs w:val="18"/>
          <w:color w:val="010000"/>
        </w:rPr>
      </w:pPr>
    </w:p>
    <w:p>
      <w:pPr>
        <w:jc w:val="both"/>
        <w:ind w:firstLine="656"/>
        <w:spacing w:after="0" w:line="253" w:lineRule="auto"/>
        <w:tabs>
          <w:tab w:leader="none" w:pos="129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Neither the Company nor any of its subsidiaries, nor any director or officer, nor, to the Company’s knowledge, any controlled affiliate of the Company or any employee, agent or representative of the Company or of any of its subsidiaries or affiliates, has taken or will take any action in furtherance of an offer, payment, promise to pay, or authorization or approval of the payment or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improperly influence official action, or to any person in violation of any applicable anti-corruption laws; (ii); and the Company and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91" w:lineRule="exact"/>
        <w:rPr>
          <w:rFonts w:ascii="Times New Roman" w:cs="Times New Roman" w:eastAsia="Times New Roman" w:hAnsi="Times New Roman"/>
          <w:sz w:val="18"/>
          <w:szCs w:val="18"/>
          <w:color w:val="010000"/>
        </w:rPr>
      </w:pPr>
    </w:p>
    <w:p>
      <w:pPr>
        <w:jc w:val="both"/>
        <w:ind w:firstLine="656"/>
        <w:spacing w:after="0" w:line="255" w:lineRule="auto"/>
        <w:tabs>
          <w:tab w:leader="none" w:pos="129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88"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337"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Neither the Company nor any of its subsidiaries, nor any director or officer thereof, nor, to the Company’s knowledge, any employee, agent, controlled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a Person that is:</w:t>
      </w:r>
    </w:p>
    <w:p>
      <w:pPr>
        <w:spacing w:after="0" w:line="175" w:lineRule="exact"/>
        <w:rPr>
          <w:rFonts w:ascii="Times New Roman" w:cs="Times New Roman" w:eastAsia="Times New Roman" w:hAnsi="Times New Roman"/>
          <w:sz w:val="18"/>
          <w:szCs w:val="18"/>
          <w:color w:val="010000"/>
        </w:rPr>
      </w:pPr>
    </w:p>
    <w:p>
      <w:pPr>
        <w:jc w:val="both"/>
        <w:ind w:left="1300" w:firstLine="652"/>
        <w:spacing w:after="0" w:line="266" w:lineRule="auto"/>
        <w:tabs>
          <w:tab w:leader="none" w:pos="2589" w:val="left"/>
        </w:tabs>
        <w:numPr>
          <w:ilvl w:val="1"/>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subject of any sanctions administered or enforced by the U.S. Department of Treasury’s Office of Foreign Assets Control, the United Nations Security Council,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Her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w:t>
      </w:r>
    </w:p>
    <w:p>
      <w:pPr>
        <w:spacing w:after="0" w:line="175" w:lineRule="exact"/>
        <w:rPr>
          <w:rFonts w:ascii="Times New Roman" w:cs="Times New Roman" w:eastAsia="Times New Roman" w:hAnsi="Times New Roman"/>
          <w:sz w:val="18"/>
          <w:szCs w:val="18"/>
          <w:color w:val="010000"/>
        </w:rPr>
      </w:pPr>
    </w:p>
    <w:p>
      <w:pPr>
        <w:ind w:left="1300" w:firstLine="652"/>
        <w:spacing w:after="0" w:line="282" w:lineRule="auto"/>
        <w:tabs>
          <w:tab w:leader="none" w:pos="259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Cuba, Iran, North Korea and Syria).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69" w:right="339" w:bottom="1440" w:gutter="0" w:footer="0" w:header="0"/>
        </w:sectPr>
      </w:pPr>
    </w:p>
    <w:bookmarkStart w:id="8" w:name="page9"/>
    <w:bookmarkEnd w:id="8"/>
    <w:p>
      <w:pPr>
        <w:ind w:left="1380" w:hanging="215"/>
        <w:spacing w:after="0" w:line="282" w:lineRule="auto"/>
        <w:tabs>
          <w:tab w:leader="none" w:pos="1444" w:val="left"/>
        </w:tabs>
        <w:numPr>
          <w:ilvl w:val="1"/>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61" w:lineRule="exact"/>
        <w:rPr>
          <w:rFonts w:ascii="Times New Roman" w:cs="Times New Roman" w:eastAsia="Times New Roman" w:hAnsi="Times New Roman"/>
          <w:sz w:val="18"/>
          <w:szCs w:val="18"/>
          <w:color w:val="010000"/>
        </w:rPr>
      </w:pPr>
    </w:p>
    <w:p>
      <w:pPr>
        <w:ind w:left="1300" w:firstLine="652"/>
        <w:spacing w:after="0" w:line="282" w:lineRule="auto"/>
        <w:tabs>
          <w:tab w:leader="none" w:pos="2589" w:val="left"/>
        </w:tabs>
        <w:numPr>
          <w:ilvl w:val="3"/>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w:t>
      </w:r>
    </w:p>
    <w:p>
      <w:pPr>
        <w:spacing w:after="0" w:line="161" w:lineRule="exact"/>
        <w:rPr>
          <w:rFonts w:ascii="Times New Roman" w:cs="Times New Roman" w:eastAsia="Times New Roman" w:hAnsi="Times New Roman"/>
          <w:sz w:val="18"/>
          <w:szCs w:val="18"/>
          <w:color w:val="010000"/>
        </w:rPr>
      </w:pPr>
    </w:p>
    <w:p>
      <w:pPr>
        <w:ind w:left="1300" w:firstLine="652"/>
        <w:spacing w:after="0" w:line="282" w:lineRule="auto"/>
        <w:tabs>
          <w:tab w:leader="none" w:pos="2593" w:val="left"/>
        </w:tabs>
        <w:numPr>
          <w:ilvl w:val="3"/>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or involving a country or territory which at the time of such funding is the subject of comprehensive country-wide or territory-wide Sanctions, other than Cuba or Iran; or</w:t>
      </w:r>
    </w:p>
    <w:p>
      <w:pPr>
        <w:spacing w:after="0" w:line="161" w:lineRule="exact"/>
        <w:rPr>
          <w:rFonts w:ascii="Times New Roman" w:cs="Times New Roman" w:eastAsia="Times New Roman" w:hAnsi="Times New Roman"/>
          <w:sz w:val="18"/>
          <w:szCs w:val="18"/>
          <w:color w:val="010000"/>
        </w:rPr>
      </w:pPr>
    </w:p>
    <w:p>
      <w:pPr>
        <w:ind w:left="1300" w:firstLine="652"/>
        <w:spacing w:after="0" w:line="282" w:lineRule="auto"/>
        <w:tabs>
          <w:tab w:leader="none" w:pos="2593"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188" w:lineRule="exact"/>
        <w:rPr>
          <w:rFonts w:ascii="Times New Roman" w:cs="Times New Roman" w:eastAsia="Times New Roman" w:hAnsi="Times New Roman"/>
          <w:sz w:val="18"/>
          <w:szCs w:val="18"/>
          <w:color w:val="auto"/>
        </w:rPr>
      </w:pPr>
    </w:p>
    <w:p>
      <w:pPr>
        <w:jc w:val="both"/>
        <w:ind w:left="900" w:firstLine="485"/>
        <w:spacing w:after="0" w:line="266" w:lineRule="auto"/>
        <w:tabs>
          <w:tab w:leader="none" w:pos="1953" w:val="left"/>
        </w:tabs>
        <w:numPr>
          <w:ilvl w:val="2"/>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the past 5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75" w:lineRule="exact"/>
        <w:rPr>
          <w:rFonts w:ascii="Times New Roman" w:cs="Times New Roman" w:eastAsia="Times New Roman" w:hAnsi="Times New Roman"/>
          <w:sz w:val="18"/>
          <w:szCs w:val="18"/>
          <w:color w:val="010000"/>
        </w:rPr>
      </w:pPr>
    </w:p>
    <w:p>
      <w:pPr>
        <w:jc w:val="both"/>
        <w:ind w:left="900" w:firstLine="485"/>
        <w:spacing w:after="0" w:line="266" w:lineRule="auto"/>
        <w:tabs>
          <w:tab w:leader="none" w:pos="1943"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covenants that, regardless of Sanctions, it will not, directly or indirectly, use the proceeds of the transaction, or lend, contribute or otherwise make available such proceeds to any subsidiary, joint venture partner or other Person, to fund any activities of or business in or involving Cuba or Iran.</w:t>
      </w:r>
    </w:p>
    <w:p>
      <w:pPr>
        <w:spacing w:after="0" w:line="202"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each of the Registration Statement, the Time of Sale Prospectus and the Prospectus, (i) the Company and its subsidiaries have not incurred any material liability or obligation, direct or contingent, nor entered into any material transaction; (ii) the Company has not purchased any of its outstanding capital stock (except for acquisitions of capital stock by the Company pursuant to agreements that permit the Company to repurchase such shares upon the applicable party’s termination of service to the Company or in connection with the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of equity awards or grants of equity awards or forfeiture of equity awards outstanding as of such respective dates as of which information is given in each of the Registration Statement, the Time of Sale Prospectus and the Prospectus, in each case granted pursuant to equity compensation plans described in the Time of Sale Prospectus), short-term debt or long-term debt of the Company and its subsidiaries taken as a whole, except in each case as described in each of the Registration Statement, the Time of Sale Prospectus and the Prospectus, respectively.</w:t>
      </w:r>
    </w:p>
    <w:p>
      <w:pPr>
        <w:spacing w:after="0" w:line="234"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do not own any real property. The Company and its subsidiaries have good and marketable title to all personal property owned by them which is material to the business of the Company and its subsidiaries, taken as a whole, in each case free and clear of all liens, encumbrances and defects except such as are described in the Time of Sale Prospectus or such as do not materially affect the value of such property and do not interfere with the use made and proposed to be made of such property by the Company and its subsidiaries in any material respect; and any real property and buildings held under lease by the Company and its subsidiaries are held by them under valid, subsisting and, to the Company’s knowledge, enforceable leases with such exceptions as are not material and do not materially interfere with the use made and proposed to be made of such property and buildings by the Company and its subsidiaries, in each case except as described in the Time of Sale Prospectus.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69" w:right="339" w:bottom="1440" w:gutter="0" w:footer="0" w:header="0"/>
        </w:sectPr>
      </w:pPr>
    </w:p>
    <w:bookmarkStart w:id="9" w:name="page10"/>
    <w:bookmarkEnd w:id="9"/>
    <w:p>
      <w:pPr>
        <w:jc w:val="both"/>
        <w:ind w:firstLine="656"/>
        <w:spacing w:after="0" w:line="252" w:lineRule="auto"/>
        <w:tabs>
          <w:tab w:leader="none" w:pos="12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the Time of Sale Prospectus or the Prospectus, the Company and its subsidiaries owns, possesses or licenses, or can acquire on commercially reasonable terms, valid and enforceable rights to use all patents, patent rights, licenses, inventions, copyrights, know-how (including trade secrets and other unpatented and/or unpatentable proprietary or confidential information, systems or procedures), trademarks, service marks, trade names, domain names and other intellectual property (including all registrations and applications for registration of any of the foregoing, as applicable)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currently employed by them in connection with, or necessary for, the business as currently operated by them, except where the failure to own, possess, license, have the right to use or the ability to acquire any of the foregoing would not result, individually or in the aggregate, in a Material Adverse Effect on the Company and its subsidiaries, taken as a whole. The Company has not received any notice of any claim, action, suit or proceeding (i) alleging infringement, misappropriation or other violation of, or conflict with, any Intellectual Property rights of others or (ii) challenging the validity, enforceability or scope of, or the rights of the Company and/or its subsidiaries in or to, any Intellectual Property owned by or licensed to the Company or its subsidiaries, in each case which action, suit, proceeding or claim, individually or in the aggregate, if the subject of an unfavorable decision, ruling or finding, would reasonably be expected to have a Material Adverse Effect on the Company and its subsidiaries taken as a whole, and the Company is unaware of any facts that provide a reasonable basis for any such claim, action, suit or proceeding described in the immediately preceding clause (i) or (ii), which would individually or in the aggregate, reasonably be expected to have a Material Adverse Effect on the Company and its subsidiaries, taken as a whole. Except as would not, individually or in the aggregate, reasonably be expected to have a Material Adverse Effect on the Company and its subsidiaries, taken as a whole, the Company has taken reasonable steps in accordance with customary industry practice to maintain the confidentiality of all Intellectual Property, the value of which to the Company and its subsidiaries is contingent upon maintaining the confidentiality thereof. Each agreement pursuant to which the Company or its subsidiaries obtains any license or other rights to any Intellectual Property is a valid and binding agreement of the Company or its subsidiaries, as applicable, and is in full force and effect, and none of the Company or its subsidiaries or, to the knowledge of the Company, any other party thereto is in default or breach under any terms of any such agreement and, to the knowledge of the Company, no event or circumstance has occurred that, with notice or lapse of time or both, would constitute any event of default thereunder.</w:t>
      </w:r>
    </w:p>
    <w:p>
      <w:pPr>
        <w:spacing w:after="0" w:line="215" w:lineRule="exact"/>
        <w:rPr>
          <w:sz w:val="20"/>
          <w:szCs w:val="20"/>
          <w:color w:val="auto"/>
        </w:rPr>
      </w:pPr>
    </w:p>
    <w:p>
      <w:pPr>
        <w:jc w:val="both"/>
        <w:ind w:firstLine="656"/>
        <w:spacing w:after="0" w:line="266" w:lineRule="auto"/>
        <w:tabs>
          <w:tab w:leader="none" w:pos="12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statistical and market-related data included or incorporated by reference in the Registration Statement, the Time of Sale Prospectus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202" w:lineRule="exact"/>
        <w:rPr>
          <w:rFonts w:ascii="Times New Roman" w:cs="Times New Roman" w:eastAsia="Times New Roman" w:hAnsi="Times New Roman"/>
          <w:sz w:val="18"/>
          <w:szCs w:val="18"/>
          <w:color w:val="auto"/>
        </w:rPr>
      </w:pPr>
    </w:p>
    <w:p>
      <w:pPr>
        <w:jc w:val="both"/>
        <w:ind w:firstLine="656"/>
        <w:spacing w:after="0" w:line="254" w:lineRule="auto"/>
        <w:tabs>
          <w:tab w:leader="none" w:pos="12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Time of Sale Prospectus and the Prospectus, there is no currently pending action, suit, proceeding, inquiry or investigation before or brought by any Governmental Entity (including, without limitation, any action, suit, proceeding, inquiry or investigation before or brought by the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the European Commission, any competent authorities of the Member States of the European Economic Area (collectively, the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or any other Health Regulatory Agency (as defined below)), or any notified body now pending or, to the knowledge of the Company, threatened, against or affecting the Company or any of its subsidiaries, which would reasonably be expected to result in a Material Adverse Effect on the Company and its subsidiaries, taken as a whole; and the aggregate of all pending legal or governmental proceedings to which the Company or any of its subsidiaries is a party or of which any of their respective properties or assets is the subject which are not described in the Registration Statement, the Time of Sale Prospectus and the Prospectus, including ordinary routine litigation incidental to the business, would not reasonably be expected to result in a Material Adverse Effect on the Company and its subsidiaries, taken as a whole.</w:t>
      </w:r>
    </w:p>
    <w:p>
      <w:pPr>
        <w:spacing w:after="0" w:line="215"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submitted and possesses, or qualifies for applicable exemptions to, such valid and current registrations, listings, approvals, clearances, licenses, certificates, CE Certificates of Conformity, authorizations or permits and supplements or amendments thereto (collectively, “</w:t>
      </w:r>
      <w:r>
        <w:rPr>
          <w:rFonts w:ascii="Times New Roman" w:cs="Times New Roman" w:eastAsia="Times New Roman" w:hAnsi="Times New Roman"/>
          <w:sz w:val="18"/>
          <w:szCs w:val="18"/>
          <w:b w:val="1"/>
          <w:bCs w:val="1"/>
          <w:color w:val="auto"/>
        </w:rPr>
        <w:t>Health Care Authorizations</w:t>
      </w:r>
      <w:r>
        <w:rPr>
          <w:rFonts w:ascii="Times New Roman" w:cs="Times New Roman" w:eastAsia="Times New Roman" w:hAnsi="Times New Roman"/>
          <w:sz w:val="18"/>
          <w:szCs w:val="18"/>
          <w:color w:val="auto"/>
        </w:rPr>
        <w:t>”) issued or required by the appropriate local, state, federal, national, supranational or foreign regulatory agencies, bodies, notified bodies, or self-regulating organizations (collectively, “</w:t>
      </w:r>
      <w:r>
        <w:rPr>
          <w:rFonts w:ascii="Times New Roman" w:cs="Times New Roman" w:eastAsia="Times New Roman" w:hAnsi="Times New Roman"/>
          <w:sz w:val="18"/>
          <w:szCs w:val="18"/>
          <w:b w:val="1"/>
          <w:bCs w:val="1"/>
          <w:color w:val="auto"/>
        </w:rPr>
        <w:t>Health Regulatory Agencies</w:t>
      </w:r>
      <w:r>
        <w:rPr>
          <w:rFonts w:ascii="Times New Roman" w:cs="Times New Roman" w:eastAsia="Times New Roman" w:hAnsi="Times New Roman"/>
          <w:sz w:val="18"/>
          <w:szCs w:val="18"/>
          <w:color w:val="auto"/>
        </w:rPr>
        <w:t>”) necessary to conduct its business as described in the Registration Statement, the Time of Sale Prospectus and the Prospectus, including, without limitation, all such Health Care Authorizations required by the FDA, the Department of Health and Human Services, the European Commission, any competent authorities of the Member States of the EEA or any other Health Regulatory Agencies engaged in the regulation of medical devices, except where failure to obtain such Health Care Authorizations would not, individually or in the aggregate, be reasonably likely to have a Material Adverse Effect on the Company and its subsidiaries, taken as a whole. None of the Company nor its subsidiaries has received any notice of proceedings relating to the revocation or modification of, or non-compliance with, any such Health Care Authorization.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69" w:right="339" w:bottom="1440" w:gutter="0" w:footer="0" w:header="0"/>
        </w:sectPr>
      </w:pPr>
    </w:p>
    <w:bookmarkStart w:id="10" w:name="page11"/>
    <w:bookmarkEnd w:id="10"/>
    <w:p>
      <w:pPr>
        <w:jc w:val="both"/>
        <w:ind w:firstLine="656"/>
        <w:spacing w:after="0" w:line="251" w:lineRule="auto"/>
        <w:tabs>
          <w:tab w:leader="none" w:pos="12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the Company’s knowledge, each of the Company and its subsidiaries is, and has been, in compliance with all applicable Health Care Laws, and has not engaged in activities which are, as applicable, cause for false claims liability, civil penalties, or mandatory or permissive exclusion from Medicare, Medicaid or any other local, state, federal, national or similar foreign health care program, except where Company’s activities or failure to comply with all applicable Health Care Laws would not, individually or in the aggregate, be reasonably likely to have a Material Adverse Effect on the Company and its subsidiaries, taken as a whole; (ii) none of the Company or its subsidiaries has received any written notice of adverse filing, warning letter, untitled letter or other correspondence or notice from the FDA, the European Commission, any competent authorities of the Member States of the EEA or any other Health Regulatory Agency, or any other court or arbitrator, alleging or asserting material noncompliance with the Health Care Laws; (iii) the Company and its subsidiaries, and, to the Company’s knowledge, their respective directors, officers, employees or agents, are and have been in compliance with the applicable Health Care Laws, except where failure to comply with all applicable Health Care Laws would not, individually or in the aggregate, be reasonably likely to have a Material Adverse Effect on the Company and its subsidiaries, taken as a whole; (iv) except as disclosed in the Registration Statement, the Time of Sale Prospectus and the Prospectus, none of the Company or its subsidiaries has received written notice of any ongoing claim, action, suit, proceeding, hearing, enforcement, investigation, arbitration or other action from any Health Regulatory Agency, court, arbitrator or third party alleging that any product operation or activity is in violation of any Health Care Laws or has any knowledge that any such Health Regulatory Agency or third party is considering any such claim, litigation, arbitration, action, suit, investigation or proceeding; (v) none of the Company or its subsidiaries has received written notice that the FDA, any competent authorities of the Member States of the EEA or any other Health Regulatory Agency has taken, is taking or intends to take action to limit, suspend, modify or revoke any applicable Health Care Authorization or has any knowledge that any such Health Regulatory Agency is considering such action; (vi) each of the Company and its subsidiaries has filed, obtained, maintained or submitted all reports, documents, forms, notices, applications, records, claims, submissions and supplements or amendments as required by the FDA, any competent authorities of the Member States of the EEA or any other Health Care Laws and that all such reports, documents, forms, notices, applications, records, claims, submissions and supplements or amendments were complete, correct and not misleading on the date filed (or were corrected or supplemented by a subsequent submission), except where failure to file, obtain, maintain or submit such reports, documents, forms, notices, applications, records, claims, submissions and supplements or amendments would not, individually or in the aggregate, be reasonably likely to have a Material Adverse Effect on the Company and its subsidiaries, taken as a whole; (vii) none of the Company or its subsidiaries has, either voluntarily or involuntarily, initiated, conducted or issued or caused to be initiated, conducted or issued, any recall, market withdrawal or replacement, safety alert, post-sale warning, “dear doctor” letter, or other notice or action relating to the alleged lack of safety or efficacy of any product or any alleged product defect or violation (“</w:t>
      </w:r>
      <w:r>
        <w:rPr>
          <w:rFonts w:ascii="Times New Roman" w:cs="Times New Roman" w:eastAsia="Times New Roman" w:hAnsi="Times New Roman"/>
          <w:sz w:val="18"/>
          <w:szCs w:val="18"/>
          <w:b w:val="1"/>
          <w:bCs w:val="1"/>
          <w:color w:val="auto"/>
        </w:rPr>
        <w:t>Safety Notices</w:t>
      </w:r>
      <w:r>
        <w:rPr>
          <w:rFonts w:ascii="Times New Roman" w:cs="Times New Roman" w:eastAsia="Times New Roman" w:hAnsi="Times New Roman"/>
          <w:sz w:val="18"/>
          <w:szCs w:val="18"/>
          <w:color w:val="auto"/>
        </w:rPr>
        <w:t>”) and, to the Company’s knowledge, no third party has initiated or conducted any such notice or action; (viii) the Company is not aware of any Safety Notices with respect to any of the Company’s products or services, which would be reasonably likely to result in (A) a material change in labeling of any of the Company’s products, or (B) a termination or suspension of marketing or testing of any of the Company’s products; and (ix) none of the Company, any of its directors or officers, or to the Company’s knowledge, any of the Company’s employees or agents is or has been debarred, suspended or excluded from participation in any U.S. federal health care program or human research study or trial or equivalent foreign program, or has been convicted of any crime that would result in a debarment, suspension or exclusion from any foreign, federal or state government health care program or human research study or trial.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all health care laws applicable to the Company and necessary for the Company to conduct the business now operated or as proposed to be conducted by it as described in the Registration Statement, the Time of Sale Prospectus and the Prospectus, including, but not limited to: the Federal Food, Drug, and Cosmetic Act, the Anti-Kickback Statute (42 U.S.C. Section 1320a-7b(b)), the Civil Monetary Penalties Law (42 U.S.C. § 1320a-7a), the Physician Payments Sunshine Act (42 U.S.C. § 1320a-7h), the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(42 U.S.C. Section 1320d et seq.), as amended by the Health Information Technology for Economic and Clinical Health Act (42 U.S.C. Section 17921 et seq.), the exclusions law (42 U.S.C. § 1320a-7), the coverage and reimbursement provisions of Medicare (Title XVIII of the Social Security Act), Medicaid (Title XIX of the Social Security Act), any and all other applicable comparable local, state, federal, national, supranational and foreign health care laws and the regulations promulgated pursuant to such laws, each as amended from time to time.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769" w:right="339" w:bottom="1440" w:gutter="0" w:footer="0" w:header="0"/>
        </w:sectPr>
      </w:pPr>
    </w:p>
    <w:bookmarkStart w:id="11" w:name="page12"/>
    <w:bookmarkEnd w:id="11"/>
    <w:p>
      <w:pPr>
        <w:jc w:val="both"/>
        <w:ind w:firstLine="656"/>
        <w:spacing w:after="0" w:line="252" w:lineRule="auto"/>
        <w:tabs>
          <w:tab w:leader="none" w:pos="12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research studies and trials conducted by or on behalf of, or sponsored by, the Company, or in which the Company has participated, that are described in the Registration Statement, the Time of Sale Prospectus or the Prospectus, or the results of which are referred to in the Registration Statement, the Time of Sale Prospectus or the Prospectus, as applicable, were and, if still pending, are being, conducted in accordance with applicable law, standard medical and experimental protocols, procedures and controls pursuant to, where applicable, accepted professional and scientific standards for products or product candidates comparable to those being developed by the Company; (ii) the descriptions of the results of such studies and trials contained in the Registration Statement, the Time of Sale Prospectus or the Prospectus do not contain any misstatement of a material fact or omit to state a material fact necessary to make such statements not misleading; (iii) the Company has no knowledge of any research studies or trials not described in the Time of Sale Prospectus and the Prospectus the results of which reasonably call into question in any material respect the results of the research studies and trials described in the Registration Statement, the Time of Sale Prospectus or Prospectus; (iv) the Company has not received any written notices or correspondence from the FDA, the European Commission, any competent authorities of the Member States of the EEA or any Health Regulatory Agency or any institutional review board or comparable authority requiring or threatening the premature termination, suspension, material modification or clinical hold of any research studies or trials conducted by or on behalf of, or sponsored by, the Company or in which the Company has participated that are described in the Registration Statement, the Time of Sale Prospectus or the Prospectus, and there are no reasonable grounds for the same; and (v) there has not been any violation of applicable law or regulation by the Company in its product development efforts, submissions or reports to the FDA, the European Commission, any competent authorities of the Member States of the EEA or any other Health Regulatory Agency that could reasonably be expected to require investigation, corrective action or result in enforcement action which would reasonably be likely to have a Material Adverse Effect on the Company and its subsidiaries, taken as a whole.</w:t>
      </w:r>
    </w:p>
    <w:p>
      <w:pPr>
        <w:spacing w:after="0" w:line="220"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the Company’s products by or on behalf of the Company is being conducted in compliance with all applicable Health Care Laws, including, without limitation, the FDA’s current good manufacturing practice regulations at 21 CFR Part 820, and, to the extent applicable, the respective counterparts thereof promulgated by the EU, European Commission, any competent authorities of the Member States of the EEA or other Health Regulatory Agencies, except where the failure to so be in compliance would reasonably likely to have a Material Adverse Effect on the Company and its subsidiaries, taken as a whole. The Company has not had any manufacturing site (whether owned by the Company or that of a third party manufacturer for the Company’s products) subject to an FDA, European Commission, any competent authorities of the Member States of the EEA or other Health Regulatory Agency shutdown or import or export prohibition, nor received any FDA, European Commission, any competent authorities of the Member States of the EEA or other Health Regulatory Agency “warning letters,” or “untitled letters” requests to make material changes to the Company’s products, processes or operations, or similar correspondence or notice from the FDA, the European Commission, any competent authorities of the Member States of the EEA or other Health Regulatory Agency alleging or asserting material noncompliance with any applicable Health Care Laws, other than those that have been satisfactorily addressed and/or closed with the FDA, the European Commission, any competent authorities of the Member States of the EEA or other Health Regulatory Agency. To the knowledge of the Company, none of the FDA, the European Commission, any competent authorities of the Member States of the EEA or any other Health Regulatory Agency is considering such action.</w:t>
      </w:r>
    </w:p>
    <w:p>
      <w:pPr>
        <w:spacing w:after="0" w:line="214" w:lineRule="exact"/>
        <w:rPr>
          <w:rFonts w:ascii="Times New Roman" w:cs="Times New Roman" w:eastAsia="Times New Roman" w:hAnsi="Times New Roman"/>
          <w:sz w:val="18"/>
          <w:szCs w:val="18"/>
          <w:color w:val="auto"/>
        </w:rPr>
      </w:pPr>
    </w:p>
    <w:p>
      <w:pPr>
        <w:jc w:val="both"/>
        <w:ind w:firstLine="656"/>
        <w:spacing w:after="0" w:line="255" w:lineRule="auto"/>
        <w:tabs>
          <w:tab w:leader="none" w:pos="12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necessary actions to ensure that it is in compliance with all provisions of the Sarbanes-Oxley Act of 2002 and all rules and regulations promulgated thereunder or implementing the provisions thereof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that are then in effect and with which the Company is required to comply, and is actively taking steps to ensure that it will be in compliance with other provisions of the Sarbanes-Oxley Act not currently in effect, upon the effectiveness of such provisions.</w:t>
      </w:r>
    </w:p>
    <w:p>
      <w:pPr>
        <w:spacing w:after="0" w:line="2" w:lineRule="exact"/>
        <w:rPr>
          <w:rFonts w:ascii="Times New Roman" w:cs="Times New Roman" w:eastAsia="Times New Roman" w:hAnsi="Times New Roman"/>
          <w:sz w:val="18"/>
          <w:szCs w:val="18"/>
          <w:color w:val="auto"/>
        </w:rPr>
      </w:pPr>
    </w:p>
    <w:p>
      <w:pPr>
        <w:jc w:val="both"/>
        <w:ind w:firstLine="656"/>
        <w:spacing w:after="0" w:line="255" w:lineRule="auto"/>
        <w:tabs>
          <w:tab w:leader="none" w:pos="12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be reasonably likely to have a Material Adverse Effect on the Company and its subsidiaries, taken as a whole.</w:t>
      </w:r>
    </w:p>
    <w:p>
      <w:pPr>
        <w:spacing w:after="0" w:line="226" w:lineRule="exact"/>
        <w:rPr>
          <w:rFonts w:ascii="Times New Roman" w:cs="Times New Roman" w:eastAsia="Times New Roman" w:hAnsi="Times New Roman"/>
          <w:sz w:val="18"/>
          <w:szCs w:val="18"/>
          <w:color w:val="auto"/>
        </w:rPr>
      </w:pPr>
    </w:p>
    <w:p>
      <w:pPr>
        <w:jc w:val="both"/>
        <w:ind w:firstLine="656"/>
        <w:spacing w:after="0" w:line="256" w:lineRule="auto"/>
        <w:tabs>
          <w:tab w:leader="none" w:pos="12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are, in the Company’s reasonable judgment,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and its subsidiaries, taken as a whole, except as described in the Time of Sale Prospectus.</w:t>
      </w:r>
    </w:p>
    <w:p>
      <w:pPr>
        <w:spacing w:after="0" w:line="214" w:lineRule="exact"/>
        <w:rPr>
          <w:rFonts w:ascii="Times New Roman" w:cs="Times New Roman" w:eastAsia="Times New Roman" w:hAnsi="Times New Roman"/>
          <w:sz w:val="18"/>
          <w:szCs w:val="18"/>
          <w:color w:val="auto"/>
        </w:rPr>
      </w:pPr>
    </w:p>
    <w:p>
      <w:pPr>
        <w:jc w:val="both"/>
        <w:ind w:firstLine="656"/>
        <w:spacing w:after="0" w:line="256" w:lineRule="auto"/>
        <w:tabs>
          <w:tab w:leader="none" w:pos="12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all certificates, authorizations and permits issued by the appropriate federal, state or foreign regulatory authorities necessary to conduct their respective businesses, except where the failure to obtain such certificates, authorizations and permits would not, individually or in the aggregate, be reasonably likely to have a Material Adverse Effect on the Company and its subsidiaries, taken as a whole, and neither the Company nor any of its subsidiaries has received any notice of proceedings relating to the revocation or modification of any such certificate, authorization or permit which, individually or in the aggregate, if the subject of an unfavorable decision, ruling or finding, would have a Material Adverse Effect on the Company and its subsidiaries, taken as a whole, except as described in the Time of Sale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769" w:right="339" w:bottom="1440" w:gutter="0" w:footer="0" w:header="0"/>
        </w:sectPr>
      </w:pPr>
    </w:p>
    <w:bookmarkStart w:id="12" w:name="page13"/>
    <w:bookmarkEnd w:id="12"/>
    <w:p>
      <w:pPr>
        <w:jc w:val="both"/>
        <w:ind w:firstLine="656"/>
        <w:spacing w:after="0" w:line="254" w:lineRule="auto"/>
        <w:tabs>
          <w:tab w:leader="none" w:pos="12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taken as a whole,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215" w:lineRule="exact"/>
        <w:rPr>
          <w:rFonts w:ascii="Times New Roman" w:cs="Times New Roman" w:eastAsia="Times New Roman" w:hAnsi="Times New Roman"/>
          <w:sz w:val="18"/>
          <w:szCs w:val="18"/>
          <w:color w:val="auto"/>
        </w:rPr>
      </w:pPr>
    </w:p>
    <w:p>
      <w:pPr>
        <w:jc w:val="both"/>
        <w:ind w:firstLine="656"/>
        <w:spacing w:after="0" w:line="255" w:lineRule="auto"/>
        <w:tabs>
          <w:tab w:leader="none" w:pos="12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Time of Sale Prospectus or the Registration Statement,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2" w:lineRule="exact"/>
        <w:rPr>
          <w:rFonts w:ascii="Times New Roman" w:cs="Times New Roman" w:eastAsia="Times New Roman" w:hAnsi="Times New Roman"/>
          <w:sz w:val="18"/>
          <w:szCs w:val="18"/>
          <w:color w:val="auto"/>
        </w:rPr>
      </w:pPr>
    </w:p>
    <w:p>
      <w:pPr>
        <w:jc w:val="both"/>
        <w:ind w:firstLine="656"/>
        <w:spacing w:after="0" w:line="252" w:lineRule="auto"/>
        <w:tabs>
          <w:tab w:leader="none" w:pos="12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filed all federal, state, local and foreign tax returns required to be filed through the date of this Agreement or have requested extensions thereof and have paid all taxes required to be paid thereon or pursuant to any assessment (except for cases in which the failure to file or pay would not have a Material Adverse Effect on the Company and its subsidiaries, taken as a whole, or, except as currently being contested in good faith and for which adequate reserves required by U.S. GAAP have been established), and no unpaid tax deficiency has been determined adversely to the Company or any of its subsidiaries which has had (nor does the Company nor any of its subsidiaries have any notice or knowledge of any unpaid tax deficiency which could reasonably be expected to be determined adversely to the Company or its subsidiaries and which could reasonably be expected to have) a Material Adverse Effect on the Company and its subsidiaries, taken as a whole.</w:t>
      </w:r>
    </w:p>
    <w:p>
      <w:pPr>
        <w:spacing w:after="0" w:line="21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w:t>
      </w:r>
    </w:p>
    <w:p>
      <w:pPr>
        <w:spacing w:after="0" w:line="223" w:lineRule="exact"/>
        <w:rPr>
          <w:rFonts w:ascii="Times New Roman" w:cs="Times New Roman" w:eastAsia="Times New Roman" w:hAnsi="Times New Roman"/>
          <w:sz w:val="18"/>
          <w:szCs w:val="18"/>
          <w:color w:val="auto"/>
        </w:rPr>
      </w:pPr>
    </w:p>
    <w:p>
      <w:pPr>
        <w:jc w:val="both"/>
        <w:ind w:firstLine="656"/>
        <w:spacing w:after="0" w:line="255" w:lineRule="auto"/>
        <w:tabs>
          <w:tab w:leader="none" w:pos="12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w:t>
      </w:r>
    </w:p>
    <w:p>
      <w:pPr>
        <w:spacing w:after="0" w:line="21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Shares in connection with the offering when the Prospectus is not yet available to prospective purchasers, none of (i) the Time of Sale Prospectus, (ii) any free writing prospectus, when considered together with the Time of Sale Prospectus, and (iii)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12" w:right="339" w:bottom="1440" w:gutter="0" w:footer="0" w:header="0"/>
        </w:sectPr>
      </w:pPr>
    </w:p>
    <w:bookmarkStart w:id="13" w:name="page14"/>
    <w:bookmarkEnd w:id="13"/>
    <w:p>
      <w:pPr>
        <w:jc w:val="both"/>
        <w:ind w:firstLine="656"/>
        <w:spacing w:after="0" w:line="253" w:lineRule="auto"/>
        <w:tabs>
          <w:tab w:leader="none" w:pos="12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described in the Time of Sale Prospectus or the Registration Statement, there has been no security breach or incident, unauthorized access or disclosure, or other compromise of or relating to the Company’s or its subsidiaries’ information technology and computer systems, networks, hardware, software, data and databases (including the data and information of their respective customers, employees, suppliers, vendors and any third-party data maintained, processed or stored by the Company and its subsidiaries, and any such data processed or stored by third parties on behalf of the Company and its subsidiaries),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except for those that have been remedied without material cost or liability; (ii) neither the Company nor its subsidiaries have been notified of, and have no knowledge of any event or condition that would reasonably be expected to result in, any security breach or incident, unauthorized access or disclosure or other compromise to their IT Systems and Data; and (iii) the Company and its subsidiaries, as a whole,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judgments, orders, rules and regulations of any Governmental Entity, internal policies and contractual obligations relating to the privacy and security of IT Systems and Data and to the protection of such IT Systems and Data from unauthorized use, access, misappropriation or modification.</w:t>
      </w:r>
    </w:p>
    <w:p>
      <w:pPr>
        <w:spacing w:after="0" w:line="216" w:lineRule="exact"/>
        <w:rPr>
          <w:rFonts w:ascii="Times New Roman" w:cs="Times New Roman" w:eastAsia="Times New Roman" w:hAnsi="Times New Roman"/>
          <w:sz w:val="18"/>
          <w:szCs w:val="18"/>
          <w:color w:val="auto"/>
        </w:rPr>
      </w:pPr>
    </w:p>
    <w:p>
      <w:pPr>
        <w:ind w:firstLine="656"/>
        <w:spacing w:after="0" w:line="282" w:lineRule="auto"/>
        <w:tabs>
          <w:tab w:leader="none" w:pos="12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debt securities or preferred stock issued, or guaranteed by, the Company or any of its subsidiaries that are rated by a “nationally recognized statistical rating organization,” as such term is defined in Section 3(a)(62) of the Exchange Act.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201" w:lineRule="exact"/>
        <w:rPr>
          <w:sz w:val="20"/>
          <w:szCs w:val="20"/>
          <w:color w:val="auto"/>
        </w:rPr>
      </w:pPr>
    </w:p>
    <w:p>
      <w:pPr>
        <w:ind w:firstLine="656"/>
        <w:spacing w:after="0" w:line="284" w:lineRule="auto"/>
        <w:tabs>
          <w:tab w:leader="none" w:pos="1296"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Representations and Warranties of the Selling Shareholder. </w:t>
      </w:r>
      <w:r>
        <w:rPr>
          <w:rFonts w:ascii="Times New Roman" w:cs="Times New Roman" w:eastAsia="Times New Roman" w:hAnsi="Times New Roman"/>
          <w:sz w:val="18"/>
          <w:szCs w:val="18"/>
          <w:color w:val="auto"/>
        </w:rPr>
        <w:t>The Selling Shareholder represents and warrants to and agrees with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that:</w:t>
      </w:r>
    </w:p>
    <w:p>
      <w:pPr>
        <w:spacing w:after="0" w:line="160" w:lineRule="exact"/>
        <w:rPr>
          <w:sz w:val="20"/>
          <w:szCs w:val="20"/>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has been duly authorized, executed and delivered by or on behalf of the Selling Shareholder.</w:t>
      </w:r>
    </w:p>
    <w:p>
      <w:pPr>
        <w:spacing w:after="0" w:line="225" w:lineRule="exact"/>
        <w:rPr>
          <w:rFonts w:ascii="Times New Roman" w:cs="Times New Roman" w:eastAsia="Times New Roman" w:hAnsi="Times New Roman"/>
          <w:sz w:val="18"/>
          <w:szCs w:val="18"/>
          <w:color w:val="010000"/>
        </w:rPr>
      </w:pPr>
    </w:p>
    <w:p>
      <w:pPr>
        <w:jc w:val="both"/>
        <w:ind w:firstLine="656"/>
        <w:spacing w:after="0" w:line="253"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Selling Shareholder of, and the performance by the Selling Shareholder of its obligations under, this Agreement, the Custody Agreement signed by the Selling Shareholder and American Stock Transfer &amp; Trust Company, LLC, as Custodian, relating to the deposit of the Shares to be sold by the Selling Shareholder (the “</w:t>
      </w:r>
      <w:r>
        <w:rPr>
          <w:rFonts w:ascii="Times New Roman" w:cs="Times New Roman" w:eastAsia="Times New Roman" w:hAnsi="Times New Roman"/>
          <w:sz w:val="18"/>
          <w:szCs w:val="18"/>
          <w:b w:val="1"/>
          <w:bCs w:val="1"/>
          <w:color w:val="auto"/>
        </w:rPr>
        <w:t>Custody Agreement</w:t>
      </w:r>
      <w:r>
        <w:rPr>
          <w:rFonts w:ascii="Times New Roman" w:cs="Times New Roman" w:eastAsia="Times New Roman" w:hAnsi="Times New Roman"/>
          <w:sz w:val="18"/>
          <w:szCs w:val="18"/>
          <w:color w:val="auto"/>
        </w:rPr>
        <w:t>”) and the Power of Attorney appointing certain individuals as the Selling Shareholder’s attorneys-in-fact to the extent set forth therein, relating to the transactions contemplated hereby and by the Registration Statement (the “</w:t>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 will not contravene any provision of applicable law, or the certificate of incorporation or by-laws of the Selling Shareholder (if the Selling Shareholder is a corporation) or the limited partnership agreement or certificate of limited partnership (if the Selling Shareholder is a limited partnership), or any agreement or other instrument binding upon the Selling Shareholder or any judgment, order or decree of any governmental body, agency or court having jurisdiction over the Selling Shareholder, and no consent, approval, authorization or order of, or qualification with, any governmental body or agency is required for the performance by the Selling Shareholder of its obligations under this Agreement or the Custody Agreement or Power of Attorney of the Selling Shareholder, except such as may be required by the securities or Blue Sky laws of the various states in connection with the offer and sale of the Shares.</w:t>
      </w:r>
    </w:p>
    <w:p>
      <w:pPr>
        <w:spacing w:after="0" w:line="232" w:lineRule="exact"/>
        <w:rPr>
          <w:rFonts w:ascii="Times New Roman" w:cs="Times New Roman" w:eastAsia="Times New Roman" w:hAnsi="Times New Roman"/>
          <w:sz w:val="18"/>
          <w:szCs w:val="18"/>
          <w:color w:val="auto"/>
        </w:rPr>
      </w:pPr>
    </w:p>
    <w:p>
      <w:pPr>
        <w:jc w:val="both"/>
        <w:ind w:firstLine="575"/>
        <w:spacing w:after="0" w:line="258" w:lineRule="auto"/>
        <w:tabs>
          <w:tab w:leader="none" w:pos="12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has, and on the Closing Date will have, valid title to, or a valid “security entitlement” within the meaning of Section 8-501 of the New York Uniform Commercial Code in respect of, the Shares to be sold by the Selling Shareholder free and clear of all security interests, claims, liens, equities or other encumbrances and the legal right and power, and all authorization and approval required by law, to enter into this Agreement, the Custody Agreement and the Power of Attorney and to sell, transfer and deliver the Shares to be sold by the Selling Shareholder or a security entitlement in respect of such Shares.</w:t>
      </w:r>
    </w:p>
    <w:p>
      <w:pPr>
        <w:spacing w:after="0" w:line="210" w:lineRule="exact"/>
        <w:rPr>
          <w:rFonts w:ascii="Times New Roman" w:cs="Times New Roman" w:eastAsia="Times New Roman" w:hAnsi="Times New Roman"/>
          <w:sz w:val="18"/>
          <w:szCs w:val="18"/>
          <w:color w:val="auto"/>
        </w:rPr>
      </w:pPr>
    </w:p>
    <w:p>
      <w:pPr>
        <w:ind w:right="20" w:firstLine="575"/>
        <w:spacing w:after="0" w:line="282" w:lineRule="auto"/>
        <w:tabs>
          <w:tab w:leader="none" w:pos="129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Custody Agreement and the Power of Attorney have been duly authorized, executed and delivered by the Selling Shareholder and are valid and binding agreements of the Selling Shareholder.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769" w:right="339" w:bottom="1440" w:gutter="0" w:footer="0" w:header="0"/>
        </w:sectPr>
      </w:pPr>
    </w:p>
    <w:bookmarkStart w:id="14" w:name="page15"/>
    <w:bookmarkEnd w:id="14"/>
    <w:p>
      <w:pPr>
        <w:jc w:val="both"/>
        <w:ind w:firstLine="575"/>
        <w:spacing w:after="0" w:line="253" w:lineRule="auto"/>
        <w:tabs>
          <w:tab w:leader="none" w:pos="129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for the Shares to be sold by the Selling Shareholder pursuant to this Agreement, delivery of such Shares, as directed by the Underwriters, to Cede &amp; 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or such other nominee as may be designated by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New York Uniform Commercial Code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to such Shares),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asserted against the Underwriters with respect to such security entitlement; for purposes of this representation, the Selling Shareholder may assume that when such payment, delivery and crediting occur,</w:t>
      </w:r>
    </w:p>
    <w:p>
      <w:pPr>
        <w:jc w:val="both"/>
        <w:ind w:right="20" w:firstLine="8"/>
        <w:spacing w:after="0" w:line="253" w:lineRule="auto"/>
        <w:tabs>
          <w:tab w:leader="none" w:pos="2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215" w:lineRule="exact"/>
        <w:rPr>
          <w:rFonts w:ascii="Times New Roman" w:cs="Times New Roman" w:eastAsia="Times New Roman" w:hAnsi="Times New Roman"/>
          <w:sz w:val="18"/>
          <w:szCs w:val="18"/>
          <w:color w:val="auto"/>
        </w:rPr>
      </w:pPr>
    </w:p>
    <w:p>
      <w:pPr>
        <w:jc w:val="both"/>
        <w:ind w:firstLine="575"/>
        <w:spacing w:after="0" w:line="258" w:lineRule="auto"/>
        <w:tabs>
          <w:tab w:leader="none" w:pos="128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has no reason to believe that the representations and warranties of the Company contained in Section 2 are not true and correct, is familiar with the Registration Statement, the Time of Sale Prospectus and the Prospectus and has no knowledge of any material fact, condition or information not disclosed in the Time of Sale Prospectus or the Prospectus that has had, or may have, a material adverse effect on the Company and its subsidiaries, taken as a whole. The Selling Shareholder is not prompted by any information concerning the Company or its subsidiaries which is not set forth in the Time of Sale Prospectus to sell its Shares pursuant to this Agreement.</w:t>
      </w:r>
    </w:p>
    <w:p>
      <w:pPr>
        <w:spacing w:after="0" w:line="210" w:lineRule="exact"/>
        <w:rPr>
          <w:rFonts w:ascii="Times New Roman" w:cs="Times New Roman" w:eastAsia="Times New Roman" w:hAnsi="Times New Roman"/>
          <w:sz w:val="18"/>
          <w:szCs w:val="18"/>
          <w:color w:val="auto"/>
        </w:rPr>
      </w:pPr>
    </w:p>
    <w:p>
      <w:pPr>
        <w:jc w:val="both"/>
        <w:ind w:firstLine="575"/>
        <w:spacing w:after="0" w:line="25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representations and warranties set forth in this paragraph 2(g) are limited to statements or omissions made in reliance upon information relating to the Selling Shareholder furnished to the Company in writing by the Selling Shareholder expressly for use in the Registration Statement, the Time of Sale Prospectus, the Prospectus or any amendments or supplements thereto.</w:t>
      </w:r>
    </w:p>
    <w:p>
      <w:pPr>
        <w:spacing w:after="0" w:line="224" w:lineRule="exact"/>
        <w:rPr>
          <w:rFonts w:ascii="Times New Roman" w:cs="Times New Roman" w:eastAsia="Times New Roman" w:hAnsi="Times New Roman"/>
          <w:sz w:val="18"/>
          <w:szCs w:val="18"/>
          <w:color w:val="auto"/>
        </w:rPr>
      </w:pPr>
    </w:p>
    <w:p>
      <w:pPr>
        <w:ind w:firstLine="575"/>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Selling Shareholder or any of its subsidiaries, or, to the knowledge of the Selling Shareholder, any director, officer, employee, agent, representative, or affiliate thereof, is a Person that is, or is owned or controlled by one or more Persons that are:</w:t>
      </w:r>
    </w:p>
    <w:p>
      <w:pPr>
        <w:spacing w:after="0" w:line="20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3"/>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subject of any Sanctions, or</w:t>
      </w:r>
    </w:p>
    <w:p>
      <w:pPr>
        <w:spacing w:after="0" w:line="225" w:lineRule="exact"/>
        <w:rPr>
          <w:rFonts w:ascii="Times New Roman" w:cs="Times New Roman" w:eastAsia="Times New Roman" w:hAnsi="Times New Roman"/>
          <w:sz w:val="18"/>
          <w:szCs w:val="18"/>
          <w:color w:val="010000"/>
        </w:rPr>
      </w:pPr>
    </w:p>
    <w:p>
      <w:pPr>
        <w:ind w:left="1300" w:firstLine="652"/>
        <w:spacing w:after="0" w:line="282" w:lineRule="auto"/>
        <w:tabs>
          <w:tab w:leader="none" w:pos="2593"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Cuba, Iran, North Korea and Syria).</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946" w:val="left"/>
        </w:tabs>
        <w:numPr>
          <w:ilvl w:val="2"/>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Selling Shareholder will not, directly or indirectly, use the proceeds of the offering, or lend, contribute or otherwise make available such proceeds to any subsidiary, joint venture partner or other Person:</w:t>
      </w:r>
    </w:p>
    <w:p>
      <w:pPr>
        <w:spacing w:after="0" w:line="161" w:lineRule="exact"/>
        <w:rPr>
          <w:rFonts w:ascii="Times New Roman" w:cs="Times New Roman" w:eastAsia="Times New Roman" w:hAnsi="Times New Roman"/>
          <w:sz w:val="18"/>
          <w:szCs w:val="18"/>
          <w:color w:val="010000"/>
        </w:rPr>
      </w:pPr>
    </w:p>
    <w:p>
      <w:pPr>
        <w:ind w:left="1300" w:firstLine="652"/>
        <w:spacing w:after="0" w:line="282" w:lineRule="auto"/>
        <w:tabs>
          <w:tab w:leader="none" w:pos="2589" w:val="left"/>
        </w:tabs>
        <w:numPr>
          <w:ilvl w:val="3"/>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161" w:lineRule="exact"/>
        <w:rPr>
          <w:rFonts w:ascii="Times New Roman" w:cs="Times New Roman" w:eastAsia="Times New Roman" w:hAnsi="Times New Roman"/>
          <w:sz w:val="18"/>
          <w:szCs w:val="18"/>
          <w:color w:val="010000"/>
        </w:rPr>
      </w:pPr>
    </w:p>
    <w:p>
      <w:pPr>
        <w:ind w:left="1300" w:firstLine="652"/>
        <w:spacing w:after="0" w:line="282" w:lineRule="auto"/>
        <w:tabs>
          <w:tab w:leader="none" w:pos="2593"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769" w:right="339" w:bottom="1440" w:gutter="0" w:footer="0" w:header="0"/>
        </w:sectPr>
      </w:pPr>
    </w:p>
    <w:bookmarkStart w:id="15" w:name="page16"/>
    <w:bookmarkEnd w:id="15"/>
    <w:p>
      <w:pPr>
        <w:jc w:val="both"/>
        <w:ind w:left="660" w:firstLine="644"/>
        <w:spacing w:after="0" w:line="266" w:lineRule="auto"/>
        <w:tabs>
          <w:tab w:leader="none" w:pos="1956"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5 years, the Selling Shareholder has not knowingly engaged in, is not now knowingly engaged in, and will not engage in, any dealings or transactions with any Person, or in any country or territory, that at the time of the dealing or transaction is or was the subject of Sanctions.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46"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 of the Selling Shareholder or its subsidiaries, or, to the knowledge of the Selling Shareholder, any director, officer, employee, agent, representative, or affiliate thereof has taken or will take any action in furtherance of an offer, payment, promise to pay, or authorization or approval of the payment giving or receipt of money, property, gifts or anything else of value, directly or indirectly, to any Government Official in order to influence official action, or to any person in violation of any applicable anti-corruption laws; (b) the Selling Shareholder and its subsidiaries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(c) neither the Selling Shareholder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21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0"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Selling Shareholder and its subsidiaries are and have been conducted at all times in material compliance with all applicable Anti-Money Laundering Laws, and no action, suit or proceeding by or before any court or governmental agency, authority or body or any arbitrator involving the Selling Shareholder or any of its subsidiaries with respect to the Anti-Money Laundering Laws is pending or, to the best knowledge of the Selling Shareholder, threatened.</w:t>
      </w:r>
    </w:p>
    <w:p>
      <w:pPr>
        <w:spacing w:after="0" w:line="206" w:lineRule="exact"/>
        <w:rPr>
          <w:rFonts w:ascii="Times New Roman" w:cs="Times New Roman" w:eastAsia="Times New Roman" w:hAnsi="Times New Roman"/>
          <w:sz w:val="18"/>
          <w:szCs w:val="18"/>
          <w:color w:val="auto"/>
        </w:rPr>
      </w:pPr>
    </w:p>
    <w:p>
      <w:pPr>
        <w:jc w:val="both"/>
        <w:ind w:firstLine="575"/>
        <w:spacing w:after="0" w:line="261"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represents and warrants that it is not (i) an employee benefit plan subject to Title I of the Employee Retirement Income Security Act of 1974, as amended (“ERISA”), (ii) a plan or account subject to Section 4975 of the Internal Revenue Code of 1986, as amended or</w:t>
      </w: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deemed to hold “plan assets” of any such plan or account under Section 3(42) of ERISA, 29 C.F.R. 2510.3-101, or otherwise.</w:t>
      </w:r>
    </w:p>
    <w:p>
      <w:pPr>
        <w:spacing w:after="0" w:line="231"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2"/>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Agreements to Sell and Purchase</w:t>
      </w:r>
      <w:r>
        <w:rPr>
          <w:rFonts w:ascii="Times New Roman" w:cs="Times New Roman" w:eastAsia="Times New Roman" w:hAnsi="Times New Roman"/>
          <w:sz w:val="18"/>
          <w:szCs w:val="18"/>
          <w:color w:val="auto"/>
        </w:rPr>
        <w:t>. The Company hereby agrees to sell to the several Underwriters, and each Underwriter, upon the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representations and warranties herein contained, but subject to the conditions hereinafter stated, agrees, severally and not jointly, to purchase from the Company at $20.68 per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the number of Firm Shares (subject to such adjustments to eliminate fractional shares as you may determine) that bears the same proportion to the number of Firm Shares to be sold by the Company as the number of Firm Shares set forth in Schedule II hereto opposite the name of such Underwriter bears to the total number of Firm Shares. The Selling Shareholder hereby agrees to sell to the several Underwriters, and each Underwriter, upon the basis of the representations and warranties herein contained, but subject to the conditions hereinafter stated, agrees, severally and not jointly, to purchase from the Selling Shareholder at the Purchase Price the number of Firm Shares (subject to such adjustments to eliminate fractional shares as you may determine) that bears the same proportion to the number of Firm Shares to be sold by the Selling Shareholder as the number of Firm Shares set forth in Schedule II hereto opposite the name of such Underwriter bears to the total number of Firm Shares.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478,507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5 hereof. On each day, if any, that Additional Shares are to be purchased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each Underwriter agrees, severally and not jointly, to purchase the number of Additional Shares (subject to such adjustments to eliminate fractional shares as you may determine) that bears the same proportion to the total number of Additional Shares to be purchased on such Option Closing Date as the number of Firm Shares set forth in Schedule II hereto opposite the name of such Underwriter bears to the total number of Firm Shares.</w:t>
      </w:r>
    </w:p>
    <w:p>
      <w:pPr>
        <w:spacing w:after="0" w:line="188" w:lineRule="exact"/>
        <w:rPr>
          <w:sz w:val="20"/>
          <w:szCs w:val="20"/>
          <w:color w:val="auto"/>
        </w:rPr>
      </w:pPr>
    </w:p>
    <w:p>
      <w:pPr>
        <w:jc w:val="both"/>
        <w:ind w:firstLine="656"/>
        <w:spacing w:after="0" w:line="261" w:lineRule="auto"/>
        <w:tabs>
          <w:tab w:leader="none" w:pos="1296" w:val="left"/>
        </w:tabs>
        <w:numPr>
          <w:ilvl w:val="0"/>
          <w:numId w:val="23"/>
        </w:numPr>
        <w:rPr>
          <w:rFonts w:ascii="Times New Roman" w:cs="Times New Roman" w:eastAsia="Times New Roman" w:hAnsi="Times New Roman"/>
          <w:sz w:val="18"/>
          <w:szCs w:val="18"/>
          <w:i w:val="1"/>
          <w:iCs w:val="1"/>
          <w:color w:val="010000"/>
        </w:rPr>
      </w:pP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Sellers are advised by you that the Underwriters propose to make a public offering of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portions of the Shares as soon after this Agreement has become effective as in your judgment is advisable. The Sellers are further advised by you that the Shares are to be offered to the public initially at $22.00 per share (the “</w:t>
      </w: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 and to certain dealers selected by you at a price that represents a concession not in excess of $0.79200 per share under the Public Offering Price.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769" w:right="339" w:bottom="1440" w:gutter="0" w:footer="0" w:header="0"/>
        </w:sectPr>
      </w:pPr>
    </w:p>
    <w:bookmarkStart w:id="16" w:name="page17"/>
    <w:bookmarkEnd w:id="16"/>
    <w:p>
      <w:pPr>
        <w:jc w:val="both"/>
        <w:ind w:firstLine="656"/>
        <w:spacing w:after="0" w:line="261" w:lineRule="auto"/>
        <w:tabs>
          <w:tab w:leader="none" w:pos="1296" w:val="left"/>
        </w:tabs>
        <w:numPr>
          <w:ilvl w:val="0"/>
          <w:numId w:val="24"/>
        </w:numPr>
        <w:rPr>
          <w:rFonts w:ascii="Times New Roman" w:cs="Times New Roman" w:eastAsia="Times New Roman" w:hAnsi="Times New Roman"/>
          <w:sz w:val="18"/>
          <w:szCs w:val="18"/>
          <w:i w:val="1"/>
          <w:iCs w:val="1"/>
          <w:color w:val="010000"/>
        </w:rPr>
      </w:pPr>
      <w:r>
        <w:rPr>
          <w:rFonts w:ascii="Times New Roman" w:cs="Times New Roman" w:eastAsia="Times New Roman" w:hAnsi="Times New Roman"/>
          <w:sz w:val="18"/>
          <w:szCs w:val="18"/>
          <w:i w:val="1"/>
          <w:iCs w:val="1"/>
          <w:color w:val="auto"/>
        </w:rPr>
        <w:t>Payment and Delivery</w:t>
      </w:r>
      <w:r>
        <w:rPr>
          <w:rFonts w:ascii="Times New Roman" w:cs="Times New Roman" w:eastAsia="Times New Roman" w:hAnsi="Times New Roman"/>
          <w:sz w:val="18"/>
          <w:szCs w:val="18"/>
          <w:color w:val="auto"/>
        </w:rPr>
        <w:t>. Payment for the Firm Shares to be sold by each Seller shall be made to such Seller in Federal or other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available in New York City against delivery of such Firm Shares for the respective accounts of the several Underwriters at 10:00 a.m., New York City time, on October 19, 2020, or at such other time as shall be designated in writing by you.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 for any Additional Shares to be sold by each Seller shall be made to such Seller in Federal or other funds immediately available in New York City against delivery of such Additional Shares for the respective accounts of the several Underwriters at 10:00 a.m., New York City time, on the date specified in the corresponding notice described in Section 3 or at such other time as shall be designated in writing by you.</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Firm Shares and Additional Shares shall be registered in such names and in such denominations as you shall request in writing not later than one full business day prior to the Closing Date or the applicable Option Closing Date, as the case may be. The Firm Shares and Additional Shares shall be delivered to you on the Closing Date or an Option Closing Date, as the case may be, for the respective accounts of the several Underwriters. The Purchase Price payable by the Underwriters shall be reduced by (i) any transfer taxes paid by, or on behalf of, the Underwriters in connection with the transfer of the Shares to the Underwriters duly paid and (ii) any withholding required by law.</w:t>
      </w:r>
    </w:p>
    <w:p>
      <w:pPr>
        <w:spacing w:after="0" w:line="181" w:lineRule="exact"/>
        <w:rPr>
          <w:sz w:val="20"/>
          <w:szCs w:val="20"/>
          <w:color w:val="auto"/>
        </w:rPr>
      </w:pPr>
    </w:p>
    <w:p>
      <w:pPr>
        <w:ind w:firstLine="656"/>
        <w:spacing w:after="0" w:line="284" w:lineRule="auto"/>
        <w:tabs>
          <w:tab w:leader="none" w:pos="1296" w:val="left"/>
        </w:tabs>
        <w:numPr>
          <w:ilvl w:val="0"/>
          <w:numId w:val="25"/>
        </w:numPr>
        <w:rPr>
          <w:rFonts w:ascii="Times New Roman" w:cs="Times New Roman" w:eastAsia="Times New Roman" w:hAnsi="Times New Roman"/>
          <w:sz w:val="18"/>
          <w:szCs w:val="18"/>
          <w:i w:val="1"/>
          <w:iCs w:val="1"/>
          <w:color w:val="010000"/>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Sellers to sell the Shares to the Underwriters and the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Underwriters to purchase and pay for the Shares on the Closing Date are subject to the following conditions:</w:t>
      </w:r>
    </w:p>
    <w:p>
      <w:pPr>
        <w:spacing w:after="0" w:line="160" w:lineRule="exact"/>
        <w:rPr>
          <w:sz w:val="20"/>
          <w:szCs w:val="20"/>
          <w:color w:val="auto"/>
        </w:rPr>
      </w:pPr>
    </w:p>
    <w:p>
      <w:pPr>
        <w:jc w:val="both"/>
        <w:ind w:firstLine="656"/>
        <w:spacing w:after="0" w:line="256" w:lineRule="auto"/>
        <w:tabs>
          <w:tab w:leader="none" w:pos="1293"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Subsequent to the execution and delivery of this Agreement and prior to the Closing Date (i) no order suspending the effectiveness of the Registration Statement shall be in effect, and no proceeding for such purpose or pursuant to Section 8A under the Securities Act shall be pending before or threatened by the Commission and (ii)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your judgment, is material and adverse and that makes it, in your judgment, impracticable to market the Shares on the terms and in the manner contemplated in the Time of Sale Prospectus.</w:t>
      </w:r>
    </w:p>
    <w:p>
      <w:pPr>
        <w:spacing w:after="0" w:line="187"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w:t>
      </w:r>
    </w:p>
    <w:p>
      <w:pPr>
        <w:spacing w:after="0" w:line="252"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0" w:val="left"/>
        </w:tabs>
        <w:numPr>
          <w:ilvl w:val="1"/>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certificate, dated the Closing Date and signed by an executive officer of the Company, to the effect set forth in Section 6(a)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and</w:t>
      </w:r>
    </w:p>
    <w:p>
      <w:pPr>
        <w:spacing w:after="0" w:line="179" w:lineRule="exact"/>
        <w:rPr>
          <w:rFonts w:ascii="Times New Roman" w:cs="Times New Roman" w:eastAsia="Times New Roman" w:hAnsi="Times New Roman"/>
          <w:sz w:val="18"/>
          <w:szCs w:val="18"/>
          <w:color w:val="010000"/>
        </w:rPr>
      </w:pPr>
    </w:p>
    <w:p>
      <w:pPr>
        <w:jc w:val="both"/>
        <w:ind w:left="660" w:firstLine="644"/>
        <w:spacing w:after="0" w:line="261" w:lineRule="auto"/>
        <w:tabs>
          <w:tab w:leader="none" w:pos="194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Closing date and signed by an executive officer of the Selling Shareholder, to the effect that the representations and warranties of the Selling Shareholder contained in this Agreement are true and correct as of the Closing Date and that the Selling Shareholder has complied with all of the agreements and satisfied all of the conditions on the Selling Shareholder’s part to be performed or satisfied hereunder on or before the Closing 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officer signing and delivering such certificate on behalf of the Company may rely upon his or her knowledge as to proceedings threatened.</w:t>
      </w:r>
    </w:p>
    <w:p>
      <w:pPr>
        <w:spacing w:after="0" w:line="252" w:lineRule="exact"/>
        <w:rPr>
          <w:sz w:val="20"/>
          <w:szCs w:val="20"/>
          <w:color w:val="auto"/>
        </w:rPr>
      </w:pPr>
    </w:p>
    <w:p>
      <w:pPr>
        <w:jc w:val="both"/>
        <w:ind w:firstLine="656"/>
        <w:spacing w:after="0" w:line="266" w:lineRule="auto"/>
        <w:tabs>
          <w:tab w:leader="none" w:pos="1293"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Underwriters shall have received on the Closing Date an opinion and a negative assurance letter of Cooley LLP, outside counsel for the Company, dated the Closing Date, in form and substance reasonably satisfactory to the Representatives, together with signed or reproduced copies of such letter for each of the other Underwriters.</w:t>
      </w:r>
    </w:p>
    <w:p>
      <w:pPr>
        <w:spacing w:after="0" w:line="17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29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Cooley LLP, outside counsel for the Selling Shareholder, dated the Closing Date, in form and substance reasonably satisfactory to the Representatives, together with signed or reproduced copies of such letter for each of the other Underwriters.</w:t>
      </w:r>
    </w:p>
    <w:p>
      <w:pPr>
        <w:spacing w:after="0" w:line="216"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dated the Closing Date of (x) Shay Glenn LLP, intellectual property counsel for the Company and (y) Hogan Lovells US LLP, regulatory counsel for the Company, in each case, in form and substance reasonably satisfactory to the Representatives, together with signed or reproduced copies of such letter for each of the other Underwriters.</w:t>
      </w:r>
    </w:p>
    <w:p>
      <w:pPr>
        <w:spacing w:after="0" w:line="202" w:lineRule="exact"/>
        <w:rPr>
          <w:rFonts w:ascii="Times New Roman" w:cs="Times New Roman" w:eastAsia="Times New Roman" w:hAnsi="Times New Roman"/>
          <w:sz w:val="18"/>
          <w:szCs w:val="18"/>
          <w:color w:val="auto"/>
        </w:rPr>
      </w:pPr>
    </w:p>
    <w:p>
      <w:pPr>
        <w:ind w:firstLine="656"/>
        <w:spacing w:after="0" w:line="282" w:lineRule="auto"/>
        <w:tabs>
          <w:tab w:leader="none" w:pos="12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assurances letter of Latham &amp; Watkins LLP, counsel for the Underwriters, dated the Closing Date, in the form mutually agreed upon between the Underwriters and Latham &amp; Watkins LLP.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767" w:right="339" w:bottom="1440" w:gutter="0" w:footer="0" w:header="0"/>
        </w:sectPr>
      </w:pPr>
    </w:p>
    <w:bookmarkStart w:id="17" w:name="page18"/>
    <w:bookmarkEnd w:id="17"/>
    <w:p>
      <w:pPr>
        <w:jc w:val="both"/>
        <w:ind w:firstLine="656"/>
        <w:spacing w:after="0" w:line="258" w:lineRule="auto"/>
        <w:tabs>
          <w:tab w:leader="none" w:pos="12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a letter dated the date hereof or the Closing Date, as the case may be, in form and substance reasonably satisfactory to the Representatives, from PricewaterhouseCoopers LLP, independent registered public accounting firm,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Closing Date shall use a “cut-off date” not earlier than the date hereof.</w:t>
      </w:r>
    </w:p>
    <w:p>
      <w:pPr>
        <w:spacing w:after="0" w:line="210"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each substantially in the form of Exhibit A hereto, between you and certain stockholders, officers and directors of the Company relating to sales and certain other dispositions of shares of Common Stock or certain other securities, delivered to you on or before the date hereof, shall be in full force and effect on the Closing Date.</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Shares shall have been approved for listing on the Nasdaq Global Market, subject only to official notice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w:t>
      </w:r>
    </w:p>
    <w:p>
      <w:pPr>
        <w:spacing w:after="0" w:line="233" w:lineRule="exact"/>
        <w:rPr>
          <w:rFonts w:ascii="Times New Roman" w:cs="Times New Roman" w:eastAsia="Times New Roman" w:hAnsi="Times New Roman"/>
          <w:sz w:val="18"/>
          <w:szCs w:val="18"/>
          <w:color w:val="auto"/>
        </w:rPr>
      </w:pPr>
    </w:p>
    <w:p>
      <w:pPr>
        <w:ind w:firstLine="656"/>
        <w:spacing w:after="0" w:line="261" w:lineRule="auto"/>
        <w:tabs>
          <w:tab w:leader="none" w:pos="12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has confirmed that it has not raised any objection with respect to the fairness and reasonableness of the underwriting terms and arrangements relating to the offering of the Shares.</w:t>
      </w:r>
    </w:p>
    <w:p>
      <w:pPr>
        <w:ind w:firstLine="656"/>
        <w:spacing w:after="0" w:line="276" w:lineRule="auto"/>
        <w:tabs>
          <w:tab w:leader="none" w:pos="12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each of the date hereof and the Closing Date, a certificate dated the date hereof or the Closing Date, as the case may be, in form and substance satisfactory to the Representatives, from the Chief Financial Officer of the Company.</w:t>
      </w:r>
    </w:p>
    <w:p>
      <w:pPr>
        <w:spacing w:after="0" w:line="194" w:lineRule="exact"/>
        <w:rPr>
          <w:rFonts w:ascii="Times New Roman" w:cs="Times New Roman" w:eastAsia="Times New Roman" w:hAnsi="Times New Roman"/>
          <w:sz w:val="18"/>
          <w:szCs w:val="18"/>
          <w:color w:val="auto"/>
        </w:rPr>
      </w:pPr>
    </w:p>
    <w:p>
      <w:pPr>
        <w:ind w:right="20" w:firstLine="656"/>
        <w:spacing w:after="0" w:line="282" w:lineRule="auto"/>
        <w:tabs>
          <w:tab w:leader="none" w:pos="12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to purchase Additional Shares hereunder are subject to the delivery to you on the applicable Option Closing Date of the following:</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950" w:val="left"/>
        </w:tabs>
        <w:numPr>
          <w:ilvl w:val="1"/>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certificate, dated the Option Closing Date and signed by an executive officer of the Company, confirming that the certificate delivered on the Closing Date pursuant to Section 6(b)(i) hereof remains true and correct as of such Option Closing Date;</w:t>
      </w:r>
    </w:p>
    <w:p>
      <w:pPr>
        <w:spacing w:after="0" w:line="161"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4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Cooley LLP, outside counsel for the Company, dated the Option Closing Date, relating to the Additional Shares to be purchased on such Option Closing Date and otherwise to the same effect as the opinion and negative assurance letter required by Section 6(c) hereof;</w:t>
      </w:r>
    </w:p>
    <w:p>
      <w:pPr>
        <w:spacing w:after="0" w:line="202"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dated the Closing Date of (x) Shay Glenn LLP, intellectual property counsel for the Company and (y) Hogan Lovells US LLP, regulatory counsel for the Company, in each case, relating to the Additional Shares to be purchased on such Option Closing Date and otherwise to the same effect as the opinion required by Section 6(e) hereof;</w:t>
      </w:r>
    </w:p>
    <w:p>
      <w:pPr>
        <w:spacing w:after="0" w:line="202"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Latham &amp; Watkins LLP, counsel for the Underwriters, dated the Option Closing Date, relating to the Additional Shares to be purchased on such Option Closing Date and otherwise to the same effect as the opinion and negative assurance letter required by Section 6(f) hereof;</w:t>
      </w:r>
    </w:p>
    <w:p>
      <w:pPr>
        <w:spacing w:after="0" w:line="202"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letter dated the Option Closing Date, in form and substance reasonably satisfactory to the Representatives, from PricewaterhouseCoopers LLP, independent registered public accountants, substantially in the same form and substance as the letter furnished to the Underwriters pursuant to Section 6(g)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Option Closing Date shall use a “cut-off date” not earlier than two business days prior to such Option Closing Date; and</w:t>
      </w:r>
    </w:p>
    <w:p>
      <w:pPr>
        <w:spacing w:after="0" w:line="220" w:lineRule="exact"/>
        <w:rPr>
          <w:rFonts w:ascii="Times New Roman" w:cs="Times New Roman" w:eastAsia="Times New Roman" w:hAnsi="Times New Roman"/>
          <w:sz w:val="18"/>
          <w:szCs w:val="18"/>
          <w:color w:val="auto"/>
        </w:rPr>
      </w:pPr>
    </w:p>
    <w:p>
      <w:pPr>
        <w:ind w:left="660" w:firstLine="644"/>
        <w:spacing w:after="0" w:line="282" w:lineRule="auto"/>
        <w:tabs>
          <w:tab w:leader="none" w:pos="19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in form and substance satisfactory to the Representatives, from the Chief Financial Officer of the Company.</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6"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other documents as you may reasonably request with respect to the good standing of the Company, the due authorization and issuance of the Additional Shares to be sold on such Option Closing Date and other matters related to the issuance of such Additional Shares shall have been delivered to you.</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Sections 6(c) and 6(l)(ii) above, Cooley LLP, and with respect to Sections 6(f) and 6(l)(iv) above, Latham &amp; Watkins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012" w:right="339" w:bottom="1440" w:gutter="0" w:footer="0" w:header="0"/>
        </w:sectPr>
      </w:pPr>
    </w:p>
    <w:bookmarkStart w:id="18" w:name="page19"/>
    <w:bookmarkEnd w:id="18"/>
    <w:p>
      <w:pPr>
        <w:ind w:left="1300" w:hanging="644"/>
        <w:spacing w:after="0"/>
        <w:tabs>
          <w:tab w:leader="none" w:pos="130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227" w:lineRule="exact"/>
        <w:rPr>
          <w:sz w:val="20"/>
          <w:szCs w:val="20"/>
          <w:color w:val="auto"/>
        </w:rPr>
      </w:pPr>
    </w:p>
    <w:p>
      <w:pPr>
        <w:jc w:val="both"/>
        <w:ind w:firstLine="656"/>
        <w:spacing w:after="0" w:line="258" w:lineRule="auto"/>
        <w:tabs>
          <w:tab w:leader="none" w:pos="1293"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furnish to you, without charge, four signed copies of the Registration Statement (including exhibits thereto and documents incorporated by reference therein) and for delivery to each other Underwriter a conformed copy of the Registration Statement (without exhibits thereto) and to furnish to you in New York City, without charge, prior to 10:00 a.m. New York City time on the business day next succeeding the date of this Agreement and during the period mentioned in Section 7(e) or 7(f) below, as many copies of the Time of Sale Prospectus, the Prospectus, any documents incorporated by reference therein and any supplements and amendments thereto or to the Registration Statement as you may reasonably request.</w:t>
      </w:r>
    </w:p>
    <w:p>
      <w:pPr>
        <w:spacing w:after="0" w:line="183"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2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w:t>
      </w:r>
    </w:p>
    <w:p>
      <w:pPr>
        <w:spacing w:after="0" w:line="202" w:lineRule="exact"/>
        <w:rPr>
          <w:rFonts w:ascii="Times New Roman" w:cs="Times New Roman" w:eastAsia="Times New Roman" w:hAnsi="Times New Roman"/>
          <w:sz w:val="18"/>
          <w:szCs w:val="18"/>
          <w:color w:val="auto"/>
        </w:rPr>
      </w:pPr>
    </w:p>
    <w:p>
      <w:pPr>
        <w:ind w:firstLine="656"/>
        <w:spacing w:after="0" w:line="282" w:lineRule="auto"/>
        <w:tabs>
          <w:tab w:leader="none" w:pos="12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you a copy of each proposed free writing prospectus to be prepared by or on behalf of, used by, or referred to by the Company and not to use or refer to any proposed free writing prospectus to which you reasonably object.</w:t>
      </w:r>
    </w:p>
    <w:p>
      <w:pPr>
        <w:spacing w:after="0" w:line="188"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202"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228"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22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when a Prospectus relating to the Shares is (or, but for the exception afforded by Rule 172, would be) required to be delivered under the Securities Act, to file all documents required to be filed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within the time periods required by the Exchange Act and the regulations thereunder. Additionally, the Company shall report the use of proceeds from the issuance of the Shares as may be required under Rule 463 under the Securities Act.</w:t>
      </w:r>
    </w:p>
    <w:p>
      <w:pPr>
        <w:spacing w:after="0" w:line="206" w:lineRule="exact"/>
        <w:rPr>
          <w:rFonts w:ascii="Times New Roman" w:cs="Times New Roman" w:eastAsia="Times New Roman" w:hAnsi="Times New Roman"/>
          <w:sz w:val="18"/>
          <w:szCs w:val="18"/>
          <w:color w:val="auto"/>
        </w:rPr>
      </w:pPr>
    </w:p>
    <w:p>
      <w:pPr>
        <w:ind w:right="20" w:firstLine="656"/>
        <w:spacing w:after="0" w:line="282" w:lineRule="auto"/>
        <w:tabs>
          <w:tab w:leader="none" w:pos="12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net proceeds received by it from the sale of the Shares in the manner specified in the Registration Statement, the Time of Sale Prospectus and the Prospectus under “Use of Proceeds.”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best efforts to effect and maintain the listing of the Common Stock (including the Shares) on the Nasdaq Global Market.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767" w:right="339" w:bottom="1440" w:gutter="0" w:footer="0" w:header="0"/>
        </w:sectPr>
      </w:pPr>
    </w:p>
    <w:bookmarkStart w:id="19" w:name="page20"/>
    <w:bookmarkEnd w:id="19"/>
    <w:p>
      <w:pPr>
        <w:jc w:val="both"/>
        <w:ind w:firstLine="656"/>
        <w:spacing w:after="0" w:line="266" w:lineRule="auto"/>
        <w:tabs>
          <w:tab w:leader="none" w:pos="12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endeavor to qualify the Shares for offer and sale under the securities or Blue Sky laws of such jurisdictions as you shall reasonably request, provided, however, that nothing contained herein shall require the Company to qualify to do business in any jurisdiction, to execute a general consent to service of process in any jurisdiction or to subject itself to taxation in any jurisdiction in which it is not otherwise subject.</w:t>
      </w:r>
    </w:p>
    <w:p>
      <w:pPr>
        <w:spacing w:after="0" w:line="20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20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Representatives if the Company ceases to be an Emerging Growth Company at any time prior to the later of (a) completion of the distribution of the Shares within the meaning of the Securities Act and (b) completion of the Restricted Period (as defined in this Section 7).</w:t>
      </w:r>
    </w:p>
    <w:p>
      <w:pPr>
        <w:spacing w:after="0" w:line="202" w:lineRule="exact"/>
        <w:rPr>
          <w:rFonts w:ascii="Times New Roman" w:cs="Times New Roman" w:eastAsia="Times New Roman" w:hAnsi="Times New Roman"/>
          <w:sz w:val="18"/>
          <w:szCs w:val="18"/>
          <w:color w:val="auto"/>
        </w:rPr>
      </w:pPr>
    </w:p>
    <w:p>
      <w:pPr>
        <w:jc w:val="both"/>
        <w:ind w:firstLine="656"/>
        <w:spacing w:after="0" w:line="258" w:lineRule="auto"/>
        <w:tabs>
          <w:tab w:leader="none" w:pos="12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22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will deliver to each Underwriter (or its agent), on the date of execution of this Agreement, a properly completed and executed Certification Regarding Beneficial Owners of Legal Entity Customers in a form reasonably acceptable to the Underwriters,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206" w:lineRule="exact"/>
        <w:rPr>
          <w:rFonts w:ascii="Times New Roman" w:cs="Times New Roman" w:eastAsia="Times New Roman" w:hAnsi="Times New Roman"/>
          <w:sz w:val="18"/>
          <w:szCs w:val="18"/>
          <w:color w:val="auto"/>
        </w:rPr>
      </w:pPr>
    </w:p>
    <w:p>
      <w:pPr>
        <w:jc w:val="both"/>
        <w:ind w:firstLine="656"/>
        <w:spacing w:after="0" w:line="251" w:lineRule="auto"/>
        <w:tabs>
          <w:tab w:leader="none" w:pos="12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add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reasonable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7(j) hereof, including filing fees and the reasonable fees and disbursements of counsel for the Underwriters in connection with such qualification and in connection with the Blue Sky or Legal Investment memorandum, provided, that the amount of such fees and disbursements of counsel to be paid shall not exceed $5,000 (excluding any filing fees), (iv) all filing fees and the reasonable fees and disbursements of counsel to the Underwriters incurred in connection with the review and qualification of the offering of the Shares by FINRA, provided, that the amount of such fees and disbursements of counsel to be paid shall not exceed $30,000 (excluding any filing fees), (v)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Underwriters agreeing to pay for the other 50%),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9 titled “Indemnity and Contribution” and the last paragraph of Section 11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769" w:right="339" w:bottom="1440" w:gutter="0" w:footer="0" w:header="0"/>
        </w:sectPr>
      </w:pPr>
    </w:p>
    <w:bookmarkStart w:id="20" w:name="page21"/>
    <w:bookmarkEnd w:id="2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Whether or not the transactions contemplated in this Agreement are consummated or this Agreement is terminated, the Selling Shareholder agrees to pay or cause to be paid all expenses incident to the performance of its obligations under this Agreement, including the fees, disbursements and expenses of the counsel for the Selling Shareholder and all other costs and expenses incident to the performance of the obligations of the Selling Shareholder hereunder for which provision is not otherwise made in this Section.</w:t>
      </w:r>
    </w:p>
    <w:p>
      <w:pPr>
        <w:spacing w:after="0" w:line="180" w:lineRule="exact"/>
        <w:rPr>
          <w:sz w:val="20"/>
          <w:szCs w:val="20"/>
          <w:color w:val="auto"/>
        </w:rPr>
      </w:pPr>
    </w:p>
    <w:p>
      <w:pPr>
        <w:jc w:val="both"/>
        <w:ind w:right="20" w:firstLine="257"/>
        <w:spacing w:after="0" w:line="282" w:lineRule="auto"/>
        <w:rPr>
          <w:sz w:val="20"/>
          <w:szCs w:val="20"/>
          <w:color w:val="auto"/>
        </w:rPr>
      </w:pPr>
      <w:r>
        <w:rPr>
          <w:rFonts w:ascii="Times New Roman" w:cs="Times New Roman" w:eastAsia="Times New Roman" w:hAnsi="Times New Roman"/>
          <w:sz w:val="18"/>
          <w:szCs w:val="18"/>
          <w:color w:val="auto"/>
        </w:rPr>
        <w:t>The provisions of this Section shall not supersede or otherwise affect any agreement that the Sellers may otherwise have for the allocation of such expenses. among themselves.</w:t>
      </w:r>
    </w:p>
    <w:p>
      <w:pPr>
        <w:spacing w:after="0" w:line="162" w:lineRule="exact"/>
        <w:rPr>
          <w:sz w:val="20"/>
          <w:szCs w:val="20"/>
          <w:color w:val="auto"/>
        </w:rPr>
      </w:pPr>
    </w:p>
    <w:p>
      <w:pPr>
        <w:jc w:val="both"/>
        <w:ind w:firstLine="656"/>
        <w:spacing w:after="0" w:line="230" w:lineRule="auto"/>
        <w:tabs>
          <w:tab w:leader="none" w:pos="12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that, without the prior written consent of the Representatives on behalf of the Underwriters, it will not, and will not publicly disclose an intention to, during the period ending on and including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w:t>
      </w:r>
    </w:p>
    <w:p>
      <w:pPr>
        <w:jc w:val="both"/>
        <w:ind w:firstLine="8"/>
        <w:spacing w:after="0" w:line="250" w:lineRule="auto"/>
        <w:tabs>
          <w:tab w:leader="none" w:pos="2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foregoing restrictions shall not apply to</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Shares to be sold hereunder, (b) the issuance by the Company of shares of Common Stock upon the exercise (including net exercise) of an option or warrant or the conversion of a security outstanding on the date hereof and disclosed in the Time of Sale Prospectus, (c) the issuance by the Company of shares of, or options to purchase shares of, Common Stock or restricted stock units (including the Common Stock issued upon the settlement or exercise thereof) to employees, officers, directors, advisors or consultants of the Company pursuant to employee benefit plans described in the Time of Sale Prospectus and Prospectus, (d) the filing by the Company of registration statements on Form S 8 with respect to the employee benefit plans described in the Time of Sale Prospectus, (e) the sale or issuance of or entry into an agreement to sell or issue shares of Common Stock in connection with the Company’s acquisition of one or more businesses, products or technologies (whether by means of merger, stock purchase, asset purchase or otherwise) or in connection with joint ventures, commercial relationships or other strategic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recipient of shares of Common Stock or securities convertible into or exercisable for Common Stock pursuant to this clause (e) shall execute a lock-up agreement substantially in the form of Exhibit A hereto.</w:t>
      </w:r>
    </w:p>
    <w:p>
      <w:pPr>
        <w:spacing w:after="0" w:line="21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Selling Shareholder is not a U.S. person for U.S. federal income tax purposes, the Company will deliver to each Underwriter (or its agent), on or before the Closing Date, a certificate with respect to the Company’s status as a “United States real property holding corporation,” dated not more than thirty (30) days prior to the Closing Date, as described in Treasury Regulations Sections 1.897-2(h) and 1.1445-2(c)(3), and proof of delivery to the IRS of the required notice, as described in Treasury Regulations 1.897-2(h)(2).</w:t>
      </w:r>
    </w:p>
    <w:p>
      <w:pPr>
        <w:spacing w:after="0" w:line="205"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Covenants of the Seller. </w:t>
      </w:r>
      <w:r>
        <w:rPr>
          <w:rFonts w:ascii="Times New Roman" w:cs="Times New Roman" w:eastAsia="Times New Roman" w:hAnsi="Times New Roman"/>
          <w:sz w:val="18"/>
          <w:szCs w:val="18"/>
          <w:color w:val="auto"/>
        </w:rPr>
        <w:t>Each Seller, severally and not jointly, covenants with each Underwriter as follows:</w:t>
      </w:r>
    </w:p>
    <w:p>
      <w:pPr>
        <w:spacing w:after="0" w:line="227" w:lineRule="exact"/>
        <w:rPr>
          <w:sz w:val="20"/>
          <w:szCs w:val="20"/>
          <w:color w:val="auto"/>
        </w:rPr>
      </w:pPr>
    </w:p>
    <w:p>
      <w:pPr>
        <w:ind w:right="20" w:firstLine="656"/>
        <w:spacing w:after="0" w:line="282" w:lineRule="auto"/>
        <w:tabs>
          <w:tab w:leader="none" w:pos="129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will deliver to each Underwriter (or its agent), prior to or at the Closing Date, a properly completed and executed Internal Revenue Service (“IRS”) Form W-9 or an IRS Form W-8, as appropriate, together with all required attachments to such form.</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will deliver to each Underwriter (or its agent), on the date of execution of this Agreement, a properly completed and executed Certification Regarding Beneficial Owners of Legal Entity Customers, together with copies of identifying documentation, and each Seller undertakes to provide such additional supporting documentation as each Underwriter may reasonably request in connection with the verification of the foregoing Certification.</w:t>
      </w:r>
    </w:p>
    <w:p>
      <w:pPr>
        <w:spacing w:after="0" w:line="218" w:lineRule="exact"/>
        <w:rPr>
          <w:sz w:val="20"/>
          <w:szCs w:val="20"/>
          <w:color w:val="auto"/>
        </w:rPr>
      </w:pPr>
    </w:p>
    <w:p>
      <w:pPr>
        <w:jc w:val="both"/>
        <w:ind w:firstLine="656"/>
        <w:spacing w:after="0" w:line="267" w:lineRule="auto"/>
        <w:tabs>
          <w:tab w:leader="none" w:pos="1296"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covenants with the Company not to take any action that would result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769" w:right="339" w:bottom="1440" w:gutter="0" w:footer="0" w:header="0"/>
        </w:sectPr>
      </w:pPr>
    </w:p>
    <w:bookmarkStart w:id="21" w:name="page22"/>
    <w:bookmarkEnd w:id="21"/>
    <w:p>
      <w:pPr>
        <w:jc w:val="both"/>
        <w:ind w:firstLine="656"/>
        <w:spacing w:after="0" w:line="253" w:lineRule="auto"/>
        <w:tabs>
          <w:tab w:leader="none" w:pos="1291"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Indemnity and Contribution</w:t>
      </w:r>
      <w:r>
        <w:rPr>
          <w:rFonts w:ascii="Times New Roman" w:cs="Times New Roman" w:eastAsia="Times New Roman" w:hAnsi="Times New Roman"/>
          <w:sz w:val="18"/>
          <w:szCs w:val="18"/>
          <w:color w:val="auto"/>
        </w:rPr>
        <w:t>. (a) The Company, agrees to indemnify and hold harmless each Underwriter, the directors,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agents of each Underwriter, each person, if any, who controls any Underwriter within the meaning of either Section 15 of the Securities Act or Section 20 of the Exchange Act, and each affiliate of any Underwriter within the meaning of Rule 405 under the Securities Act (collectively, the “</w:t>
      </w:r>
      <w:r>
        <w:rPr>
          <w:rFonts w:ascii="Times New Roman" w:cs="Times New Roman" w:eastAsia="Times New Roman" w:hAnsi="Times New Roman"/>
          <w:sz w:val="18"/>
          <w:szCs w:val="18"/>
          <w:b w:val="1"/>
          <w:bCs w:val="1"/>
          <w:color w:val="auto"/>
        </w:rPr>
        <w:t>Underwriter Indemnitees</w:t>
      </w:r>
      <w:r>
        <w:rPr>
          <w:rFonts w:ascii="Times New Roman" w:cs="Times New Roman" w:eastAsia="Times New Roman" w:hAnsi="Times New Roman"/>
          <w:sz w:val="18"/>
          <w:szCs w:val="18"/>
          <w:color w:val="auto"/>
        </w:rPr>
        <w: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or the Prospectus or any amendment or supplement thereto, or any Written Testing-the-Waters Communication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you expressly for use therein.</w:t>
      </w:r>
    </w:p>
    <w:p>
      <w:pPr>
        <w:spacing w:after="0" w:line="192" w:lineRule="exact"/>
        <w:rPr>
          <w:sz w:val="20"/>
          <w:szCs w:val="20"/>
          <w:color w:val="auto"/>
        </w:rPr>
      </w:pPr>
    </w:p>
    <w:p>
      <w:pPr>
        <w:jc w:val="both"/>
        <w:ind w:firstLine="656"/>
        <w:spacing w:after="0" w:line="253" w:lineRule="auto"/>
        <w:tabs>
          <w:tab w:leader="none" w:pos="12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agrees to indemnify and hold harmless the Underwriter Indemnitees,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any Written Testing-the-Waters Communication or caused by any omission or alleged omission to state therein a material fact required to be stated therein or necessary to make the statements therein not misleading, but only with reference to information relating to the Selling Shareholder furnished in writing by or on behalf of the Selling Shareholder expressly for use in the Registration Statement, any preliminary prospectus, the Time of Sale Prospectus, any issuer free writing prospectus, road show or the Prospectus or any amendment or supplement thereto.</w:t>
      </w:r>
    </w:p>
    <w:p>
      <w:pPr>
        <w:spacing w:after="0" w:line="221" w:lineRule="exact"/>
        <w:rPr>
          <w:rFonts w:ascii="Times New Roman" w:cs="Times New Roman" w:eastAsia="Times New Roman" w:hAnsi="Times New Roman"/>
          <w:sz w:val="18"/>
          <w:szCs w:val="18"/>
          <w:color w:val="auto"/>
        </w:rPr>
      </w:pPr>
    </w:p>
    <w:p>
      <w:pPr>
        <w:jc w:val="both"/>
        <w:ind w:firstLine="656"/>
        <w:spacing w:after="0" w:line="252" w:lineRule="auto"/>
        <w:tabs>
          <w:tab w:leader="none" w:pos="12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the Company, the Selling Shareholder, the directors of the Company, the officers of the Company who sign the Registration Statement and each person, if any, who controls the Company or any Selling Shareholder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caused by any omission or alleged omission to state therein a material fact required to be stated therein or necessary to make the statements therein not misleading, but only with reference to information relating to such Underwriter furnished to the Company in writing by such Underwriter through you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consists of the following information: (x) the concession figure appearing in the third paragraph under the caption “Underwriting”, (y) the information relating to the Underwriters’ stabilization activities contained in the twelfth paragraph under the caption “Underwriting,” and (z) the information contained in the fourteenth paragraph under the caption “Underwriting.”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767" w:right="339" w:bottom="1440" w:gutter="0" w:footer="0" w:header="0"/>
        </w:sectPr>
      </w:pPr>
    </w:p>
    <w:bookmarkStart w:id="22" w:name="page23"/>
    <w:bookmarkEnd w:id="22"/>
    <w:p>
      <w:pPr>
        <w:jc w:val="both"/>
        <w:ind w:firstLine="656"/>
        <w:spacing w:after="0" w:line="251" w:lineRule="auto"/>
        <w:tabs>
          <w:tab w:leader="none" w:pos="129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Section 10(a), 10(b) or 10(c),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such indemnified parties and that all such fees and expenses shall be reimbursed as they are incurred, (ii) the fees and expenses of more than one separate firm (in addition to any local counsel) for the Company, its directors, its officers who sign the Registration Statement and each person, if any, who controls the Company within the meaning of either such Section and</w:t>
      </w:r>
    </w:p>
    <w:p>
      <w:pPr>
        <w:spacing w:after="0" w:line="11" w:lineRule="exact"/>
        <w:rPr>
          <w:rFonts w:ascii="Times New Roman" w:cs="Times New Roman" w:eastAsia="Times New Roman" w:hAnsi="Times New Roman"/>
          <w:sz w:val="18"/>
          <w:szCs w:val="18"/>
          <w:color w:val="auto"/>
        </w:rPr>
      </w:pPr>
    </w:p>
    <w:p>
      <w:pPr>
        <w:jc w:val="both"/>
        <w:ind w:firstLine="8"/>
        <w:spacing w:after="0" w:line="251" w:lineRule="auto"/>
        <w:tabs>
          <w:tab w:leader="none" w:pos="3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of more than one separate firm (in addition to any local counsel) for the Selling Shareholder and all persons, if any, who control the Selling Shareholder within the meaning of either such Section. In the case of parties indemnified pursuant to Section 10(a) or 10(b), such separate firm shall be designated in writing by the Representatives. In the case of parties indemnified pursuant to Section 10(c), such separate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any indemnified party.</w:t>
      </w:r>
    </w:p>
    <w:p>
      <w:pPr>
        <w:spacing w:after="0" w:line="218" w:lineRule="exact"/>
        <w:rPr>
          <w:rFonts w:ascii="Times New Roman" w:cs="Times New Roman" w:eastAsia="Times New Roman" w:hAnsi="Times New Roman"/>
          <w:sz w:val="18"/>
          <w:szCs w:val="18"/>
          <w:color w:val="auto"/>
        </w:rPr>
      </w:pPr>
    </w:p>
    <w:p>
      <w:pPr>
        <w:jc w:val="both"/>
        <w:ind w:firstLine="656"/>
        <w:spacing w:after="0" w:line="252" w:lineRule="auto"/>
        <w:tabs>
          <w:tab w:leader="none" w:pos="129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10(a), 10(b) or 10(c)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10(e)(i) above is not permitted by applicable law, in such proportion as is appropriate to reflect not only the relative benefits referred to in clause 10(e)(i)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Sellers on the one hand and the Underwriters on the other hand in connection with the offering of the Shares shall be deemed to be in the same respective proportions as the net proceeds from the offering of the Shares (before deducting expenses) received by the Sellers and the total underwriting discounts and commissions received by the Underwriters, in each case as set forth in the table on the cover of the Prospectus, bear to the aggregate Public Offering Price of the Shares. The relative fault of the Sellers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Sellers or by the Underwriters and the parties’ relative intent, knowledge, access to information and opportunity to correct or prevent such statement or omission. The Underwriters’ respective obligations to contribute pursuant to this Section 10 are several in proportion to the respective number of Shares they have purchased hereunder, and not joint. The liability of the Selling Shareholder under the contribution agreement contained in this paragraph shall be limited to an amount equal to the aggregate Public Offering Price of the Shares sold by the Selling Shareholder under this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769" w:right="339" w:bottom="1440" w:gutter="0" w:footer="0" w:header="0"/>
        </w:sectPr>
      </w:pPr>
    </w:p>
    <w:bookmarkStart w:id="23" w:name="page24"/>
    <w:bookmarkEnd w:id="23"/>
    <w:p>
      <w:pPr>
        <w:jc w:val="both"/>
        <w:ind w:firstLine="656"/>
        <w:spacing w:after="0" w:line="253" w:lineRule="auto"/>
        <w:tabs>
          <w:tab w:leader="none" w:pos="128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Sellers and the Underwriters agree that it would not be just or equitable if contribution pursuant to this Section 10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10(e). The amount paid or payable by an indemnified party as a result of the losses, claims, damages and liabilities referred to in Section 10(e) shall be deemed to include, subject to the limitations set forth above, any legal or other expenses reasonably incurred by such indemnified party in connection with investigating or defending any such action or claim. Notwithstanding the provisions of this Section 10,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218"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provisions contained in this Section 10 and the representations, warranties and other statements of the Company and the Selling Shareholder contained in this Agreement shall remain operative and in full force and effect regardless of (i) any termination of this Agreement, (ii) any investigation made by or on behalf of any Underwriter, any person controlling any Underwriter or any affiliate of any Underwriter, by or on behalf of the Company, its officers or directors or any person controlling the Company or by or on behalf any Selling Shareholder or any person controlling any Selling Shareholder and (iii) acceptance of and payment for any of the Shares.</w:t>
      </w:r>
    </w:p>
    <w:p>
      <w:pPr>
        <w:spacing w:after="0" w:line="208" w:lineRule="exact"/>
        <w:rPr>
          <w:sz w:val="20"/>
          <w:szCs w:val="20"/>
          <w:color w:val="auto"/>
        </w:rPr>
      </w:pPr>
    </w:p>
    <w:p>
      <w:pPr>
        <w:jc w:val="both"/>
        <w:ind w:firstLine="656"/>
        <w:spacing w:after="0" w:line="254" w:lineRule="auto"/>
        <w:tabs>
          <w:tab w:leader="none" w:pos="1285" w:val="left"/>
        </w:tabs>
        <w:numPr>
          <w:ilvl w:val="0"/>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you to the Company, if after the execution and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 and prior to the Closing Date or any Option Closing Date, as the case may be, (i) trading generally shall have been suspended or materially limited on, or by, as the case may be, any of the New York Stock Exchange, the NYSE MKT, the Nasdaq Global Market, or other relevant exchanges,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your judgment, is material and adverse and which, singly or together with any other event specified in this clause (v), makes it, in your judgment, impracticable or inadvisable to proceed with the offer, sale or delivery of the Shares on the terms and in the manner contemplated in the Time of Sale Prospectus or the Prospectus.</w:t>
      </w:r>
    </w:p>
    <w:p>
      <w:pPr>
        <w:spacing w:after="0" w:line="188"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w:t>
      </w:r>
    </w:p>
    <w:p>
      <w:pPr>
        <w:spacing w:after="0" w:line="29"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II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Shares that any Underwriter has agreed to purchase pursuant to this Agreement be increased pursuant to this Section 12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you, the Company and the Selling Shareholder for the purchase of such Firm Shares are not made within 36 hours after such default, this Agreement shall terminate without liability on the part of any non-defaulting Underwriter, the Company or the Selling Shareholder. In any such case either you or the relevant Sellers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769" w:right="339" w:bottom="1440" w:gutter="0" w:footer="0" w:header="0"/>
        </w:sectPr>
      </w:pPr>
    </w:p>
    <w:bookmarkStart w:id="24" w:name="page25"/>
    <w:bookmarkEnd w:id="24"/>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any Seller to comply with the terms or to fulfill any of the conditions of this Agreement, or if for any reason any Seller shall be unable to perform its obligations under this Agreement (which, for purposes of this Section 12, shall not include termination by the Underwriters under items (i), (iii), (iv) or (v) of Section 11), then</w:t>
      </w:r>
    </w:p>
    <w:p>
      <w:pPr>
        <w:spacing w:after="0" w:line="1" w:lineRule="exact"/>
        <w:rPr>
          <w:sz w:val="20"/>
          <w:szCs w:val="20"/>
          <w:color w:val="auto"/>
        </w:rPr>
      </w:pPr>
    </w:p>
    <w:p>
      <w:pPr>
        <w:jc w:val="both"/>
        <w:ind w:firstLine="8"/>
        <w:spacing w:after="0" w:line="251" w:lineRule="auto"/>
        <w:tabs>
          <w:tab w:leader="none" w:pos="2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and any Seller that has failed to perform under this Agreement,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 or (b) after the Closing Date but prior to any Option Closing Date with respect to the purchase of any Additional Shares pursuant to a notice delivered by the Representatives to the Company under Section 3 hereof,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proposed purchase of any such Additional Shares pursuant to this Agreement or the offering contemplated hereunder.</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1" w:val="left"/>
        </w:tabs>
        <w:numPr>
          <w:ilvl w:val="1"/>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not superseded by this Agreement) that relate to the offering of the Shares, represents the entire agreement between the Company and the Selling Shareholder, on the one hand, and the Underwriters, on the other, with respect to the preparation of any preliminary prospectus, the Time of Sale Prospectus, the Prospectus, the conduct of the offering, and the purchase and sale of the Shares.</w:t>
      </w:r>
    </w:p>
    <w:p>
      <w:pPr>
        <w:spacing w:after="0" w:line="182" w:lineRule="exact"/>
        <w:rPr>
          <w:sz w:val="20"/>
          <w:szCs w:val="20"/>
          <w:color w:val="auto"/>
        </w:rPr>
      </w:pPr>
    </w:p>
    <w:p>
      <w:pPr>
        <w:jc w:val="both"/>
        <w:ind w:firstLine="656"/>
        <w:spacing w:after="0" w:line="255" w:lineRule="auto"/>
        <w:tabs>
          <w:tab w:leader="none" w:pos="1290" w:val="left"/>
        </w:tabs>
        <w:numPr>
          <w:ilvl w:val="0"/>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w:t>
      </w:r>
    </w:p>
    <w:p>
      <w:pPr>
        <w:spacing w:after="0" w:line="188"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2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further acknowledges and agrees that, although the Underwriters may provide the Selling Shareholder with certain Regulation Best Interest and Form CRS disclosures or other related documentation in connection with the offering, the Underwriters are not making a recommendation to the Selling Shareholder to participate in the offering or sell any Shares at the Purchase Price, and nothing set forth in such disclosures or documentation is intended to suggest that any Underwriter is making such a recommendation.</w:t>
      </w:r>
    </w:p>
    <w:p>
      <w:pPr>
        <w:spacing w:after="0" w:line="205" w:lineRule="exact"/>
        <w:rPr>
          <w:sz w:val="20"/>
          <w:szCs w:val="20"/>
          <w:color w:val="auto"/>
        </w:rPr>
      </w:pPr>
    </w:p>
    <w:p>
      <w:pPr>
        <w:jc w:val="both"/>
        <w:ind w:firstLine="656"/>
        <w:spacing w:after="0" w:line="261" w:lineRule="auto"/>
        <w:tabs>
          <w:tab w:leader="none" w:pos="1291" w:val="left"/>
        </w:tabs>
        <w:numPr>
          <w:ilvl w:val="0"/>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Recognition of the U.S. Special Resolution Regimes. </w:t>
      </w:r>
      <w:r>
        <w:rPr>
          <w:rFonts w:ascii="Times New Roman" w:cs="Times New Roman" w:eastAsia="Times New Roman" w:hAnsi="Times New Roman"/>
          <w:sz w:val="18"/>
          <w:szCs w:val="18"/>
          <w:color w:val="auto"/>
        </w:rPr>
        <w:t>(a) 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w:t>
      </w:r>
    </w:p>
    <w:p>
      <w:pPr>
        <w:spacing w:after="0" w:line="182" w:lineRule="exact"/>
        <w:rPr>
          <w:sz w:val="20"/>
          <w:szCs w:val="20"/>
          <w:color w:val="auto"/>
        </w:rPr>
      </w:pPr>
    </w:p>
    <w:p>
      <w:pPr>
        <w:jc w:val="both"/>
        <w:ind w:firstLine="656"/>
        <w:spacing w:after="0" w:line="261" w:lineRule="auto"/>
        <w:tabs>
          <w:tab w:leader="none" w:pos="1290"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jc w:val="both"/>
        <w:ind w:firstLine="207"/>
        <w:spacing w:after="0" w:line="256"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5" w:lineRule="exact"/>
        <w:rPr>
          <w:sz w:val="20"/>
          <w:szCs w:val="20"/>
          <w:color w:val="auto"/>
        </w:rPr>
      </w:pPr>
    </w:p>
    <w:p>
      <w:pPr>
        <w:jc w:val="both"/>
        <w:ind w:firstLine="656"/>
        <w:spacing w:after="0" w:line="258" w:lineRule="auto"/>
        <w:tabs>
          <w:tab w:leader="none" w:pos="1291" w:val="left"/>
        </w:tabs>
        <w:numPr>
          <w:ilvl w:val="0"/>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t>
      </w:r>
      <w:r>
        <w:rPr>
          <w:rFonts w:ascii="Times New Roman" w:cs="Times New Roman" w:eastAsia="Times New Roman" w:hAnsi="Times New Roman"/>
          <w:sz w:val="18"/>
          <w:szCs w:val="18"/>
          <w:u w:val="single" w:color="auto"/>
          <w:color w:val="auto"/>
        </w:rPr>
        <w:t>www.docusign.com</w:t>
      </w:r>
      <w:r>
        <w:rPr>
          <w:rFonts w:ascii="Times New Roman" w:cs="Times New Roman" w:eastAsia="Times New Roman" w:hAnsi="Times New Roman"/>
          <w:sz w:val="18"/>
          <w:szCs w:val="18"/>
          <w:color w:val="auto"/>
        </w:rPr>
        <w:t>)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769" w:right="339" w:bottom="1440" w:gutter="0" w:footer="0" w:header="0"/>
        </w:sectPr>
      </w:pPr>
    </w:p>
    <w:bookmarkStart w:id="25" w:name="page26"/>
    <w:bookmarkEnd w:id="25"/>
    <w:p>
      <w:pPr>
        <w:jc w:val="both"/>
        <w:ind w:firstLine="656"/>
        <w:spacing w:after="0" w:line="254" w:lineRule="auto"/>
        <w:tabs>
          <w:tab w:leader="none" w:pos="1291"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and any claim, controversy or dispute arising under or related to this Agreement shall be governed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construed in accordance with the internal laws of the State of New York. The Company irrevocably submits to the non-exclusive jurisdiction of any New York State or United States Federal court sitting in The City of New York over any suit, action or proceeding arising out of or relating to this Agreement, the Prospectus, the Registration Statement or the offering of the Shares (each, a “</w:t>
      </w:r>
      <w:r>
        <w:rPr>
          <w:rFonts w:ascii="Times New Roman" w:cs="Times New Roman" w:eastAsia="Times New Roman" w:hAnsi="Times New Roman"/>
          <w:sz w:val="18"/>
          <w:szCs w:val="18"/>
          <w:b w:val="1"/>
          <w:bCs w:val="1"/>
          <w:color w:val="auto"/>
        </w:rPr>
        <w:t>Related Proceeding</w:t>
      </w:r>
      <w:r>
        <w:rPr>
          <w:rFonts w:ascii="Times New Roman" w:cs="Times New Roman" w:eastAsia="Times New Roman" w:hAnsi="Times New Roman"/>
          <w:sz w:val="18"/>
          <w:szCs w:val="18"/>
          <w:color w:val="auto"/>
        </w:rPr>
        <w:t>”).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188" w:lineRule="exact"/>
        <w:rPr>
          <w:rFonts w:ascii="Times New Roman" w:cs="Times New Roman" w:eastAsia="Times New Roman" w:hAnsi="Times New Roman"/>
          <w:sz w:val="18"/>
          <w:szCs w:val="18"/>
          <w:color w:val="010000"/>
        </w:rPr>
      </w:pPr>
    </w:p>
    <w:p>
      <w:pPr>
        <w:ind w:firstLine="656"/>
        <w:spacing w:after="0" w:line="284" w:lineRule="auto"/>
        <w:tabs>
          <w:tab w:leader="none" w:pos="1291"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part of this Agreement.</w:t>
      </w:r>
    </w:p>
    <w:p>
      <w:pPr>
        <w:spacing w:after="0" w:line="158" w:lineRule="exact"/>
        <w:rPr>
          <w:rFonts w:ascii="Times New Roman" w:cs="Times New Roman" w:eastAsia="Times New Roman" w:hAnsi="Times New Roman"/>
          <w:sz w:val="18"/>
          <w:szCs w:val="18"/>
          <w:color w:val="010000"/>
        </w:rPr>
      </w:pPr>
    </w:p>
    <w:p>
      <w:pPr>
        <w:jc w:val="both"/>
        <w:ind w:firstLine="656"/>
        <w:spacing w:after="0" w:line="257" w:lineRule="auto"/>
        <w:tabs>
          <w:tab w:leader="none" w:pos="1291"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communications hereunder shall be in writing and effective only upon receipt and if to the Underwriters shall be 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mailed or sent to you in care of Morgan Stanley &amp; Co. LLC, 1585 Broadway, New York, New York 10036, Attention: Equity Syndicate Desk, with a copy to the Legal Department; and in care of BofA Securities, One Bryant Park, New York, New York 10036, Attention Syndicate Department (facsimile (646) 855-3073), with a copy to ECM Legal (facsimile (212) 230 8730); if to the Company shall be delivered, mailed or sent to 471 El Camino Real, Suite 101, Santa Clara, California 95050; and if to the Selling Shareholder shall be delivered, mailed or sent to 471 El Camino Real, Suite 101, Santa Clara, California 95050.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SI-BONE, Inc.</w:t>
      </w:r>
    </w:p>
    <w:p>
      <w:pPr>
        <w:spacing w:after="0" w:line="200" w:lineRule="exact"/>
        <w:rPr>
          <w:sz w:val="20"/>
          <w:szCs w:val="20"/>
          <w:color w:val="auto"/>
        </w:rPr>
      </w:pPr>
    </w:p>
    <w:p>
      <w:pPr>
        <w:spacing w:after="0" w:line="295" w:lineRule="exact"/>
        <w:rPr>
          <w:sz w:val="20"/>
          <w:szCs w:val="20"/>
          <w:color w:val="auto"/>
        </w:rPr>
      </w:pPr>
    </w:p>
    <w:p>
      <w:pPr>
        <w:ind w:left="446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34290</wp:posOffset>
            </wp:positionV>
            <wp:extent cx="37973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Laura Francis</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CFO</w:t>
      </w:r>
    </w:p>
    <w:p>
      <w:pPr>
        <w:spacing w:after="0" w:line="3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The Selling Shareholder named in Schedule I hereto, acting severally</w:t>
      </w:r>
    </w:p>
    <w:p>
      <w:pPr>
        <w:spacing w:after="0" w:line="333" w:lineRule="exact"/>
        <w:rPr>
          <w:sz w:val="20"/>
          <w:szCs w:val="20"/>
          <w:color w:val="auto"/>
        </w:rPr>
      </w:pPr>
    </w:p>
    <w:p>
      <w:pPr>
        <w:ind w:left="446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34290</wp:posOffset>
            </wp:positionV>
            <wp:extent cx="3797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Michael Pisetsky</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76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 Underwriters named in Schedule I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Morgan Stanley &amp; Co. LLC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/s/Chris Rigoli</w:t>
            </w:r>
          </w:p>
        </w:tc>
      </w:tr>
      <w:tr>
        <w:trPr>
          <w:trHeight w:val="243"/>
        </w:trPr>
        <w:tc>
          <w:tcPr>
            <w:tcW w:w="80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Chris Rigoli</w:t>
            </w:r>
          </w:p>
        </w:tc>
      </w:tr>
      <w:tr>
        <w:trPr>
          <w:trHeight w:val="270"/>
        </w:trPr>
        <w:tc>
          <w:tcPr>
            <w:tcW w:w="800" w:type="dxa"/>
            <w:vAlign w:val="bottom"/>
          </w:tcPr>
          <w:p>
            <w:pPr>
              <w:spacing w:after="0"/>
              <w:rPr>
                <w:sz w:val="23"/>
                <w:szCs w:val="23"/>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BofA Securities,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Brandon Rice</w:t>
            </w:r>
          </w:p>
        </w:tc>
      </w:tr>
      <w:tr>
        <w:trPr>
          <w:trHeight w:val="27"/>
        </w:trPr>
        <w:tc>
          <w:tcPr>
            <w:tcW w:w="800" w:type="dxa"/>
            <w:vAlign w:val="bottom"/>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Brandon Rice</w:t>
            </w:r>
          </w:p>
        </w:tc>
      </w:tr>
      <w:tr>
        <w:trPr>
          <w:trHeight w:val="270"/>
        </w:trPr>
        <w:tc>
          <w:tcPr>
            <w:tcW w:w="800" w:type="dxa"/>
            <w:vAlign w:val="bottom"/>
          </w:tcPr>
          <w:p>
            <w:pPr>
              <w:spacing w:after="0"/>
              <w:rPr>
                <w:sz w:val="23"/>
                <w:szCs w:val="23"/>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139"/>
          </w:cols>
          <w:pgMar w:left="320" w:top="1012" w:right="1440"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Selling Shareholder</w:t>
            </w:r>
          </w:p>
        </w:tc>
        <w:tc>
          <w:tcPr>
            <w:tcW w:w="2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Firm Shares To Be Sold</w:t>
            </w:r>
          </w:p>
        </w:tc>
      </w:tr>
      <w:tr>
        <w:trPr>
          <w:trHeight w:val="27"/>
        </w:trPr>
        <w:tc>
          <w:tcPr>
            <w:tcW w:w="6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49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Skyline Venture Partners V, L.P.</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190,053</w:t>
            </w:r>
          </w:p>
        </w:tc>
      </w:tr>
      <w:tr>
        <w:trPr>
          <w:trHeight w:val="27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auto"/>
            </w:tcBorders>
          </w:tcPr>
          <w:p>
            <w:pPr>
              <w:spacing w:after="0"/>
              <w:rPr>
                <w:sz w:val="23"/>
                <w:szCs w:val="23"/>
                <w:color w:val="auto"/>
              </w:rPr>
            </w:pPr>
          </w:p>
        </w:tc>
      </w:tr>
      <w:tr>
        <w:trPr>
          <w:trHeight w:val="21"/>
        </w:trPr>
        <w:tc>
          <w:tcPr>
            <w:tcW w:w="6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0240"/>
          </w:cols>
          <w:pgMar w:left="1320" w:top="765"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 of Firm Shares To Be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Additional Shares To Be</w:t>
            </w:r>
          </w:p>
        </w:tc>
        <w:tc>
          <w:tcPr>
            <w:tcW w:w="0" w:type="dxa"/>
            <w:vAlign w:val="bottom"/>
          </w:tcPr>
          <w:p>
            <w:pPr>
              <w:spacing w:after="0"/>
              <w:rPr>
                <w:sz w:val="1"/>
                <w:szCs w:val="1"/>
                <w:color w:val="auto"/>
              </w:rPr>
            </w:pPr>
          </w:p>
        </w:tc>
      </w:tr>
      <w:tr>
        <w:trPr>
          <w:trHeight w:val="238"/>
        </w:trPr>
        <w:tc>
          <w:tcPr>
            <w:tcW w:w="438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2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Purchased if Full Option is Exercised</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1,212,221</w:t>
            </w:r>
          </w:p>
        </w:tc>
        <w:tc>
          <w:tcPr>
            <w:tcW w:w="32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181,832</w:t>
            </w:r>
          </w:p>
        </w:tc>
        <w:tc>
          <w:tcPr>
            <w:tcW w:w="0" w:type="dxa"/>
            <w:vAlign w:val="bottom"/>
          </w:tcPr>
          <w:p>
            <w:pPr>
              <w:spacing w:after="0"/>
              <w:rPr>
                <w:sz w:val="1"/>
                <w:szCs w:val="1"/>
                <w:color w:val="auto"/>
              </w:rPr>
            </w:pPr>
          </w:p>
        </w:tc>
      </w:tr>
      <w:tr>
        <w:trPr>
          <w:trHeight w:val="27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BofA Securities, Inc.</w:t>
            </w: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1,212,220</w:t>
            </w:r>
          </w:p>
        </w:tc>
        <w:tc>
          <w:tcPr>
            <w:tcW w:w="320" w:type="dxa"/>
            <w:vAlign w:val="bottom"/>
          </w:tcPr>
          <w:p>
            <w:pPr>
              <w:spacing w:after="0"/>
              <w:rPr>
                <w:sz w:val="23"/>
                <w:szCs w:val="23"/>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181,832</w:t>
            </w:r>
          </w:p>
        </w:tc>
        <w:tc>
          <w:tcPr>
            <w:tcW w:w="0" w:type="dxa"/>
            <w:vAlign w:val="bottom"/>
          </w:tcPr>
          <w:p>
            <w:pPr>
              <w:spacing w:after="0"/>
              <w:rPr>
                <w:sz w:val="1"/>
                <w:szCs w:val="1"/>
                <w:color w:val="auto"/>
              </w:rPr>
            </w:pPr>
          </w:p>
        </w:tc>
      </w:tr>
      <w:tr>
        <w:trPr>
          <w:trHeight w:val="27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Cantor Fitzgerald &amp; Co.</w:t>
            </w: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255,204</w:t>
            </w:r>
          </w:p>
        </w:tc>
        <w:tc>
          <w:tcPr>
            <w:tcW w:w="320" w:type="dxa"/>
            <w:vAlign w:val="bottom"/>
          </w:tcPr>
          <w:p>
            <w:pPr>
              <w:spacing w:after="0"/>
              <w:rPr>
                <w:sz w:val="23"/>
                <w:szCs w:val="23"/>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38,281</w:t>
            </w:r>
          </w:p>
        </w:tc>
        <w:tc>
          <w:tcPr>
            <w:tcW w:w="0" w:type="dxa"/>
            <w:vAlign w:val="bottom"/>
          </w:tcPr>
          <w:p>
            <w:pPr>
              <w:spacing w:after="0"/>
              <w:rPr>
                <w:sz w:val="1"/>
                <w:szCs w:val="1"/>
                <w:color w:val="auto"/>
              </w:rPr>
            </w:pPr>
          </w:p>
        </w:tc>
      </w:tr>
      <w:tr>
        <w:trPr>
          <w:trHeight w:val="27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JMP Securities LLC</w:t>
            </w: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255,204</w:t>
            </w:r>
          </w:p>
        </w:tc>
        <w:tc>
          <w:tcPr>
            <w:tcW w:w="320" w:type="dxa"/>
            <w:vAlign w:val="bottom"/>
          </w:tcPr>
          <w:p>
            <w:pPr>
              <w:spacing w:after="0"/>
              <w:rPr>
                <w:sz w:val="23"/>
                <w:szCs w:val="23"/>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38,281</w:t>
            </w:r>
          </w:p>
        </w:tc>
        <w:tc>
          <w:tcPr>
            <w:tcW w:w="0" w:type="dxa"/>
            <w:vAlign w:val="bottom"/>
          </w:tcPr>
          <w:p>
            <w:pPr>
              <w:spacing w:after="0"/>
              <w:rPr>
                <w:sz w:val="1"/>
                <w:szCs w:val="1"/>
                <w:color w:val="auto"/>
              </w:rPr>
            </w:pPr>
          </w:p>
        </w:tc>
      </w:tr>
      <w:tr>
        <w:trPr>
          <w:trHeight w:val="27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Needham &amp; Company, LLC</w:t>
            </w: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255,204</w:t>
            </w:r>
          </w:p>
        </w:tc>
        <w:tc>
          <w:tcPr>
            <w:tcW w:w="320" w:type="dxa"/>
            <w:vAlign w:val="bottom"/>
          </w:tcPr>
          <w:p>
            <w:pPr>
              <w:spacing w:after="0"/>
              <w:rPr>
                <w:sz w:val="23"/>
                <w:szCs w:val="23"/>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38,281</w:t>
            </w:r>
          </w:p>
        </w:tc>
        <w:tc>
          <w:tcPr>
            <w:tcW w:w="0" w:type="dxa"/>
            <w:vAlign w:val="bottom"/>
          </w:tcPr>
          <w:p>
            <w:pPr>
              <w:spacing w:after="0"/>
              <w:rPr>
                <w:sz w:val="1"/>
                <w:szCs w:val="1"/>
                <w:color w:val="auto"/>
              </w:rPr>
            </w:pPr>
          </w:p>
        </w:tc>
      </w:tr>
      <w:tr>
        <w:trPr>
          <w:trHeight w:val="27"/>
        </w:trPr>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2"/>
            <w:vMerge w:val="continue"/>
          </w:tcPr>
          <w:p>
            <w:pPr>
              <w:spacing w:after="0"/>
              <w:rPr>
                <w:sz w:val="20"/>
                <w:szCs w:val="20"/>
                <w:color w:val="auto"/>
              </w:rPr>
            </w:pP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3,190,053</w:t>
            </w:r>
          </w:p>
        </w:tc>
        <w:tc>
          <w:tcPr>
            <w:tcW w:w="32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478,507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0660"/>
          </w:cols>
          <w:pgMar w:left="900" w:top="765"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29"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Supplement dated October 14, 2020, and Basic Prospectus</w:t>
      </w:r>
    </w:p>
    <w:p>
      <w:pPr>
        <w:spacing w:after="0" w:line="21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writing prospectuses filed by the Company under Rule 433(d) of the Securities Act: None.</w:t>
      </w:r>
    </w:p>
    <w:p>
      <w:pPr>
        <w:spacing w:after="0" w:line="21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Firm Shares purchased by the Underwriters from the Company: 3,000,000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Firm Shares purchase by the Underwriters from the Selling Shareholder: 190,053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Additional Shares to be sold by the Company at the option of the Underwriters: up to 478,507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price per share to the public: $22.00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1240"/>
          </w:cols>
          <w:pgMar w:left="320" w:top="76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OF LOCK-UP LETTER</w:t>
      </w:r>
    </w:p>
    <w:p>
      <w:pPr>
        <w:spacing w:after="0" w:line="2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u w:val="single" w:color="auto"/>
          <w:color w:val="auto"/>
        </w:rPr>
        <w:t>[To be provided under separate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120"/>
          </w:cols>
          <w:pgMar w:left="1440" w:top="1008"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WAIVER OF LOCK-UP</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_____________,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Address of</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or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Requesting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Mr./Ms. [Name]: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letter is being delivered to you in connection with the offering by SI-BONE,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of _____ shares of common stock, par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and the lock-up letter dated ____, 20__ (the “</w:t>
      </w:r>
      <w:r>
        <w:rPr>
          <w:rFonts w:ascii="Times New Roman" w:cs="Times New Roman" w:eastAsia="Times New Roman" w:hAnsi="Times New Roman"/>
          <w:sz w:val="18"/>
          <w:szCs w:val="18"/>
          <w:b w:val="1"/>
          <w:bCs w:val="1"/>
          <w:color w:val="auto"/>
        </w:rPr>
        <w:t>Lock-up Letter</w:t>
      </w:r>
      <w:r>
        <w:rPr>
          <w:rFonts w:ascii="Times New Roman" w:cs="Times New Roman" w:eastAsia="Times New Roman" w:hAnsi="Times New Roman"/>
          <w:sz w:val="18"/>
          <w:szCs w:val="18"/>
          <w:color w:val="auto"/>
        </w:rPr>
        <w:t>”), executed by you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such offering, and your request for a [waiver] [release] dated ____, 20__, with respect to ____ shares of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Morgan Stanley &amp; Co. LLC and BofA Securities, Inc. hereby agree to [waive] [release] the transfer restrictions set forth in the Lock-up Letter, but only with respect to the Shares, effective _____, 20__.</w:t>
      </w:r>
    </w:p>
    <w:p>
      <w:pPr>
        <w:spacing w:after="0" w:line="162"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8"/>
          <w:szCs w:val="18"/>
          <w:color w:val="auto"/>
        </w:rPr>
        <w:t>Except as expressly [waived] [released] hereby, the Lock-up Letter shall remain in full force and effect.</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 Underwriters named in Schedule I hereto</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-7620</wp:posOffset>
            </wp:positionV>
            <wp:extent cx="114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240"/>
          </w:cols>
          <w:pgMar w:left="320" w:top="100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714500" cy="651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B. Hemington</w:t>
      </w:r>
    </w:p>
    <w:p>
      <w:pPr>
        <w:spacing w:after="0" w:line="27" w:lineRule="exact"/>
        <w:rPr>
          <w:sz w:val="20"/>
          <w:szCs w:val="20"/>
          <w:color w:val="auto"/>
        </w:rPr>
      </w:pPr>
    </w:p>
    <w:p>
      <w:pPr>
        <w:ind w:right="9240" w:firstLine="8"/>
        <w:spacing w:after="0" w:line="290" w:lineRule="auto"/>
        <w:tabs>
          <w:tab w:leader="none" w:pos="19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+1 650 843 5062 hemingtonmb@cooley.com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15, 2020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SI-BONE,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471 El Camino Real, Suite 101</w:t>
      </w:r>
    </w:p>
    <w:p>
      <w:pPr>
        <w:spacing w:after="0"/>
        <w:rPr>
          <w:sz w:val="20"/>
          <w:szCs w:val="20"/>
          <w:color w:val="auto"/>
        </w:rPr>
      </w:pPr>
      <w:r>
        <w:rPr>
          <w:rFonts w:ascii="Times New Roman" w:cs="Times New Roman" w:eastAsia="Times New Roman" w:hAnsi="Times New Roman"/>
          <w:sz w:val="18"/>
          <w:szCs w:val="18"/>
          <w:color w:val="auto"/>
        </w:rPr>
        <w:t>Santa Clara, CA 95050</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3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acted as counsel to SI-BONE,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sale of up to 3,668,560 shares of its common stock, par value $0.0001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which includes 3,478,507 Shares to be sold by the Company (including up to 478,507 Shares that may be sold by the Company upon exercise of an over-allotment option to be granted to the underwriters) (collectively, the “</w:t>
      </w:r>
      <w:r>
        <w:rPr>
          <w:rFonts w:ascii="Times New Roman" w:cs="Times New Roman" w:eastAsia="Times New Roman" w:hAnsi="Times New Roman"/>
          <w:sz w:val="18"/>
          <w:szCs w:val="18"/>
          <w:b w:val="1"/>
          <w:bCs w:val="1"/>
          <w:i w:val="1"/>
          <w:iCs w:val="1"/>
          <w:color w:val="auto"/>
        </w:rPr>
        <w:t>Company Shares</w:t>
      </w:r>
      <w:r>
        <w:rPr>
          <w:rFonts w:ascii="Times New Roman" w:cs="Times New Roman" w:eastAsia="Times New Roman" w:hAnsi="Times New Roman"/>
          <w:sz w:val="18"/>
          <w:szCs w:val="18"/>
          <w:color w:val="auto"/>
        </w:rPr>
        <w:t>”) and (ii) 190,053 Shares to be sold by the selling stockholder identified in the Prospectus (the “</w:t>
      </w:r>
      <w:r>
        <w:rPr>
          <w:rFonts w:ascii="Times New Roman" w:cs="Times New Roman" w:eastAsia="Times New Roman" w:hAnsi="Times New Roman"/>
          <w:sz w:val="18"/>
          <w:szCs w:val="18"/>
          <w:b w:val="1"/>
          <w:bCs w:val="1"/>
          <w:i w:val="1"/>
          <w:iCs w:val="1"/>
          <w:color w:val="auto"/>
        </w:rPr>
        <w:t>Stockholder Shares</w:t>
      </w:r>
      <w:r>
        <w:rPr>
          <w:rFonts w:ascii="Times New Roman" w:cs="Times New Roman" w:eastAsia="Times New Roman" w:hAnsi="Times New Roman"/>
          <w:sz w:val="18"/>
          <w:szCs w:val="18"/>
          <w:color w:val="auto"/>
        </w:rPr>
        <w:t>”), pursuant to the Registration Statement on Form S-3 (File No. 333-235714)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the prospectus included within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prospectus supplement dated October 14, 2020, and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pursuant to Rule 424(b) of the Rules and Regulations of the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and the Prospectus, the Company’s certificate of incorporation and bylaws, each as currently in effect, and such other documents, records, certificates, memoranda and other instruments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(i) the Company Shares, when sold and issued in accordance with the Registration Statement and the Prospectus, will be validly issued, fully paid, and nonassessable and (ii) the Stockholder Shares have been validly issued and are fully paid and nonassessable.</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opinion is limited to the matters stated herein and no opinion is implied or may be inferred beyond the matters expressly stated. Our opinion is based on these laws as in effect on the date hereof, and we disclaim any obligation to advise you of facts, circumstances, events or developments which hereafter may be brought to our attention and which may alter, affect or modify the opinion expressed herein.</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“Legal Matters” in the Prospectus and to the filing of this opinion as an exhibit to the Company’s Current Report on Form 8-K filed with the Commission for incorporation by reference in the Registration Statement.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3175 Hanover Street Palo Alto, CA 94304-1130</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(650) 843-5000 f: (650) 849-7400 cooley.com</w:t>
      </w:r>
    </w:p>
    <w:p>
      <w:pPr>
        <w:sectPr>
          <w:pgSz w:w="11900" w:h="16838" w:orient="portrait"/>
          <w:cols w:equalWidth="0" w:num="1">
            <w:col w:w="11240"/>
          </w:cols>
          <w:pgMar w:left="320" w:top="76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337"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/s/Matthew B. Hemington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wp:posOffset>
            </wp:positionV>
            <wp:extent cx="3797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5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Matthew B. Hemington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color w:val="auto"/>
        </w:rPr>
        <w:t>Cooley LLP 3175 Hanover Street Palo Alto, CA 94304-1130</w:t>
      </w:r>
    </w:p>
    <w:p>
      <w:pPr>
        <w:spacing w:after="0" w:line="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color w:val="auto"/>
        </w:rPr>
        <w:t>t: (650) 843-5000 f: (650) 849-7400 cooley.com</w:t>
      </w:r>
    </w:p>
    <w:sectPr>
      <w:pgSz w:w="11900" w:h="16838" w:orient="portrait"/>
      <w:cols w:equalWidth="0" w:num="1">
        <w:col w:w="10139"/>
      </w:cols>
      <w:pgMar w:left="320" w:top="7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lvl w:ilvl="1">
      <w:lvlJc w:val="left"/>
      <w:lvlText w:val="☐"/>
      <w:numFmt w:val="bullet"/>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Letter"/>
      <w:start w:val="2"/>
    </w:lvl>
  </w:abstractNum>
  <w:abstractNum w:abstractNumId="4">
    <w:nsid w:val="71F32454"/>
    <w:multiLevelType w:val="hybridMultilevel"/>
    <w:lvl w:ilvl="0">
      <w:lvlJc w:val="left"/>
      <w:lvlText w:val="(%1)"/>
      <w:numFmt w:val="lowerLetter"/>
      <w:start w:val="7"/>
    </w:lvl>
  </w:abstractNum>
  <w:abstractNum w:abstractNumId="5">
    <w:nsid w:val="2CA88611"/>
    <w:multiLevelType w:val="hybridMultilevel"/>
    <w:lvl w:ilvl="0">
      <w:lvlJc w:val="left"/>
      <w:lvlText w:val="(%1)"/>
      <w:numFmt w:val="lowerLetter"/>
      <w:start w:val="17"/>
    </w:lvl>
    <w:lvl w:ilvl="1">
      <w:lvlJc w:val="left"/>
      <w:lvlText w:val="(%2)"/>
      <w:numFmt w:val="upperLetter"/>
      <w:start w:val="1"/>
    </w:lvl>
  </w:abstractNum>
  <w:abstractNum w:abstractNumId="6">
    <w:nsid w:val="836C40E"/>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2"/>
    </w:lvl>
    <w:lvl w:ilvl="3">
      <w:lvlJc w:val="left"/>
      <w:lvlText w:val="(%4)"/>
      <w:numFmt w:val="upperLetter"/>
      <w:start w:val="1"/>
    </w:lvl>
  </w:abstractNum>
  <w:abstractNum w:abstractNumId="7">
    <w:nsid w:val="2901D82"/>
    <w:multiLevelType w:val="hybridMultilevel"/>
    <w:lvl w:ilvl="0">
      <w:lvlJc w:val="left"/>
      <w:lvlText w:val="(%1)"/>
      <w:numFmt w:val="lowerLetter"/>
      <w:start w:val="24"/>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8">
    <w:nsid w:val="3A95F874"/>
    <w:multiLevelType w:val="hybridMultilevel"/>
    <w:lvl w:ilvl="0">
      <w:lvlJc w:val="left"/>
      <w:lvlText w:val="(%1)"/>
      <w:numFmt w:val="lowerLetter"/>
      <w:start w:val="26"/>
    </w:lvl>
  </w:abstractNum>
  <w:abstractNum w:abstractNumId="9">
    <w:nsid w:val="8138641"/>
    <w:multiLevelType w:val="hybridMultilevel"/>
    <w:lvl w:ilvl="0">
      <w:lvlJc w:val="left"/>
      <w:lvlText w:val="(%1)"/>
      <w:numFmt w:val="lowerLetter"/>
      <w:start w:val="27"/>
    </w:lvl>
  </w:abstractNum>
  <w:abstractNum w:abstractNumId="10">
    <w:nsid w:val="1E7FF521"/>
    <w:multiLevelType w:val="hybridMultilevel"/>
    <w:lvl w:ilvl="0">
      <w:lvlJc w:val="left"/>
      <w:lvlText w:val="(%1)"/>
      <w:numFmt w:val="lowerLetter"/>
      <w:start w:val="30"/>
    </w:lvl>
  </w:abstractNum>
  <w:abstractNum w:abstractNumId="11">
    <w:nsid w:val="7C3DBD3D"/>
    <w:multiLevelType w:val="hybridMultilevel"/>
    <w:lvl w:ilvl="0">
      <w:lvlJc w:val="left"/>
      <w:lvlText w:val="(%1)"/>
      <w:numFmt w:val="lowerLetter"/>
      <w:start w:val="31"/>
    </w:lvl>
  </w:abstractNum>
  <w:abstractNum w:abstractNumId="12">
    <w:nsid w:val="737B8DDC"/>
    <w:multiLevelType w:val="hybridMultilevel"/>
    <w:lvl w:ilvl="0">
      <w:lvlJc w:val="left"/>
      <w:lvlText w:val="(%1)"/>
      <w:numFmt w:val="lowerLetter"/>
      <w:start w:val="37"/>
    </w:lvl>
  </w:abstractNum>
  <w:abstractNum w:abstractNumId="13">
    <w:nsid w:val="6CEAF087"/>
    <w:multiLevelType w:val="hybridMultilevel"/>
    <w:lvl w:ilvl="0">
      <w:lvlJc w:val="left"/>
      <w:lvlText w:val="(%1)"/>
      <w:numFmt w:val="lowerLetter"/>
      <w:start w:val="43"/>
    </w:lvl>
  </w:abstractNum>
  <w:abstractNum w:abstractNumId="14">
    <w:nsid w:val="22221A70"/>
    <w:multiLevelType w:val="hybridMultilevel"/>
    <w:lvl w:ilvl="0">
      <w:lvlJc w:val="left"/>
      <w:lvlText w:val="%1."/>
      <w:numFmt w:val="decimal"/>
      <w:start w:val="2"/>
    </w:lvl>
  </w:abstractNum>
  <w:abstractNum w:abstractNumId="15">
    <w:nsid w:val="4516DDE9"/>
    <w:multiLevelType w:val="hybridMultilevel"/>
    <w:lvl w:ilvl="0">
      <w:lvlJc w:val="left"/>
      <w:lvlText w:val="%1"/>
      <w:numFmt w:val="lowerLetter"/>
      <w:start w:val="1"/>
    </w:lvl>
    <w:lvl w:ilvl="1">
      <w:lvlJc w:val="left"/>
      <w:lvlText w:val="(%2)"/>
      <w:numFmt w:val="lowerLetter"/>
      <w:start w:val="1"/>
    </w:lvl>
  </w:abstractNum>
  <w:abstractNum w:abstractNumId="16">
    <w:nsid w:val="3006C83E"/>
    <w:multiLevelType w:val="hybridMultilevel"/>
    <w:lvl w:ilvl="0">
      <w:lvlJc w:val="left"/>
      <w:lvlText w:val="(%1)"/>
      <w:numFmt w:val="lowerLetter"/>
      <w:start w:val="3"/>
    </w:lvl>
    <w:lvl w:ilvl="1">
      <w:lvlJc w:val="left"/>
      <w:lvlText w:val="%2"/>
      <w:numFmt w:val="lowerLetter"/>
      <w:start w:val="1"/>
    </w:lvl>
  </w:abstractNum>
  <w:abstractNum w:abstractNumId="17">
    <w:nsid w:val="614FD4A1"/>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8">
    <w:nsid w:val="419AC241"/>
    <w:multiLevelType w:val="hybridMultilevel"/>
    <w:lvl w:ilvl="0">
      <w:lvlJc w:val="left"/>
      <w:lvlText w:val="(%1)"/>
      <w:numFmt w:val="lowerLetter"/>
      <w:start w:val="24"/>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19">
    <w:nsid w:val="5577F8E1"/>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lvl w:ilvl="3">
      <w:lvlJc w:val="left"/>
      <w:lvlText w:val="(%4)"/>
      <w:numFmt w:val="lowerRoman"/>
      <w:start w:val="3"/>
    </w:lvl>
  </w:abstractNum>
  <w:abstractNum w:abstractNumId="20">
    <w:nsid w:val="440BADFC"/>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lvl w:ilvl="3">
      <w:lvlJc w:val="left"/>
      <w:lvlText w:val="%4"/>
      <w:numFmt w:val="lowerRoman"/>
      <w:start w:val="1"/>
    </w:lvl>
  </w:abstractNum>
  <w:abstractNum w:abstractNumId="21">
    <w:nsid w:val="5072367"/>
    <w:multiLevelType w:val="hybridMultilevel"/>
    <w:lvl w:ilvl="0">
      <w:lvlJc w:val="left"/>
      <w:lvlText w:val="(%1)"/>
      <w:numFmt w:val="lowerRoman"/>
      <w:start w:val="3"/>
    </w:lvl>
    <w:lvl w:ilvl="1">
      <w:lvlJc w:val="left"/>
      <w:lvlText w:val="%2"/>
      <w:numFmt w:val="lowerRoman"/>
      <w:start w:val="1"/>
    </w:lvl>
    <w:lvl w:ilvl="2">
      <w:lvlJc w:val="left"/>
      <w:lvlText w:val="%3."/>
      <w:numFmt w:val="decimal"/>
      <w:start w:val="3"/>
    </w:lvl>
    <w:lvl w:ilvl="3">
      <w:lvlJc w:val="left"/>
      <w:lvlText w:val="%4"/>
      <w:numFmt w:val="lowerRoman"/>
      <w:start w:val="1"/>
    </w:lvl>
  </w:abstractNum>
  <w:abstractNum w:abstractNumId="22">
    <w:nsid w:val="3804823E"/>
    <w:multiLevelType w:val="hybridMultilevel"/>
    <w:lvl w:ilvl="0">
      <w:lvlJc w:val="left"/>
      <w:lvlText w:val="%1."/>
      <w:numFmt w:val="decimal"/>
      <w:start w:val="4"/>
    </w:lvl>
  </w:abstractNum>
  <w:abstractNum w:abstractNumId="23">
    <w:nsid w:val="77465F01"/>
    <w:multiLevelType w:val="hybridMultilevel"/>
    <w:lvl w:ilvl="0">
      <w:lvlJc w:val="left"/>
      <w:lvlText w:val="%1."/>
      <w:numFmt w:val="decimal"/>
      <w:start w:val="5"/>
    </w:lvl>
  </w:abstractNum>
  <w:abstractNum w:abstractNumId="24">
    <w:nsid w:val="7724C67E"/>
    <w:multiLevelType w:val="hybridMultilevel"/>
    <w:lvl w:ilvl="0">
      <w:lvlJc w:val="left"/>
      <w:lvlText w:val="%1."/>
      <w:numFmt w:val="decimal"/>
      <w:start w:val="6"/>
    </w:lvl>
  </w:abstractNum>
  <w:abstractNum w:abstractNumId="25">
    <w:nsid w:val="5C482A97"/>
    <w:multiLevelType w:val="hybridMultilevel"/>
    <w:lvl w:ilvl="0">
      <w:lvlJc w:val="left"/>
      <w:lvlText w:val="(%1)"/>
      <w:numFmt w:val="lowerLetter"/>
      <w:start w:val="1"/>
    </w:lvl>
    <w:lvl w:ilvl="1">
      <w:lvlJc w:val="left"/>
      <w:lvlText w:val="(%2)"/>
      <w:numFmt w:val="lowerRoman"/>
      <w:start w:val="1"/>
    </w:lvl>
  </w:abstractNum>
  <w:abstractNum w:abstractNumId="26">
    <w:nsid w:val="2463B9EA"/>
    <w:multiLevelType w:val="hybridMultilevel"/>
    <w:lvl w:ilvl="0">
      <w:lvlJc w:val="left"/>
      <w:lvlText w:val="(%1)"/>
      <w:numFmt w:val="lowerLetter"/>
      <w:start w:val="3"/>
    </w:lvl>
  </w:abstractNum>
  <w:abstractNum w:abstractNumId="27">
    <w:nsid w:val="5E884ADC"/>
    <w:multiLevelType w:val="hybridMultilevel"/>
    <w:lvl w:ilvl="0">
      <w:lvlJc w:val="left"/>
      <w:lvlText w:val="(%1)"/>
      <w:numFmt w:val="lowerLetter"/>
      <w:start w:val="7"/>
    </w:lvl>
    <w:lvl w:ilvl="1">
      <w:lvlJc w:val="left"/>
      <w:lvlText w:val="(%2)"/>
      <w:numFmt w:val="lowerRoman"/>
      <w:start w:val="1"/>
    </w:lvl>
  </w:abstractNum>
  <w:abstractNum w:abstractNumId="28">
    <w:nsid w:val="51EAD36B"/>
    <w:multiLevelType w:val="hybridMultilevel"/>
    <w:lvl w:ilvl="0">
      <w:lvlJc w:val="left"/>
      <w:lvlText w:val="%1."/>
      <w:numFmt w:val="decimal"/>
      <w:start w:val="7"/>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10"/>
    </w:lvl>
  </w:abstractNum>
  <w:abstractNum w:abstractNumId="31">
    <w:nsid w:val="153EA438"/>
    <w:multiLevelType w:val="hybridMultilevel"/>
    <w:lvl w:ilvl="0">
      <w:lvlJc w:val="left"/>
      <w:lvlText w:val="%1"/>
      <w:numFmt w:val="decimal"/>
      <w:start w:val="1"/>
    </w:lvl>
    <w:lvl w:ilvl="1">
      <w:lvlJc w:val="left"/>
      <w:lvlText w:val="(%2)"/>
      <w:numFmt w:val="lowerLetter"/>
      <w:start w:val="16"/>
    </w:lvl>
  </w:abstractNum>
  <w:abstractNum w:abstractNumId="32">
    <w:nsid w:val="3855585C"/>
    <w:multiLevelType w:val="hybridMultilevel"/>
    <w:lvl w:ilvl="0">
      <w:lvlJc w:val="left"/>
      <w:lvlText w:val="(%1)"/>
      <w:numFmt w:val="decimal"/>
      <w:start w:val="1"/>
    </w:lvl>
    <w:lvl w:ilvl="1">
      <w:lvlJc w:val="left"/>
      <w:lvlText w:val="(%2)"/>
      <w:numFmt w:val="lowerLetter"/>
      <w:start w:val="17"/>
    </w:lvl>
  </w:abstractNum>
  <w:abstractNum w:abstractNumId="33">
    <w:nsid w:val="70A64E2A"/>
    <w:multiLevelType w:val="hybridMultilevel"/>
    <w:lvl w:ilvl="0">
      <w:lvlJc w:val="left"/>
      <w:lvlText w:val="%1."/>
      <w:numFmt w:val="decimal"/>
      <w:start w:val="8"/>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decimal"/>
      <w:start w:val="9"/>
    </w:lvl>
  </w:abstractNum>
  <w:abstractNum w:abstractNumId="36">
    <w:nsid w:val="1D4ED43B"/>
    <w:multiLevelType w:val="hybridMultilevel"/>
    <w:lvl w:ilvl="0">
      <w:lvlJc w:val="left"/>
      <w:lvlText w:val="%1."/>
      <w:numFmt w:val="decimal"/>
      <w:start w:val="10"/>
    </w:lvl>
  </w:abstractNum>
  <w:abstractNum w:abstractNumId="37">
    <w:nsid w:val="725A06FB"/>
    <w:multiLevelType w:val="hybridMultilevel"/>
    <w:lvl w:ilvl="0">
      <w:lvlJc w:val="left"/>
      <w:lvlText w:val="(%1)"/>
      <w:numFmt w:val="lowerLetter"/>
      <w:start w:val="2"/>
    </w:lvl>
  </w:abstractNum>
  <w:abstractNum w:abstractNumId="38">
    <w:nsid w:val="2CD89A32"/>
    <w:multiLevelType w:val="hybridMultilevel"/>
    <w:lvl w:ilvl="0">
      <w:lvlJc w:val="left"/>
      <w:lvlText w:val="%1"/>
      <w:numFmt w:val="lowerLetter"/>
      <w:start w:val="1"/>
    </w:lvl>
    <w:lvl w:ilvl="1">
      <w:lvlJc w:val="left"/>
      <w:lvlText w:val="(%2)"/>
      <w:numFmt w:val="lowerLetter"/>
      <w:start w:val="4"/>
    </w:lvl>
  </w:abstractNum>
  <w:abstractNum w:abstractNumId="39">
    <w:nsid w:val="57E4CCAF"/>
    <w:multiLevelType w:val="hybridMultilevel"/>
    <w:lvl w:ilvl="0">
      <w:lvlJc w:val="left"/>
      <w:lvlText w:val="(%1)"/>
      <w:numFmt w:val="lowerLetter"/>
      <w:start w:val="61"/>
    </w:lvl>
    <w:lvl w:ilvl="1">
      <w:lvlJc w:val="left"/>
      <w:lvlText w:val="(%2)"/>
      <w:numFmt w:val="lowerLetter"/>
      <w:start w:val="5"/>
    </w:lvl>
  </w:abstractNum>
  <w:abstractNum w:abstractNumId="40">
    <w:nsid w:val="7A6D8D3C"/>
    <w:multiLevelType w:val="hybridMultilevel"/>
    <w:lvl w:ilvl="0">
      <w:lvlJc w:val="left"/>
      <w:lvlText w:val="(%1)"/>
      <w:numFmt w:val="lowerLetter"/>
      <w:start w:val="6"/>
    </w:lvl>
  </w:abstractNum>
  <w:abstractNum w:abstractNumId="41">
    <w:nsid w:val="4B588F54"/>
    <w:multiLevelType w:val="hybridMultilevel"/>
    <w:lvl w:ilvl="0">
      <w:lvlJc w:val="left"/>
      <w:lvlText w:val="%1."/>
      <w:numFmt w:val="decimal"/>
      <w:start w:val="11"/>
    </w:lvl>
  </w:abstractNum>
  <w:abstractNum w:abstractNumId="42">
    <w:nsid w:val="542289EC"/>
    <w:multiLevelType w:val="hybridMultilevel"/>
    <w:lvl w:ilvl="0">
      <w:lvlJc w:val="left"/>
      <w:lvlText w:val="(%1)"/>
      <w:numFmt w:val="lowerLetter"/>
      <w:start w:val="1"/>
    </w:lvl>
    <w:lvl w:ilvl="1">
      <w:lvlJc w:val="left"/>
      <w:lvlText w:val="%2."/>
      <w:numFmt w:val="decimal"/>
      <w:start w:val="13"/>
    </w:lvl>
  </w:abstractNum>
  <w:abstractNum w:abstractNumId="43">
    <w:nsid w:val="6DE91B18"/>
    <w:multiLevelType w:val="hybridMultilevel"/>
    <w:lvl w:ilvl="0">
      <w:lvlJc w:val="left"/>
      <w:lvlText w:val="(%1)"/>
      <w:numFmt w:val="lowerLetter"/>
      <w:start w:val="2"/>
    </w:lvl>
  </w:abstractNum>
  <w:abstractNum w:abstractNumId="44">
    <w:nsid w:val="38437FDB"/>
    <w:multiLevelType w:val="hybridMultilevel"/>
    <w:lvl w:ilvl="0">
      <w:lvlJc w:val="left"/>
      <w:lvlText w:val="%1."/>
      <w:numFmt w:val="decimal"/>
      <w:start w:val="14"/>
    </w:lvl>
  </w:abstractNum>
  <w:abstractNum w:abstractNumId="45">
    <w:nsid w:val="7644A45C"/>
    <w:multiLevelType w:val="hybridMultilevel"/>
    <w:lvl w:ilvl="0">
      <w:lvlJc w:val="left"/>
      <w:lvlText w:val="(%1)"/>
      <w:numFmt w:val="lowerLetter"/>
      <w:start w:val="2"/>
    </w:lvl>
  </w:abstractNum>
  <w:abstractNum w:abstractNumId="46">
    <w:nsid w:val="32FFF902"/>
    <w:multiLevelType w:val="hybridMultilevel"/>
    <w:lvl w:ilvl="0">
      <w:lvlJc w:val="left"/>
      <w:lvlText w:val="%1."/>
      <w:numFmt w:val="decimal"/>
      <w:start w:val="15"/>
    </w:lvl>
  </w:abstractNum>
  <w:abstractNum w:abstractNumId="47">
    <w:nsid w:val="684A481A"/>
    <w:multiLevelType w:val="hybridMultilevel"/>
    <w:lvl w:ilvl="0">
      <w:lvlJc w:val="left"/>
      <w:lvlText w:val="%1."/>
      <w:numFmt w:val="decimal"/>
      <w:start w:val="16"/>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2020-10-16T05:10:54Z</dcterms:created>
  <dcterms:modified xsi:type="dcterms:W3CDTF">2020-10-16T05:10:54Z</dcterms:modified>
</cp:coreProperties>
</file>