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0001853089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ANSHUL MAHESHWARI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19842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370648.56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19842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11"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11/17/2025 3460</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60297.12</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11/11/2025 2601</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47685.00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10/02/2025 3311</w:t>
            </w:r>
          </w:p>
        </w:tc>
        <w:tc>
          <w:tcPr>
            <w:tcW w:w="80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47012.77</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8/15/2022 through 4/1/2024</w:t>
      </w:r>
    </w:p>
    <w:p>
      <w:pPr>
        <w:spacing w:after="0"/>
        <w:rPr>
          <w:sz w:val="20"/>
          <w:szCs w:val="20"/>
          <w:color w:val="auto"/>
        </w:rPr>
      </w:pPr>
      <w:r>
        <w:rPr>
          <w:rFonts w:ascii="Times New Roman" w:cs="Times New Roman" w:eastAsia="Times New Roman" w:hAnsi="Times New Roman"/>
          <w:sz w:val="22"/>
          <w:szCs w:val="22"/>
          <w:color w:val="auto"/>
        </w:rPr>
        <w:t>11/21/2025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12/13/2024</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2025-11-21T15:52:17Z</dcterms:created>
  <dcterms:modified xsi:type="dcterms:W3CDTF">2025-11-21T15:52:17Z</dcterms:modified>
</cp:coreProperties>
</file>