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9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94"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122,315</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430,679</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91,736</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522,415</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30,579</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552,994</w:t>
            </w:r>
            <w:r>
              <w:rPr>
                <w:rFonts w:ascii="Times New Roman" w:cs="Times New Roman" w:eastAsia="Times New Roman" w:hAnsi="Times New Roman"/>
                <w:sz w:val="22"/>
                <w:szCs w:val="22"/>
                <w:color w:val="008000"/>
                <w:w w:val="91"/>
                <w:vertAlign w:val="superscript"/>
              </w:rPr>
              <w:t>(4)(5)</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341,462</w:t>
            </w:r>
            <w:r>
              <w:rPr>
                <w:rFonts w:ascii="Times New Roman" w:cs="Times New Roman" w:eastAsia="Times New Roman" w:hAnsi="Times New Roman"/>
                <w:sz w:val="22"/>
                <w:szCs w:val="22"/>
                <w:color w:val="008000"/>
                <w:w w:val="96"/>
                <w:vertAlign w:val="superscript"/>
              </w:rPr>
              <w:t>(5)</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February 15, 2025,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two years beginning February 15, 2026, with the number of shares earned based on the Company's 2025 Net Revenue growth and Adjusted EBITDA.</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540,562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David &amp; Laura Francis Joint Rev Tr.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Francis Joint Rev Tr.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4"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2025-02-05T17:13:48Z</dcterms:created>
  <dcterms:modified xsi:type="dcterms:W3CDTF">2025-02-05T17:13:48Z</dcterms:modified>
</cp:coreProperties>
</file>