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No.__)</w:t>
      </w:r>
    </w:p>
    <w:p>
      <w:pPr>
        <w:spacing w:after="0" w:line="232"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right="5020" w:firstLine="8"/>
        <w:spacing w:after="0" w:line="230" w:lineRule="exact"/>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152400</wp:posOffset>
            </wp:positionV>
            <wp:extent cx="2202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125730</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2" w:lineRule="exact"/>
        <w:rPr>
          <w:sz w:val="24"/>
          <w:szCs w:val="24"/>
          <w:color w:val="auto"/>
        </w:rPr>
      </w:pPr>
    </w:p>
    <w:p>
      <w:pPr>
        <w:ind w:right="5440" w:firstLine="8"/>
        <w:spacing w:after="0" w:line="532" w:lineRule="auto"/>
        <w:tabs>
          <w:tab w:leader="none" w:pos="3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3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right="20" w:firstLine="8"/>
        <w:spacing w:after="0" w:line="274" w:lineRule="auto"/>
        <w:tabs>
          <w:tab w:leader="none" w:pos="38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INVITATION TO 2021 ANNUAL MEETING OF STOCKHOLDERS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Thursday, June 10,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8:00 a.m., local time</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Please join me at the Annual Meeting of Stockholders of SI-BONE, Inc. on June 10, 2021. This year, we will be conducting a virtual annual meeting due to the continuing public health impact of coronavirus disease (COVID-19). You will not be able to attend the meeting in person, but we do encourage our stockholders participate in our annual meeting online by way of our live webcast as outlined in this proxy statement. At the annual meeting, we will ask you to:</w:t>
      </w:r>
    </w:p>
    <w:p>
      <w:pPr>
        <w:spacing w:after="0" w:line="2" w:lineRule="exact"/>
        <w:rPr>
          <w:sz w:val="20"/>
          <w:szCs w:val="20"/>
          <w:color w:val="auto"/>
        </w:rPr>
      </w:pPr>
    </w:p>
    <w:p>
      <w:pPr>
        <w:jc w:val="both"/>
        <w:ind w:firstLine="8"/>
        <w:spacing w:after="0" w:line="255" w:lineRule="auto"/>
        <w:tabs>
          <w:tab w:leader="none" w:pos="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Board of Directors’ three nominees, Helen Loh, Mika Nishimura and Keith C. Valentine, as directors serving in Class III of the Board of Directors of SI-BONE, each to serve until the next annual meeting in which directors in Class III shall be elected, or until a successor is duly elected and qualified;</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firstLine="8"/>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by the Audit Committee of the Board of Directors of PricewaterhouseCoopers LLP as our independent registered public accounting firm for our fiscal year ending December 31, 2021;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 will also be present.</w:t>
      </w:r>
    </w:p>
    <w:p>
      <w:pPr>
        <w:spacing w:after="0" w:line="2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Whether or not you are able to attend the annual meeting by webcast, it is important that your shares be represented. We have provided in the accompanying proxy statement instructions on how to vote your shares. Please vote as soon as possible.</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 yours,</w:t>
      </w:r>
    </w:p>
    <w:p>
      <w:pPr>
        <w:spacing w:after="0" w:line="1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8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2021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cordially invited to attend the virtual Annual Meeting of Stockholders of SI-BONE, Inc., a Delaware corporation. The meeting will be a completely virtual meeting of stockholders and will be held on Thursday, June 10, 2021 at 8:00 a.m. local time by live webcast as described in the proxy statement accompanying this notice. The Annual Meeting is being held for the following purposes:</w:t>
      </w:r>
    </w:p>
    <w:p>
      <w:pPr>
        <w:spacing w:after="0" w:line="211" w:lineRule="exact"/>
        <w:rPr>
          <w:sz w:val="20"/>
          <w:szCs w:val="20"/>
          <w:color w:val="auto"/>
        </w:rPr>
      </w:pPr>
    </w:p>
    <w:p>
      <w:pPr>
        <w:ind w:firstLine="8"/>
        <w:spacing w:after="0" w:line="277"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Board of Director’s three nominees for director to serve until the 2024 Annual Meeting of Stockholders or until their successors are elected and qualified.</w:t>
      </w:r>
    </w:p>
    <w:p>
      <w:pPr>
        <w:spacing w:after="0" w:line="197" w:lineRule="exact"/>
        <w:rPr>
          <w:rFonts w:ascii="Arial" w:cs="Arial" w:eastAsia="Arial" w:hAnsi="Arial"/>
          <w:sz w:val="18"/>
          <w:szCs w:val="18"/>
          <w:color w:val="auto"/>
        </w:rPr>
      </w:pPr>
    </w:p>
    <w:p>
      <w:pPr>
        <w:ind w:right="20" w:firstLine="8"/>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PricewaterhouseCoopers LLP as our independent registered public accounting firm for the fiscal year ending December 31, 2021.</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will be able to attend the virtual Annual Meeting and submit your questions and vote your shares online during the meeting by visiting www.virtualshareholdermeeting.com/SIBN2021 and using your 16-digit control number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stockholder list will also be available during the Annual Meeting at www.virtualshareholdermeeting.com/SIBN2021. Instructions on how stockholders of record can view the stockholder list during the Annual Meeting are posted at www.virtualshareholdermeeting.com/SIBN2021. The record date for the Annual Meeting is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right="4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2021 Stockholders’ Meeting to Be Held on June 10, 2021 via live webcast at www.virtualshareholdermeeting.com/SIBN2021. You will need the 16-digit control number provided on the proxy or information card in order to gain access to the Annual Meeting by live webcast.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Michael A. Pisetsky</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Secretary and Chief Legal</w:t>
      </w:r>
    </w:p>
    <w:p>
      <w:pPr>
        <w:ind w:left="4560"/>
        <w:spacing w:after="0"/>
        <w:rPr>
          <w:sz w:val="20"/>
          <w:szCs w:val="20"/>
          <w:color w:val="auto"/>
        </w:rPr>
      </w:pPr>
      <w:r>
        <w:rPr>
          <w:rFonts w:ascii="Arial" w:cs="Arial" w:eastAsia="Arial" w:hAnsi="Arial"/>
          <w:sz w:val="18"/>
          <w:szCs w:val="18"/>
          <w:color w:val="auto"/>
        </w:rPr>
        <w:t>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spacing w:after="0" w:line="274" w:lineRule="auto"/>
        <w:rPr>
          <w:sz w:val="20"/>
          <w:szCs w:val="20"/>
          <w:color w:val="auto"/>
        </w:rPr>
      </w:pPr>
      <w:r>
        <w:rPr>
          <w:rFonts w:ascii="Arial" w:cs="Arial" w:eastAsia="Arial" w:hAnsi="Arial"/>
          <w:sz w:val="17"/>
          <w:szCs w:val="17"/>
          <w:b w:val="1"/>
          <w:bCs w:val="1"/>
          <w:color w:val="auto"/>
        </w:rPr>
        <w:t>You are cordially invited to attend the meeting by live webcast as described in the proxy statement accompanying this notice. Whether or not you expect to attend the meeting, please vote as soon as possible. You may vote over the internet or by a toll-free telephone number. If, however, you requested to receive paper proxy materials, then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 TO BE HELD ON JUNE 10, 2021</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and our 2021 Annual Report to Stockholders, which includes our Annual Report on Form 10-K for the fiscal year ended December 31, 2020, are available on our website at https://investor.si-bone.com/financial-information/annual-reports and www.proxyvote.com. We intend to mail these proxy materials on or about April 30, 2021 to all stockholders of record entitled to vote at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 AGENDA</w:t>
      </w:r>
    </w:p>
    <w:p>
      <w:pPr>
        <w:sectPr>
          <w:pgSz w:w="11900" w:h="16838" w:orient="portrait"/>
          <w:cols w:equalWidth="0" w:num="1">
            <w:col w:w="11240"/>
          </w:cols>
          <w:pgMar w:left="320" w:top="918"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Proposal</w:t>
      </w:r>
    </w:p>
    <w:p>
      <w:pPr>
        <w:ind w:left="1000"/>
        <w:spacing w:after="0"/>
        <w:tabs>
          <w:tab w:leader="none" w:pos="36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8890</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2040" w:right="40" w:hanging="788"/>
        <w:spacing w:after="0" w:line="219" w:lineRule="auto"/>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Board of Directors' three nominees for director to serve until the 2024 Annual Meeting of Stockholders or until their successors are elected and qualified.</w:t>
      </w:r>
    </w:p>
    <w:p>
      <w:pPr>
        <w:spacing w:after="0" w:line="68" w:lineRule="exact"/>
        <w:rPr>
          <w:sz w:val="20"/>
          <w:szCs w:val="20"/>
          <w:color w:val="auto"/>
        </w:rPr>
      </w:pPr>
    </w:p>
    <w:p>
      <w:pPr>
        <w:ind w:left="2040" w:hanging="788"/>
        <w:spacing w:after="0" w:line="228" w:lineRule="auto"/>
        <w:tabs>
          <w:tab w:leader="none" w:pos="2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PricewaterhouseCoopers LLP as our independent registered public accounting firm for the fiscal year ending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20320</wp:posOffset>
            </wp:positionV>
            <wp:extent cx="2408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 w:lineRule="exact"/>
        <w:rPr>
          <w:sz w:val="20"/>
          <w:szCs w:val="20"/>
          <w:color w:val="auto"/>
        </w:rPr>
      </w:pPr>
    </w:p>
    <w:p>
      <w:pPr>
        <w:ind w:right="1520"/>
        <w:spacing w:after="0" w:line="224" w:lineRule="auto"/>
        <w:rPr>
          <w:sz w:val="20"/>
          <w:szCs w:val="20"/>
          <w:color w:val="auto"/>
        </w:rPr>
      </w:pPr>
      <w:r>
        <w:rPr>
          <w:rFonts w:ascii="Arial" w:cs="Arial" w:eastAsia="Arial" w:hAnsi="Arial"/>
          <w:sz w:val="18"/>
          <w:szCs w:val="18"/>
          <w:color w:val="auto"/>
        </w:rPr>
        <w:t>The three nominees receiving the most “For” votes will be elected; withheld votes will have no effect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votes from the holders of a</w:t>
      </w:r>
    </w:p>
    <w:p>
      <w:pPr>
        <w:spacing w:after="0" w:line="203" w:lineRule="auto"/>
        <w:rPr>
          <w:sz w:val="20"/>
          <w:szCs w:val="20"/>
          <w:color w:val="auto"/>
        </w:rPr>
      </w:pPr>
      <w:r>
        <w:rPr>
          <w:rFonts w:ascii="Arial" w:cs="Arial" w:eastAsia="Arial" w:hAnsi="Arial"/>
          <w:sz w:val="18"/>
          <w:szCs w:val="18"/>
          <w:color w:val="auto"/>
        </w:rPr>
        <w:t>majority of shares present in person,</w:t>
      </w:r>
    </w:p>
    <w:p>
      <w:pPr>
        <w:spacing w:after="0" w:line="203" w:lineRule="auto"/>
        <w:rPr>
          <w:sz w:val="20"/>
          <w:szCs w:val="20"/>
          <w:color w:val="auto"/>
        </w:rPr>
      </w:pPr>
      <w:r>
        <w:rPr>
          <w:rFonts w:ascii="Arial" w:cs="Arial" w:eastAsia="Arial" w:hAnsi="Arial"/>
          <w:sz w:val="18"/>
          <w:szCs w:val="18"/>
          <w:color w:val="auto"/>
        </w:rPr>
        <w:t>via webcast or represented by proxy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entitled to vote on the matter</w:t>
      </w:r>
    </w:p>
    <w:p>
      <w:pPr>
        <w:sectPr>
          <w:pgSz w:w="11900" w:h="16838" w:orient="portrait"/>
          <w:cols w:equalWidth="0" w:num="2">
            <w:col w:w="5600" w:space="560"/>
            <w:col w:w="5080"/>
          </w:cols>
          <w:pgMar w:left="320" w:top="918" w:right="339" w:bottom="1440" w:gutter="0" w:footer="0" w:header="0"/>
          <w:type w:val="continuous"/>
        </w:sectPr>
      </w:pPr>
    </w:p>
    <w:bookmarkStart w:id="4" w:name="page5"/>
    <w:bookmarkEnd w:id="4"/>
    <w:p>
      <w:pPr>
        <w:jc w:val="center"/>
        <w:ind w:right="-23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ind w:left="3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64"/>
        </w:trPr>
        <w:tc>
          <w:tcPr>
            <w:tcW w:w="8980" w:type="dxa"/>
            <w:vAlign w:val="bottom"/>
            <w:gridSpan w:val="4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QUESTIONS AND ANSWERS ABOUT THESE PROXY MATERIALS AND VOTING</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0000FF"/>
            </w:tcBorders>
            <w:gridSpan w:val="4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PROPOSAL NO. 1 ELECTION OF DIRECTORS</w:t>
              </w:r>
            </w:hyperlink>
          </w:p>
        </w:tc>
        <w:tc>
          <w:tcPr>
            <w:tcW w:w="25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INFORMATION REGARDING THE BOARD OF DIRECTORS AND CORPORATE GOVERNANCE</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020" w:type="dxa"/>
            <w:vAlign w:val="bottom"/>
            <w:tcBorders>
              <w:top w:val="single" w:sz="8" w:color="0000FF"/>
            </w:tcBorders>
            <w:gridSpan w:val="4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Family Relationships</w:t>
              </w:r>
            </w:hyperlink>
          </w:p>
        </w:tc>
        <w:tc>
          <w:tcPr>
            <w:tcW w:w="1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Independence of the Board of Directors</w:t>
              </w:r>
            </w:hyperlink>
          </w:p>
        </w:tc>
        <w:tc>
          <w:tcPr>
            <w:tcW w:w="560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5">
              <w:r>
                <w:rPr>
                  <w:rFonts w:ascii="Arial" w:cs="Arial" w:eastAsia="Arial" w:hAnsi="Arial"/>
                  <w:sz w:val="18"/>
                  <w:szCs w:val="18"/>
                  <w:color w:val="0000FF"/>
                  <w:w w:val="92"/>
                </w:rPr>
                <w:t>Board Skills and Attributes</w:t>
              </w:r>
            </w:hyperlink>
          </w:p>
        </w:tc>
        <w:tc>
          <w:tcPr>
            <w:tcW w:w="6480" w:type="dxa"/>
            <w:vAlign w:val="bottom"/>
            <w:gridSpan w:val="2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Board Leadership Structure</w:t>
              </w:r>
            </w:hyperlink>
          </w:p>
        </w:tc>
        <w:tc>
          <w:tcPr>
            <w:tcW w:w="6460" w:type="dxa"/>
            <w:vAlign w:val="bottom"/>
            <w:gridSpan w:val="2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Role of the Board in Risk Oversight</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Meetings of The Board of Directors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95"/>
              </w:rPr>
            </w:pPr>
            <w:hyperlink w:anchor="page17">
              <w:r>
                <w:rPr>
                  <w:rFonts w:ascii="Arial" w:cs="Arial" w:eastAsia="Arial" w:hAnsi="Arial"/>
                  <w:sz w:val="18"/>
                  <w:szCs w:val="18"/>
                  <w:color w:val="0000FF"/>
                  <w:w w:val="95"/>
                </w:rPr>
                <w:t>Board Committees and Meetings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1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Audit Committee</w:t>
              </w:r>
            </w:hyperlink>
          </w:p>
        </w:tc>
        <w:tc>
          <w:tcPr>
            <w:tcW w:w="6120" w:type="dxa"/>
            <w:vAlign w:val="bottom"/>
            <w:gridSpan w:val="2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34"/>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Report of the Audit Committee of the Board of Directors</w:t>
              </w:r>
            </w:hyperlink>
          </w:p>
        </w:tc>
        <w:tc>
          <w:tcPr>
            <w:tcW w:w="3900" w:type="dxa"/>
            <w:vAlign w:val="bottom"/>
            <w:gridSpan w:val="7"/>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16"/>
          </w:tcPr>
          <w:p>
            <w:pPr>
              <w:spacing w:after="0"/>
              <w:rPr>
                <w:rFonts w:ascii="Arial" w:cs="Arial" w:eastAsia="Arial" w:hAnsi="Arial"/>
                <w:sz w:val="18"/>
                <w:szCs w:val="18"/>
                <w:color w:val="0000FF"/>
                <w:w w:val="88"/>
              </w:rPr>
            </w:pPr>
            <w:hyperlink w:anchor="page18">
              <w:r>
                <w:rPr>
                  <w:rFonts w:ascii="Arial" w:cs="Arial" w:eastAsia="Arial" w:hAnsi="Arial"/>
                  <w:sz w:val="18"/>
                  <w:szCs w:val="18"/>
                  <w:color w:val="0000FF"/>
                  <w:w w:val="88"/>
                </w:rPr>
                <w:t>Compensation Committee</w:t>
              </w:r>
            </w:hyperlink>
          </w:p>
        </w:tc>
        <w:tc>
          <w:tcPr>
            <w:tcW w:w="2220" w:type="dxa"/>
            <w:vAlign w:val="bottom"/>
            <w:gridSpan w:val="18"/>
          </w:tcPr>
          <w:p>
            <w:pPr>
              <w:spacing w:after="0"/>
              <w:rPr>
                <w:sz w:val="18"/>
                <w:szCs w:val="18"/>
                <w:color w:val="auto"/>
              </w:rPr>
            </w:pPr>
          </w:p>
        </w:tc>
        <w:tc>
          <w:tcPr>
            <w:tcW w:w="3900" w:type="dxa"/>
            <w:vAlign w:val="bottom"/>
            <w:gridSpan w:val="7"/>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31"/>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Nominating and Corporate Governance Committee</w:t>
              </w:r>
            </w:hyperlink>
          </w:p>
        </w:tc>
        <w:tc>
          <w:tcPr>
            <w:tcW w:w="4320" w:type="dxa"/>
            <w:vAlign w:val="bottom"/>
            <w:gridSpan w:val="10"/>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13</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Stockholder Communications With The Board Of Directors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3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Code of Business Conduct and Ethics</w:t>
              </w:r>
            </w:hyperlink>
          </w:p>
        </w:tc>
        <w:tc>
          <w:tcPr>
            <w:tcW w:w="4160" w:type="dxa"/>
            <w:vAlign w:val="bottom"/>
            <w:gridSpan w:val="9"/>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2"/>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Corporate Governance Guidelines</w:t>
              </w:r>
            </w:hyperlink>
          </w:p>
        </w:tc>
        <w:tc>
          <w:tcPr>
            <w:tcW w:w="5740" w:type="dxa"/>
            <w:vAlign w:val="bottom"/>
            <w:gridSpan w:val="2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16"/>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Stock Ownership Guidelines</w:t>
              </w:r>
            </w:hyperlink>
          </w:p>
        </w:tc>
        <w:tc>
          <w:tcPr>
            <w:tcW w:w="380" w:type="dxa"/>
            <w:vAlign w:val="bottom"/>
            <w:gridSpan w:val="3"/>
          </w:tcPr>
          <w:p>
            <w:pPr>
              <w:spacing w:after="0"/>
              <w:rPr>
                <w:sz w:val="18"/>
                <w:szCs w:val="18"/>
                <w:color w:val="auto"/>
              </w:rPr>
            </w:pPr>
          </w:p>
        </w:tc>
        <w:tc>
          <w:tcPr>
            <w:tcW w:w="6000" w:type="dxa"/>
            <w:vAlign w:val="bottom"/>
            <w:gridSpan w:val="24"/>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PROPOSAL NO. 2 RATIFICATION OF SELECTION OF INDEPENDENT REGISTERED PUBLIC ACCOUNTING</w:t>
              </w:r>
            </w:hyperlink>
          </w:p>
        </w:tc>
        <w:tc>
          <w:tcPr>
            <w:tcW w:w="600" w:type="dxa"/>
            <w:vAlign w:val="bottom"/>
            <w:gridSpan w:val="2"/>
            <w:vMerge w:val="restart"/>
          </w:tcPr>
          <w:p>
            <w:pPr>
              <w:jc w:val="center"/>
              <w:ind w:left="3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w:anchor="page22">
              <w:r>
                <w:rPr>
                  <w:rFonts w:ascii="Arial" w:cs="Arial" w:eastAsia="Arial" w:hAnsi="Arial"/>
                  <w:sz w:val="18"/>
                  <w:szCs w:val="18"/>
                  <w:color w:val="0000FF"/>
                </w:rPr>
                <w:t>FIRM</w:t>
              </w:r>
            </w:hyperlink>
          </w:p>
        </w:tc>
        <w:tc>
          <w:tcPr>
            <w:tcW w:w="3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Principal Accountant Fees and Services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24"/>
          </w:tcPr>
          <w:p>
            <w:pPr>
              <w:spacing w:after="0"/>
              <w:rPr>
                <w:rFonts w:ascii="Arial" w:cs="Arial" w:eastAsia="Arial" w:hAnsi="Arial"/>
                <w:sz w:val="18"/>
                <w:szCs w:val="18"/>
                <w:color w:val="0000FF"/>
                <w:w w:val="93"/>
              </w:rPr>
            </w:pPr>
            <w:hyperlink w:anchor="page23">
              <w:r>
                <w:rPr>
                  <w:rFonts w:ascii="Arial" w:cs="Arial" w:eastAsia="Arial" w:hAnsi="Arial"/>
                  <w:sz w:val="18"/>
                  <w:szCs w:val="18"/>
                  <w:color w:val="0000FF"/>
                  <w:w w:val="93"/>
                </w:rPr>
                <w:t>Pre-Approval Policies and Procedures</w:t>
              </w:r>
            </w:hyperlink>
          </w:p>
        </w:tc>
        <w:tc>
          <w:tcPr>
            <w:tcW w:w="5600" w:type="dxa"/>
            <w:vAlign w:val="bottom"/>
            <w:gridSpan w:val="19"/>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SECURITY OWNERSHIP OF CERTAIN BENEFICIAL OWNERS AND MANAGEMENT</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5"/>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MANAGEMENT</w:t>
              </w:r>
            </w:hyperlink>
          </w:p>
        </w:tc>
        <w:tc>
          <w:tcPr>
            <w:tcW w:w="5480" w:type="dxa"/>
            <w:vAlign w:val="bottom"/>
            <w:gridSpan w:val="37"/>
          </w:tcPr>
          <w:p>
            <w:pPr>
              <w:spacing w:after="0"/>
              <w:rPr>
                <w:sz w:val="18"/>
                <w:szCs w:val="18"/>
                <w:color w:val="auto"/>
              </w:rPr>
            </w:pPr>
          </w:p>
        </w:tc>
        <w:tc>
          <w:tcPr>
            <w:tcW w:w="2260" w:type="dxa"/>
            <w:vAlign w:val="bottom"/>
            <w:gridSpan w:val="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18</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EXECUTIVE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Overview</w:t>
              </w:r>
            </w:hyperlink>
          </w:p>
        </w:tc>
        <w:tc>
          <w:tcPr>
            <w:tcW w:w="1200" w:type="dxa"/>
            <w:vAlign w:val="bottom"/>
            <w:gridSpan w:val="10"/>
          </w:tcPr>
          <w:p>
            <w:pPr>
              <w:spacing w:after="0"/>
              <w:rPr>
                <w:sz w:val="18"/>
                <w:szCs w:val="18"/>
                <w:color w:val="auto"/>
              </w:rPr>
            </w:pPr>
          </w:p>
        </w:tc>
        <w:tc>
          <w:tcPr>
            <w:tcW w:w="6540" w:type="dxa"/>
            <w:vAlign w:val="bottom"/>
            <w:gridSpan w:val="30"/>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80" w:type="dxa"/>
            <w:vAlign w:val="bottom"/>
            <w:gridSpan w:val="32"/>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Compensation and Governance Practices and Policies</w:t>
              </w:r>
            </w:hyperlink>
          </w:p>
        </w:tc>
        <w:tc>
          <w:tcPr>
            <w:tcW w:w="4580" w:type="dxa"/>
            <w:vAlign w:val="bottom"/>
            <w:gridSpan w:val="1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Peer Group</w:t>
              </w:r>
            </w:hyperlink>
          </w:p>
        </w:tc>
        <w:tc>
          <w:tcPr>
            <w:tcW w:w="3040" w:type="dxa"/>
            <w:vAlign w:val="bottom"/>
            <w:gridSpan w:val="28"/>
          </w:tcPr>
          <w:p>
            <w:pPr>
              <w:spacing w:after="0"/>
              <w:rPr>
                <w:sz w:val="18"/>
                <w:szCs w:val="18"/>
                <w:color w:val="auto"/>
              </w:rPr>
            </w:pPr>
          </w:p>
        </w:tc>
        <w:tc>
          <w:tcPr>
            <w:tcW w:w="4580" w:type="dxa"/>
            <w:vAlign w:val="bottom"/>
            <w:gridSpan w:val="1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17"/>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Summary Compensation Table</w:t>
              </w:r>
            </w:hyperlink>
          </w:p>
        </w:tc>
        <w:tc>
          <w:tcPr>
            <w:tcW w:w="6220" w:type="dxa"/>
            <w:vAlign w:val="bottom"/>
            <w:gridSpan w:val="2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Outstanding Equity Awards at Outstanding Equity Awards at December 31, 2020</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3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Narrative of Executive Compensation</w:t>
              </w:r>
            </w:hyperlink>
          </w:p>
        </w:tc>
        <w:tc>
          <w:tcPr>
            <w:tcW w:w="2620" w:type="dxa"/>
            <w:vAlign w:val="bottom"/>
            <w:gridSpan w:val="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Base Salaries</w:t>
              </w:r>
            </w:hyperlink>
          </w:p>
        </w:tc>
        <w:tc>
          <w:tcPr>
            <w:tcW w:w="5740" w:type="dxa"/>
            <w:vAlign w:val="bottom"/>
            <w:gridSpan w:val="2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20" w:type="dxa"/>
            <w:vAlign w:val="bottom"/>
            <w:gridSpan w:val="4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Annual Bonuses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20" w:type="dxa"/>
            <w:vAlign w:val="bottom"/>
            <w:gridSpan w:val="4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Equity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401(k) Plan</w:t>
              </w:r>
            </w:hyperlink>
          </w:p>
        </w:tc>
        <w:tc>
          <w:tcPr>
            <w:tcW w:w="7600" w:type="dxa"/>
            <w:vAlign w:val="bottom"/>
            <w:gridSpan w:val="3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Emerging Growth Company Status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2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Pension Benefits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Nonqualified Deferred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20" w:type="dxa"/>
            <w:vAlign w:val="bottom"/>
            <w:gridSpan w:val="35"/>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Employment Severance and Change in Control Agreements</w:t>
              </w:r>
            </w:hyperlink>
          </w:p>
        </w:tc>
        <w:tc>
          <w:tcPr>
            <w:tcW w:w="4140" w:type="dxa"/>
            <w:vAlign w:val="bottom"/>
            <w:gridSpan w:val="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5"/>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SI-BONE, Inc. Severance Benefit Plan</w:t>
              </w:r>
            </w:hyperlink>
          </w:p>
        </w:tc>
        <w:tc>
          <w:tcPr>
            <w:tcW w:w="1060" w:type="dxa"/>
            <w:vAlign w:val="bottom"/>
            <w:gridSpan w:val="8"/>
          </w:tcPr>
          <w:p>
            <w:pPr>
              <w:spacing w:after="0"/>
              <w:rPr>
                <w:sz w:val="18"/>
                <w:szCs w:val="18"/>
                <w:color w:val="auto"/>
              </w:rPr>
            </w:pPr>
          </w:p>
        </w:tc>
        <w:tc>
          <w:tcPr>
            <w:tcW w:w="4140" w:type="dxa"/>
            <w:vAlign w:val="bottom"/>
            <w:gridSpan w:val="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4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Offer and Severance Arrangement Letters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Securities Authorized for Issuance under Equity Compensation Plans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30"/>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Compensation of Non-Employee Board Members</w:t>
              </w:r>
            </w:hyperlink>
          </w:p>
        </w:tc>
        <w:tc>
          <w:tcPr>
            <w:tcW w:w="1360" w:type="dxa"/>
            <w:vAlign w:val="bottom"/>
            <w:gridSpan w:val="7"/>
          </w:tcPr>
          <w:p>
            <w:pPr>
              <w:spacing w:after="0"/>
              <w:rPr>
                <w:sz w:val="18"/>
                <w:szCs w:val="18"/>
                <w:color w:val="auto"/>
              </w:rPr>
            </w:pPr>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28"/>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Non-Employee Director Compensation Policy</w:t>
              </w:r>
            </w:hyperlink>
          </w:p>
        </w:tc>
        <w:tc>
          <w:tcPr>
            <w:tcW w:w="260" w:type="dxa"/>
            <w:vAlign w:val="bottom"/>
            <w:gridSpan w:val="2"/>
          </w:tcPr>
          <w:p>
            <w:pPr>
              <w:spacing w:after="0"/>
              <w:rPr>
                <w:sz w:val="18"/>
                <w:szCs w:val="18"/>
                <w:color w:val="auto"/>
              </w:rPr>
            </w:pP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39"/>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CERTAIN RELATIONSHIPS AND RELATED PARTY TRANSACTIONS</w:t>
              </w:r>
            </w:hyperlink>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gridSpan w:val="3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Related Person Transactions Policy and Procedures</w:t>
              </w:r>
            </w:hyperlink>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Certain Related Person Transactions</w:t>
              </w:r>
            </w:hyperlink>
          </w:p>
        </w:tc>
        <w:tc>
          <w:tcPr>
            <w:tcW w:w="4760" w:type="dxa"/>
            <w:vAlign w:val="bottom"/>
            <w:gridSpan w:val="12"/>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540" w:type="dxa"/>
            <w:vAlign w:val="bottom"/>
            <w:tcBorders>
              <w:left w:val="single" w:sz="8" w:color="0000FF"/>
            </w:tcBorders>
            <w:gridSpan w:val="7"/>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20"/>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INDEMNIFICATION AGREEMENTS</w:t>
              </w:r>
            </w:hyperlink>
          </w:p>
        </w:tc>
        <w:tc>
          <w:tcPr>
            <w:tcW w:w="6120" w:type="dxa"/>
            <w:vAlign w:val="bottom"/>
            <w:gridSpan w:val="2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HOUSEHOLDING OF PROXY MATERIALS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shd w:val="clear" w:color="auto" w:fill="0000FF"/>
          </w:tcPr>
          <w:p>
            <w:pPr>
              <w:spacing w:after="0" w:line="20" w:lineRule="exact"/>
              <w:rPr>
                <w:sz w:val="1"/>
                <w:szCs w:val="1"/>
                <w:color w:val="auto"/>
              </w:rPr>
            </w:pPr>
          </w:p>
        </w:tc>
        <w:tc>
          <w:tcPr>
            <w:tcW w:w="1940" w:type="dxa"/>
            <w:vAlign w:val="bottom"/>
            <w:gridSpan w:val="19"/>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MATTERS</w:t>
              </w:r>
            </w:hyperlink>
          </w:p>
        </w:tc>
        <w:tc>
          <w:tcPr>
            <w:tcW w:w="5580" w:type="dxa"/>
            <w:vAlign w:val="bottom"/>
            <w:gridSpan w:val="1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960" w:top="126" w:right="1219" w:bottom="1440" w:gutter="0" w:footer="0" w:header="0"/>
        </w:sectPr>
      </w:pPr>
    </w:p>
    <w:bookmarkStart w:id="5" w:name="page6"/>
    <w:bookmarkEnd w:id="5"/>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have sent you these proxy materials because our Board of Directors (the “Board” or “Board of Directors”) is soliciting your proxy to vote at the 2021 Annual Meeting of Stockholders, including at any adjournments or postponements of the meeting. You are invited to attend the virtual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on the internet.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Annual Meeting, the voting process, corporate governance, the compensation of our directors and certain executive officers, and other required information;</w:t>
      </w:r>
    </w:p>
    <w:p>
      <w:pPr>
        <w:spacing w:after="0" w:line="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2020 Annual Report to Stockholders, which is our Annual Report on Form 10-K for the fiscal year ended December 31, 2020; and</w:t>
      </w:r>
    </w:p>
    <w:p>
      <w:pPr>
        <w:spacing w:after="0" w:line="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Annual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annual meeting will be held on Thursday, June 10, 2021 at 8:00 a.m. local time by live webcast. There will not be a physical meeting location and you will not be able to attend the meeting in person physically. We invite you to attend the annual meeting by live webcast. The live audio webcast will be held on Thursday, June 10, 2021, and will begin promptly at 8:00 a.m. local time.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www.virtualshareholdermeeting.com/SIBN2021.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 as a Guest</w:t>
      </w:r>
    </w:p>
    <w:p>
      <w:pPr>
        <w:spacing w:after="0" w:line="28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Guests may enter the Annual Meeting in “listen-only” mode by entering the Annual Meeting at www.virtualshareholdermeeting.com/SIBN2021 and entering the information requested in the “Guest Login” section. Guests will not have the ability to vote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SI-BONE having a virtual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Due to the continuing concerns regarding the COVID-19 outbreak and to assist in protecting the health and well-being of our stockholders and employees, this year’s annual meeting of our stockholders of will be held virtually via the internet. Stockholders attending virtually via the internet will be able to listen and vote regardless of location via the internet at www.virtualshareholdermeeting.com/SIBN2021 by using the 16-digit control number included on your proxy card or information card and the instructions that accompanied your proxy materials.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Only stockholders of record and beneficial owners at the close of business on April 12, 2021 will be entitled to vote at the annual meeting. On this record date, there were 32,811,927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on April 12, 2021, your shares were registered directly in your name with our transfer agent, American Stock Transfer &amp; Trust Company, LLC, then you are a stockholder of record. As a stockholder of record, you may vote via webcast at the meeting or vote by proxy. Whether or not you plan to attend the meeting via webcast, we urge you to fill out and return the enclosed proxy card or vote by proxy over the telephone or on the internet as instructed below to ensure your vote is counted.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3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If on April 12, 2021,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Broadridge, the hosting service for the annual meeting, has advised us that even as a beneficial owner in street name, you will be able to vote your shares at the annual meeting using your 16-digit control number you can find on your voter information card. Beneficial owners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ask questions at the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are attending the Annual Meeting as a stockholder of record or as a beneficial owner, questions can be submitted by accessing the meeting center at www.virtualshareholdermeeting.com/SIBN2021, entering your 16-digit control number and following the instructions. Instructions on how to ask questions and participate in the Annual Meeting are posted at www.virtualshareholdermeeting.com/SIBN2021. Guests will not have the ability to ask questions during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Stockholders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list of stockholders entitled to vote at the Annual Meeting will be available for examination for any purpose germane to the Annual Meeting during normal business hours for ten days prior to the Annual Meeting at our corporate headquarters. Due to the COVID-19 pandemic, please email us at StockholderCommunications@si-bone.com to arrange a time to review. The stockholder list will also be available during the Annual Meeting at www.virtualshareholdermeeting.com/SIBN2021. Instructions on how stockholders of record can view the stockholder list during the Annual Meeting are posted at www.virtualshareholdermeeting.com/SIBN2021.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two matters scheduled for a vote: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three directors (Proposal No. 1);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Ratification of selection by the Audit Committee of the Board of Directors of PricewaterhouseCoopers LLP as independent registered public accounting firm of SI-BONE for its fiscal year ending December 31, 2021 (Proposal No. 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under the Exchange Act, in accordance with their best judgment.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do I vote?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2021, you may vote “For” or “Against” or abstain from voting.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you are a stockholder of record, you may vote via webcast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via webcast even if you have already voted by proxy.</w:t>
      </w:r>
    </w:p>
    <w:p>
      <w:pPr>
        <w:spacing w:after="0" w:line="169" w:lineRule="exact"/>
        <w:rPr>
          <w:sz w:val="20"/>
          <w:szCs w:val="20"/>
          <w:color w:val="auto"/>
        </w:rPr>
      </w:pPr>
    </w:p>
    <w:p>
      <w:pPr>
        <w:ind w:left="660" w:right="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at the live webcast, follow the instructions at www.virtualshareholdermeeting.com/SIBN2021. You will need the 16-digit control number provided on the proxy card in order to gain access to the annual meeting via webcast.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jc w:val="both"/>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control number from the enclosed proxy card. Your telephone vote must be received by 11:59 p.m., Eastern Time on June 9, 2021, to be counted.</w:t>
      </w:r>
    </w:p>
    <w:p>
      <w:pPr>
        <w:spacing w:after="0" w:line="1" w:lineRule="exact"/>
        <w:rPr>
          <w:rFonts w:ascii="Arial" w:cs="Arial" w:eastAsia="Arial" w:hAnsi="Arial"/>
          <w:sz w:val="18"/>
          <w:szCs w:val="18"/>
          <w:color w:val="auto"/>
        </w:rPr>
      </w:pPr>
    </w:p>
    <w:p>
      <w:pPr>
        <w:ind w:left="660" w:hanging="328"/>
        <w:spacing w:after="0" w:line="290"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vote through the internet, go to www.proxyvote.com to complete an electronic proxy card. You will be asked to provide control number from the enclosed proxy card. Your internet vote must be received by 11:59 p.m. Eastern Time on June 9, 2021 to be counted.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at the live webcast, Broadridge, the hosting service for the annual meeting, has advised us that even as a beneficial owner in street name, you will be able to vote your shares at the annual meeting using your 16-digit control number you can find on your voter information card. Whether or not you plan to attend the meeting, we urge you to vote by proxy to ensure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owned as of April 12, 2021.</w:t>
      </w:r>
    </w:p>
    <w:p>
      <w:pPr>
        <w:spacing w:after="0" w:line="234"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via webcast at the annual meeting, your shares will not be voted.</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all of the nominees for director, and “For” the ratification of selection by the Audit Committee of the Board of Directors of PricewaterhouseCoopers LLP as independent registered public accounting firm of SI-BONE for its fiscal year ending December 31, 2021. If any other matter is properly presented at the meeting, your proxyholder (one of the individuals named on your proxy card) will vote your shares using his or her best judgment.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the election of directors, is considered to be “non-routine” under NYSE rules meaning that your broker may not vote your shares on that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the attention of our Chief Legal Officer and Secretary at 471 El Camino Real, Suite 101, Santa Clara, California 95050.</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attend the annual meeting and vote via webcast. Simply attending the meeting will not, by itself, revoke your proxy.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by December 31, 2021, to SI-BONE, Inc., Attn: Michael A. Pisetsky, Chief Legal Officer, 471 El Camino Real, Suite 101, Santa Clara, California 95050; provided, however, that if the 2022 annual meeting of stockholders is held before May 11, 2022 or after July 10, 2022, then your proposal must be submitted in writing a reasonable amount of time before the 2022 annual meeting of stockholders.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12, 2022, nor earlier than the close of business on February 10, 2022; provided, however, that in the event that the date of the annual meeting is held earlier than May 11, 2022, or held later than July 10, 2022,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Stockholders wishing to make stockholder proposals or nominations for directors should consult our bylaws, which contain additional requirements and information regarding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(a) for the proposal to elect directors, votes “For,” votes “Withheld” and broker non-votes, and (b) with respect to the ratification of selection by the Audit Committee of the Board of Directors of PricewaterhouseCoopers LLP as independent registered public accounting firm of SI-BONE for its fiscal year ending December 31, 2021, or any other proposals, votes “For” and “Against,” abstentions and, if applicable, broker non-votes.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Abstentions will be counted towards the vote total for Proposal No. 2, and will have the same effect as “Against” votes. As Proposal No. 2 is a “routine” matter we do not expect there to be any broker non-votes, but if there are broker non-votes, they will have no effect and will not be counted towards the vote total for any proposal.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b w:val="1"/>
                <w:bCs w:val="1"/>
                <w:color w:val="auto"/>
              </w:rPr>
              <w:t>Proposal</w:t>
            </w:r>
          </w:p>
        </w:tc>
        <w:tc>
          <w:tcPr>
            <w:tcW w:w="2160" w:type="dxa"/>
            <w:vAlign w:val="bottom"/>
            <w:vMerge w:val="restart"/>
          </w:tcPr>
          <w:p>
            <w:pPr>
              <w:ind w:left="720"/>
              <w:spacing w:after="0"/>
              <w:rPr>
                <w:sz w:val="20"/>
                <w:szCs w:val="20"/>
                <w:color w:val="auto"/>
              </w:rPr>
            </w:pPr>
            <w:r>
              <w:rPr>
                <w:rFonts w:ascii="Arial" w:cs="Arial" w:eastAsia="Arial" w:hAnsi="Arial"/>
                <w:sz w:val="16"/>
                <w:szCs w:val="16"/>
                <w:b w:val="1"/>
                <w:bCs w:val="1"/>
                <w:color w:val="auto"/>
                <w:w w:val="88"/>
              </w:rPr>
              <w:t>Proposal Description</w:t>
            </w:r>
          </w:p>
        </w:tc>
        <w:tc>
          <w:tcPr>
            <w:tcW w:w="0" w:type="dxa"/>
            <w:vAlign w:val="bottom"/>
          </w:tcPr>
          <w:p>
            <w:pPr>
              <w:spacing w:after="0"/>
              <w:rPr>
                <w:sz w:val="1"/>
                <w:szCs w:val="1"/>
                <w:color w:val="auto"/>
              </w:rPr>
            </w:pPr>
          </w:p>
        </w:tc>
      </w:tr>
      <w:tr>
        <w:trPr>
          <w:trHeight w:val="210"/>
        </w:trPr>
        <w:tc>
          <w:tcPr>
            <w:tcW w:w="134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3810</wp:posOffset>
            </wp:positionV>
            <wp:extent cx="29832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1200" w:hanging="76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0" w:hanging="764"/>
        <w:spacing w:after="0" w:line="249"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Ratification of the selection of PricewaterhouseCoopers LLP as SI-BONE’s independent registered public accounting firm for the fiscal year ending December 31,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Effect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Effect of</w:t>
            </w:r>
          </w:p>
        </w:tc>
        <w:tc>
          <w:tcPr>
            <w:tcW w:w="0" w:type="dxa"/>
            <w:vAlign w:val="bottom"/>
          </w:tcPr>
          <w:p>
            <w:pPr>
              <w:spacing w:after="0"/>
              <w:rPr>
                <w:sz w:val="1"/>
                <w:szCs w:val="1"/>
                <w:color w:val="auto"/>
              </w:rPr>
            </w:pPr>
          </w:p>
        </w:tc>
      </w:tr>
      <w:tr>
        <w:trPr>
          <w:trHeight w:val="162"/>
        </w:trPr>
        <w:tc>
          <w:tcPr>
            <w:tcW w:w="360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Vote Required for Approval</w:t>
            </w:r>
          </w:p>
        </w:tc>
        <w:tc>
          <w:tcPr>
            <w:tcW w:w="1520" w:type="dxa"/>
            <w:vAlign w:val="bottom"/>
            <w:gridSpan w:val="2"/>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Broker Non-</w:t>
            </w:r>
          </w:p>
        </w:tc>
        <w:tc>
          <w:tcPr>
            <w:tcW w:w="0" w:type="dxa"/>
            <w:vAlign w:val="bottom"/>
          </w:tcPr>
          <w:p>
            <w:pPr>
              <w:spacing w:after="0"/>
              <w:rPr>
                <w:sz w:val="1"/>
                <w:szCs w:val="1"/>
                <w:color w:val="auto"/>
              </w:rPr>
            </w:pPr>
          </w:p>
        </w:tc>
      </w:tr>
      <w:tr>
        <w:trPr>
          <w:trHeight w:val="213"/>
        </w:trPr>
        <w:tc>
          <w:tcPr>
            <w:tcW w:w="3600" w:type="dxa"/>
            <w:vAlign w:val="bottom"/>
            <w:gridSpan w:val="2"/>
            <w:vMerge w:val="continue"/>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Abstentions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2"/>
              </w:rPr>
              <w:t>Votes</w:t>
            </w:r>
          </w:p>
        </w:tc>
        <w:tc>
          <w:tcPr>
            <w:tcW w:w="0" w:type="dxa"/>
            <w:vAlign w:val="bottom"/>
          </w:tcPr>
          <w:p>
            <w:pPr>
              <w:spacing w:after="0"/>
              <w:rPr>
                <w:sz w:val="1"/>
                <w:szCs w:val="1"/>
                <w:color w:val="auto"/>
              </w:rPr>
            </w:pPr>
          </w:p>
        </w:tc>
      </w:tr>
      <w:tr>
        <w:trPr>
          <w:trHeight w:val="172"/>
        </w:trPr>
        <w:tc>
          <w:tcPr>
            <w:tcW w:w="334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8"/>
                <w:szCs w:val="18"/>
                <w:color w:val="auto"/>
              </w:rPr>
              <w:t>The three nominees receiving the most</w:t>
            </w:r>
          </w:p>
        </w:tc>
        <w:tc>
          <w:tcPr>
            <w:tcW w:w="26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8"/>
                <w:szCs w:val="18"/>
                <w:color w:val="auto"/>
                <w:w w:val="91"/>
              </w:rPr>
              <w:t>Not applicable</w:t>
            </w:r>
          </w:p>
        </w:tc>
        <w:tc>
          <w:tcPr>
            <w:tcW w:w="260" w:type="dxa"/>
            <w:vAlign w:val="bottom"/>
          </w:tcPr>
          <w:p>
            <w:pPr>
              <w:spacing w:after="0"/>
              <w:rPr>
                <w:sz w:val="14"/>
                <w:szCs w:val="14"/>
                <w:color w:val="auto"/>
              </w:rPr>
            </w:pPr>
          </w:p>
        </w:tc>
        <w:tc>
          <w:tcPr>
            <w:tcW w:w="1060" w:type="dxa"/>
            <w:vAlign w:val="bottom"/>
            <w:tcBorders>
              <w:top w:val="single" w:sz="8" w:color="auto"/>
            </w:tcBorders>
          </w:tcPr>
          <w:p>
            <w:pPr>
              <w:spacing w:after="0" w:line="172"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“For” votes will be elected; withheld votes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will have no effect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“For” votes from the holders of a majority</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1060" w:type="dxa"/>
            <w:vAlign w:val="bottom"/>
          </w:tcPr>
          <w:p>
            <w:pPr>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of shares present in person, via webcast or</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represented by proxy and entitled to vote</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on the matter</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ectPr>
          <w:pgSz w:w="11900" w:h="16838" w:orient="portrait"/>
          <w:cols w:equalWidth="0" w:num="2">
            <w:col w:w="4520" w:space="500"/>
            <w:col w:w="6220"/>
          </w:cols>
          <w:pgMar w:left="320" w:top="931" w:right="339" w:bottom="1440"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4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32,811,927 shares outstanding and entitled to vote. Thus, the holders of 16,405,964 shares must be present via webcast or represented by proxy at the meeting to have a quorum.</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4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Annual Report to </w:t>
      </w:r>
      <w:r>
        <w:rPr>
          <w:rFonts w:ascii="Arial" w:cs="Arial" w:eastAsia="Arial" w:hAnsi="Arial"/>
          <w:sz w:val="18"/>
          <w:szCs w:val="18"/>
          <w:b w:val="1"/>
          <w:bCs w:val="1"/>
          <w:color w:val="auto"/>
        </w:rPr>
        <w:t>S</w:t>
      </w:r>
      <w:r>
        <w:rPr>
          <w:rFonts w:ascii="Arial" w:cs="Arial" w:eastAsia="Arial" w:hAnsi="Arial"/>
          <w:sz w:val="18"/>
          <w:szCs w:val="18"/>
          <w:color w:val="auto"/>
        </w:rPr>
        <w:t>tockholders are available at www.proxyvote.com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45"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Board of Directors currently consists of eleven members and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Board of Directors currently has eleven members. There are four directors in Class III, the class the term of which expires in 2021: Karen Licitra, Helen Loh, Mika Nishimura and Keith Valentine. Each is currently a member of our Board. Ms. Licitra has declined to stand for re-election and, accordingly, there are three nominees for election. In addition, Mark Foley, a director in the class the term of which will expire at our 2022 annual meeting of stockholders, has resigned from the Board of Directors effective at the close of the annual meeting. Accordingly, the size of the Board will be reduced to nine directors effective at the close of the annual meeting. If elected at the annual meeting, each of the three nominees would serve until the 2024 annual meeting and until his or her successor has been duly elected and qualified, or, if sooner, until the director’s death, resignation or removal. It is our policy to encourage directors and nominees for director to attend the Annual Meeting. All of our then-continuing directors and the nominees attended our 2020 annual meeting of stockholders.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Ms. Loh and Ms. Nishimura were recommended for nomination to the Nominating and Corporate Governance Committee by members of our management team. Prior to our initial public offering of our common stock, our voting agreement and the related provisions of our amended and restated certificate of incorporation in effect prior to the initial public offering of our common stock governed the election of directors. Under the terms of this voting agreement, the stockholders party thereto agreed to vote their respective shares to elect our directors, which included Mr. Valentine. Upon the closing of our initial public offering, the provisions of this voting agreement terminated and our amended and restated certificate of incorporation was amended and restated to, among other things, remove the related voting provisions.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EXPIRING AT THE 2024 ANNUAL MEETING</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 xml:space="preserve">Helen Loh, </w:t>
      </w:r>
      <w:r>
        <w:rPr>
          <w:rFonts w:ascii="Arial" w:cs="Arial" w:eastAsia="Arial" w:hAnsi="Arial"/>
          <w:sz w:val="17"/>
          <w:szCs w:val="17"/>
          <w:color w:val="auto"/>
        </w:rPr>
        <w:t>age 58, has served as a member of our Board of Directors since April, 2021. Since 2004, Ms. Loh has served as a marketing executive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Charles Schwab, most recently as Senior Vice President, Digital, Product &amp; Client Marketing. From 1999 to 2004, Ms. Loh served as Vice President of Marketing and Product at seeUthere Technologies, an enterprise event management software company. Earlier in her career, Ms. Loh held marketing roles at SINA Corporation, MySoftware Company, and the Clorox Company. Ms. Loh began her career as a management consultant at Marakon, a global strategy consulting firm. Ms. Loh has served on the board of directors of the Charles Schwab Foundation since November 2014. Ms. Loh received a B.S. in Industrial Engineering from Stanford University, and a M.B.A. from Stanford Business School. We believe that Ms. Loh’s experience with digital and consumer marketing will enable her to make valuable contributions to our Board of Directors.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Mika Nishimura, </w:t>
      </w:r>
      <w:r>
        <w:rPr>
          <w:rFonts w:ascii="Arial" w:cs="Arial" w:eastAsia="Arial" w:hAnsi="Arial"/>
          <w:sz w:val="17"/>
          <w:szCs w:val="17"/>
          <w:color w:val="auto"/>
        </w:rPr>
        <w:t>age 57, has served as a member of our Board of Directors since March 2021. Since 2011, Ms. Nishimura has served as an Operational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with Gilde Healthcare Partners. Ms. Nishimura is an independent board member for MobileODT, a commercial-stage Israeli company and is also a board advisor to Tristel, plc, a UK-based company.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 2015. Earlier in her career, Mika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age 53, 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a global medical technology company.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EACH NAMED NOMINEE.</w:t>
      </w:r>
    </w:p>
    <w:p>
      <w:pPr>
        <w:sectPr>
          <w:pgSz w:w="11900" w:h="16838" w:orient="portrait"/>
          <w:cols w:equalWidth="0" w:num="1">
            <w:col w:w="11240"/>
          </w:cols>
          <w:pgMar w:left="320" w:top="931"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31" w:right="339" w:bottom="336"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DIRECTORS CONTINUING IN OFFICE UNTIL THE 2022 ANNUAL MEETING</w:t>
      </w:r>
    </w:p>
    <w:p>
      <w:pPr>
        <w:spacing w:after="0" w:line="24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Jeryl L. Hilleman</w:t>
      </w:r>
      <w:r>
        <w:rPr>
          <w:rFonts w:ascii="Arial" w:cs="Arial" w:eastAsia="Arial" w:hAnsi="Arial"/>
          <w:sz w:val="17"/>
          <w:szCs w:val="17"/>
          <w:color w:val="auto"/>
        </w:rPr>
        <w:t>, age 63, has served as a member of our Board of Directors since December 2019. Ms. Hilleman brings extensive experience in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and served as a public company CFO for close to 20 years. Most recently, From June 2014 to November 2019, Ms. Hilleman served as the Chief Financial Officer for Intersect ENT, Inc., a publicly-traded commercial drug delivery company focusing on patients with ear, nose and throat conditions. From September 2013 to May 2014, Ms. Hilleman served as Chief Financial Officer and Secretary of Ocera Therapeutics, Inc., a biopharmaceutical company, where she was responsible for managing Ocera’s financial and accounting operations. From 2012 to 2013, Ms. Hilleman provided independent financial and strategic consulting for biotech and cleantech companies. From January 2008 to May 2012, she served as Chief Financial Officer of Amyris, Inc., a multinational, renewable products company based in California and Brazil, where she was responsible for managing Amyris’ financial and accounting operations. Since July 2018, Ms. Hilleman has served as a member of the board of directors and the Audit Committee of Minerva Neurosciences, Inc. and as a member of the board of directors and chair of the audit committee of NovoCure Limited. From January 2005, Ms. Hilleman served as a member of the board of directors of Xenoport, Inc., a biopharmaceutical company, until it was acquired in July 2016.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age 51, 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 xml:space="preserve">Laura A. Francis, </w:t>
      </w:r>
      <w:r>
        <w:rPr>
          <w:rFonts w:ascii="Arial" w:cs="Arial" w:eastAsia="Arial" w:hAnsi="Arial"/>
          <w:sz w:val="16"/>
          <w:szCs w:val="16"/>
          <w:color w:val="auto"/>
        </w:rPr>
        <w:t>age 54, has served as our Chief Executive Officer and as a member of our Board of Directors since April 2021. Previously, she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2023 ANNUAL MEETING</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Jeffrey W. Dunn, </w:t>
      </w:r>
      <w:r>
        <w:rPr>
          <w:rFonts w:ascii="Arial" w:cs="Arial" w:eastAsia="Arial" w:hAnsi="Arial"/>
          <w:sz w:val="17"/>
          <w:szCs w:val="17"/>
          <w:color w:val="auto"/>
        </w:rPr>
        <w:t>age 66, has served as our Executive Chairman since April 2021, as Chairman of our Board of Directors since our inception in April 2008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April 2021, and as our President and Chief Executive Officer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i w:val="1"/>
          <w:iCs w:val="1"/>
          <w:color w:val="auto"/>
        </w:rPr>
        <w:t>John G. Freund, M.D.</w:t>
      </w:r>
      <w:r>
        <w:rPr>
          <w:rFonts w:ascii="Arial" w:cs="Arial" w:eastAsia="Arial" w:hAnsi="Arial"/>
          <w:sz w:val="16"/>
          <w:szCs w:val="16"/>
          <w:color w:val="auto"/>
        </w:rPr>
        <w:t>, age 67, 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In 2016, Dr. Freund co-founded and was CEO of Arixa Pharmaceuticals, Inc. an antibiotic company, which was acquired by Pfizer in 2020.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each of Collegium Pharmaceuticals, Inc., a biotechnology company, and Sutro Biopharma, Inc., a biotechnology company, since 2014. Dr. Freund also serves on the board of directors of six U.S. registered investment funds managed by affiliates of the Capital Group, Inc. He also previously served on the board of directors of a number of publicly traded companies, including Tetraphase Pharmaceuticals, Inc., a biopharmaceutical company, Map</w:t>
      </w:r>
    </w:p>
    <w:p>
      <w:pPr>
        <w:sectPr>
          <w:pgSz w:w="11900" w:h="16838" w:orient="portrait"/>
          <w:cols w:equalWidth="0" w:num="1">
            <w:col w:w="11240"/>
          </w:cols>
          <w:pgMar w:left="320" w:top="999" w:right="339" w:bottom="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8"/>
          <w:szCs w:val="18"/>
          <w:color w:val="auto"/>
        </w:rPr>
        <w:t>Pharmaceuticals, Inc., a biopharmaceutical company, MAKO Surgical Corp., a medical device company, Proteon Therapeutics, Inc., a biotechnology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Gregory K. Hinckley</w:t>
      </w:r>
      <w:r>
        <w:rPr>
          <w:rFonts w:ascii="Arial" w:cs="Arial" w:eastAsia="Arial" w:hAnsi="Arial"/>
          <w:sz w:val="16"/>
          <w:szCs w:val="16"/>
          <w:color w:val="auto"/>
        </w:rPr>
        <w:t>, age 73, 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Each of our directors, other than Mr. Dunn and Ms. Francis, is independent as defined under the Nasdaq Global Market listing standards. See “Independence of the Board of Directors” immediately below.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9" w:right="339" w:bottom="1440" w:gutter="0" w:footer="0" w:header="0"/>
        </w:sectPr>
      </w:pPr>
    </w:p>
    <w:bookmarkStart w:id="14" w:name="page15"/>
    <w:bookmarkEnd w:id="14"/>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required under the Nasdaq Global Market (“Nasdaq”) listing standards, a majority of the members of a listed company’s Board of Directors must qualify as “independent,” as affirmatively determined by the Board. The Board consults with SI-BONE’s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SI-BONE, its senior management and its independent auditors, the Board has affirmatively determined that the following nine directors are independent directors within the meaning of the applicable Nasdaq listing standards: Mr. Davis, Mr. Foley, Dr. Freund, Ms. Hilleman, Mr. Hinckley, Ms. Licitra, Ms. Loh, Ms. Nishimura and Mr. Valentine. In making this determination, the Board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making those independence determinations, the Board took into account certain relationships and transactions that occurred in the ordinary course of business between SI-BONE and entities with which some of our directors are or have been affiliated.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AND ATTRIBUTES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 and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gridSpan w:val="2"/>
          </w:tcPr>
          <w:p>
            <w:pPr>
              <w:ind w:left="140"/>
              <w:spacing w:after="0"/>
              <w:rPr>
                <w:sz w:val="20"/>
                <w:szCs w:val="20"/>
                <w:color w:val="auto"/>
              </w:rPr>
            </w:pPr>
            <w:r>
              <w:rPr>
                <w:rFonts w:ascii="Arial" w:cs="Arial" w:eastAsia="Arial" w:hAnsi="Arial"/>
                <w:sz w:val="16"/>
                <w:szCs w:val="16"/>
                <w:b w:val="1"/>
                <w:bCs w:val="1"/>
                <w:color w:val="auto"/>
                <w:w w:val="96"/>
              </w:rPr>
              <w:t>Knowledge, Skills, Experience</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Davis</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Dunn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0"/>
              </w:rPr>
              <w:t>Foley</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Francis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Freund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Hilleman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Hinckley</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9"/>
              </w:rPr>
              <w:t>Licitra</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5"/>
              </w:rPr>
              <w:t>Loh</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Nishimura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Valentine</w:t>
            </w:r>
          </w:p>
        </w:tc>
        <w:tc>
          <w:tcPr>
            <w:tcW w:w="0" w:type="dxa"/>
            <w:vAlign w:val="bottom"/>
          </w:tcPr>
          <w:p>
            <w:pPr>
              <w:spacing w:after="0"/>
              <w:rPr>
                <w:sz w:val="1"/>
                <w:szCs w:val="1"/>
                <w:color w:val="auto"/>
              </w:rPr>
            </w:pPr>
          </w:p>
        </w:tc>
      </w:tr>
      <w:tr>
        <w:trPr>
          <w:trHeight w:val="141"/>
        </w:trPr>
        <w:tc>
          <w:tcPr>
            <w:tcW w:w="15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Public Company</w:t>
            </w:r>
          </w:p>
        </w:tc>
        <w:tc>
          <w:tcPr>
            <w:tcW w:w="8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72"/>
        </w:trPr>
        <w:tc>
          <w:tcPr>
            <w:tcW w:w="15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CEO/Exec Chair (last</w:t>
            </w:r>
          </w:p>
        </w:tc>
        <w:tc>
          <w:tcPr>
            <w:tcW w:w="8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Public Company</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CFO</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Public Company</w:t>
            </w:r>
          </w:p>
        </w:tc>
        <w:tc>
          <w:tcPr>
            <w:tcW w:w="8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Board</w:t>
            </w:r>
          </w:p>
        </w:tc>
        <w:tc>
          <w:tcPr>
            <w:tcW w:w="8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Senior Executive</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Leadership</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Financial</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Literacy/Expertise</w:t>
            </w:r>
          </w:p>
        </w:tc>
        <w:tc>
          <w:tcPr>
            <w:tcW w:w="8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Medical Device</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Industry Experience</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Corporate</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Governance</w:t>
            </w:r>
          </w:p>
        </w:tc>
        <w:tc>
          <w:tcPr>
            <w:tcW w:w="8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66"/>
        </w:trPr>
        <w:tc>
          <w:tcPr>
            <w:tcW w:w="15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Digital Marketing;</w:t>
            </w:r>
          </w:p>
        </w:tc>
        <w:tc>
          <w:tcPr>
            <w:tcW w:w="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DTP/DTC Marketing</w:t>
            </w: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Reimburse-</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580" w:type="dxa"/>
            <w:vAlign w:val="bottom"/>
          </w:tcPr>
          <w:p>
            <w:pPr>
              <w:ind w:left="20"/>
              <w:spacing w:after="0"/>
              <w:rPr>
                <w:sz w:val="20"/>
                <w:szCs w:val="20"/>
                <w:color w:val="auto"/>
              </w:rPr>
            </w:pPr>
            <w:r>
              <w:rPr>
                <w:rFonts w:ascii="Arial" w:cs="Arial" w:eastAsia="Arial" w:hAnsi="Arial"/>
                <w:sz w:val="16"/>
                <w:szCs w:val="16"/>
                <w:color w:val="auto"/>
              </w:rPr>
              <w:t>ment/Payors</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Clinical/Medical</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6"/>
                <w:szCs w:val="16"/>
                <w:color w:val="auto"/>
              </w:rPr>
              <w:t>Regulatory</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Business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Development/M&amp;A</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Planning</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Public Relations</w:t>
            </w:r>
          </w:p>
        </w:tc>
        <w:tc>
          <w:tcPr>
            <w:tcW w:w="8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Risk Management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Cybersecurity</w:t>
            </w: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w w:val="94"/>
              </w:rPr>
              <w:t>Legal/Compliance/Risk</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Management</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Human Resources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matrix provides race/ethnicity, as well as gender, of the members of our Board, as self-identified by members of the Board.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8"/>
              </w:rPr>
              <w:t>Davis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Dunn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0"/>
              </w:rPr>
              <w:t>Foley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Francis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Freund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Hilleman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Hinckley</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Licitra</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5"/>
              </w:rPr>
              <w:t>Loh</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Nishimura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Valentine</w:t>
            </w:r>
          </w:p>
        </w:tc>
        <w:tc>
          <w:tcPr>
            <w:tcW w:w="0" w:type="dxa"/>
            <w:vAlign w:val="bottom"/>
          </w:tcPr>
          <w:p>
            <w:pPr>
              <w:spacing w:after="0"/>
              <w:rPr>
                <w:sz w:val="1"/>
                <w:szCs w:val="1"/>
                <w:color w:val="auto"/>
              </w:rPr>
            </w:pPr>
          </w:p>
        </w:tc>
      </w:tr>
      <w:tr>
        <w:trPr>
          <w:trHeight w:val="141"/>
        </w:trPr>
        <w:tc>
          <w:tcPr>
            <w:tcW w:w="1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Race/Ethnicity</w:t>
            </w:r>
          </w:p>
        </w:tc>
        <w:tc>
          <w:tcPr>
            <w:tcW w:w="7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tcPr>
          <w:p>
            <w:pPr>
              <w:ind w:left="140"/>
              <w:spacing w:after="0"/>
              <w:rPr>
                <w:sz w:val="20"/>
                <w:szCs w:val="20"/>
                <w:color w:val="auto"/>
              </w:rPr>
            </w:pPr>
            <w:r>
              <w:rPr>
                <w:rFonts w:ascii="Arial" w:cs="Arial" w:eastAsia="Arial" w:hAnsi="Arial"/>
                <w:sz w:val="16"/>
                <w:szCs w:val="16"/>
                <w:color w:val="auto"/>
              </w:rPr>
              <w:t>African American</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Asian/Pacific</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Islander</w:t>
            </w: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6"/>
                <w:szCs w:val="16"/>
                <w:color w:val="auto"/>
              </w:rPr>
              <w:t>White/Caucasian</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Hispanic/Latino</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Native American</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Gender</w:t>
            </w: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500" w:type="dxa"/>
            <w:vAlign w:val="bottom"/>
          </w:tcPr>
          <w:p>
            <w:pPr>
              <w:ind w:left="140"/>
              <w:spacing w:after="0"/>
              <w:rPr>
                <w:sz w:val="20"/>
                <w:szCs w:val="20"/>
                <w:color w:val="auto"/>
              </w:rPr>
            </w:pPr>
            <w:r>
              <w:rPr>
                <w:rFonts w:ascii="Arial" w:cs="Arial" w:eastAsia="Arial" w:hAnsi="Arial"/>
                <w:sz w:val="16"/>
                <w:szCs w:val="16"/>
                <w:color w:val="auto"/>
              </w:rPr>
              <w:t>Female</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Male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having combined the positions of Chief Executive Officer and Chairman has helped to ensure that the Board and management act with a common purpose. However, with the transition of Mr. Dunn to Executive Chairman and assumption of the Chief Executive Officer role by Ms. Francis, we believe that the separation of these two roles will be most beneficial in furthering SI-BONE’s ability to develop and implement strategy. In particular, in making this determination, Mr. Dunn will continue to have the intimate knowledge of our operations, both historically and currently, which will enable him to continue to act as a bridge between management and the Board. Further, Mr. Dunn continuing as Executive Chairman will alleviate the need for Ms. Francis to take on the responsibilities of Chairman, enabling her to focus on her responsibilities in her new role as our Chief Executive Officer.</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time that Mr. Dunn served as both our Chief Executive Officer and Chairman we had a Lead Independent Director, Mr. Davis, who served as our Lead Independent Director from June 2019 until Mr. Dunn ceased to be our Chief Executive Officer. As a result of separating the roles of Chief Executive Officer and Chairman, we no longer believe it is necessary to have, and no longer have, a Lead Independent Director. We believe as well that Mr. Dunn can effectively oversee and drive the activities of the Board, including:</w:t>
      </w:r>
    </w:p>
    <w:p>
      <w:pPr>
        <w:spacing w:after="0" w:line="2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coordinate with the committee chairs regarding meeting agendas and informational requirements;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such other duties as may be necessary from time to time to ensure the effective functioning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administers its oversight function directly as a whole, as well as through various standing committees of our Board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director succession planning, and oversight of healthcare, regulatory, and fraud and abuse compliance.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Board of Directors met ten times during 2020. Each Board member attended 75% or more of the aggregate number of meetings of the Board and of the committees on which he or she served, held during the portion of the last fiscal year for which he or she was a director or committee member.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The following table provides membership and meeting information for fiscal 2020 for each of the Board committees (Mr. Dunn did not serve on any committees in 2020, and neither Mr. Dunn nor Ms. Francis has served on any committee to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28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Name</w:t>
            </w:r>
          </w:p>
        </w:tc>
        <w:tc>
          <w:tcPr>
            <w:tcW w:w="180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Audit</w:t>
            </w:r>
          </w:p>
        </w:tc>
        <w:tc>
          <w:tcPr>
            <w:tcW w:w="20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Compensation</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Corporate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Timothy E. Davis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X*</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Mark J. Foley</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John G. Freund, M.D.</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Jeryl L. Hilleman</w:t>
            </w:r>
          </w:p>
        </w:tc>
        <w:tc>
          <w:tcPr>
            <w:tcW w:w="1800" w:type="dxa"/>
            <w:vAlign w:val="bottom"/>
            <w:gridSpan w:val="2"/>
          </w:tcPr>
          <w:p>
            <w:pPr>
              <w:ind w:left="640"/>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Gregory K. Hinckley</w:t>
            </w:r>
          </w:p>
        </w:tc>
        <w:tc>
          <w:tcPr>
            <w:tcW w:w="1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Karen A. Licitra</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X</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Keith C. Valentine</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meetings in fiscal 2020</w:t>
            </w:r>
          </w:p>
        </w:tc>
        <w:tc>
          <w:tcPr>
            <w:tcW w:w="1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5"/>
        </w:trPr>
        <w:tc>
          <w:tcPr>
            <w:tcW w:w="1880" w:type="dxa"/>
            <w:vAlign w:val="bottom"/>
            <w:tcBorders>
              <w:bottom w:val="single" w:sz="8" w:color="auto"/>
            </w:tcBorders>
            <w:gridSpan w:val="2"/>
          </w:tcPr>
          <w:p>
            <w:pPr>
              <w:spacing w:after="0"/>
              <w:rPr>
                <w:sz w:val="15"/>
                <w:szCs w:val="15"/>
                <w:color w:val="auto"/>
              </w:rPr>
            </w:pPr>
          </w:p>
        </w:tc>
        <w:tc>
          <w:tcPr>
            <w:tcW w:w="310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980" w:type="dxa"/>
            <w:vAlign w:val="bottom"/>
            <w:gridSpan w:val="4"/>
          </w:tcPr>
          <w:p>
            <w:pPr>
              <w:spacing w:after="0"/>
              <w:rPr>
                <w:sz w:val="20"/>
                <w:szCs w:val="20"/>
                <w:color w:val="auto"/>
              </w:rPr>
            </w:pPr>
            <w:r>
              <w:rPr>
                <w:rFonts w:ascii="Arial" w:cs="Arial" w:eastAsia="Arial" w:hAnsi="Arial"/>
                <w:sz w:val="18"/>
                <w:szCs w:val="18"/>
                <w:color w:val="auto"/>
              </w:rPr>
              <w:t>*  Committee Chairperson</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Nishimura joined our Board in March 2021 and will join the Compensation Committee in June 2021. Each of Ms. Francis and Ms. Loh joined our Board in April 2021 and Ms. Loh will join the Nominating and Corporate Governance Committee in June 2021. Also effective immediately following our annual meeting, Dr. Freund will cease to serve on the Nominating and Corporate Governance Committee and will join the Compensation Committee, and Ms. Hilleman will join the Nominating and Corporate Governance Committee.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Board has adopted a written charter for each of the Audit Committee, the Compensation Committee, and the Nominating and Corporate Governance Committee. Each of these charters are available to stockholders on SI-BONE’s website at </w:t>
      </w:r>
      <w:r>
        <w:rPr>
          <w:rFonts w:ascii="Arial" w:cs="Arial" w:eastAsia="Arial" w:hAnsi="Arial"/>
          <w:sz w:val="18"/>
          <w:szCs w:val="18"/>
          <w:u w:val="single" w:color="auto"/>
          <w:color w:val="3051F2"/>
        </w:rPr>
        <w:t>www.si-bone.com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each committee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224" w:lineRule="exact"/>
        <w:rPr>
          <w:sz w:val="20"/>
          <w:szCs w:val="20"/>
          <w:color w:val="auto"/>
        </w:rPr>
      </w:pPr>
    </w:p>
    <w:p>
      <w:pPr>
        <w:ind w:left="660" w:right="2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 evaluating the qualifications, independence and performance of the independent registered public accounting firm;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scope of the annual audit and the audit fee;</w:t>
      </w:r>
    </w:p>
    <w:p>
      <w:pPr>
        <w:spacing w:after="0" w:line="22"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our financial statements and our management’s discussion and analysis of financial condition and results of operations to be included in our annual and quarterly reports to be filed with the SEC;</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and overseeing procedures for employees to submit concerns anonymously about questionable accounting or audit matters;</w:t>
      </w:r>
    </w:p>
    <w:p>
      <w:pPr>
        <w:spacing w:after="0" w:line="34" w:lineRule="exact"/>
        <w:rPr>
          <w:rFonts w:ascii="Arial" w:cs="Arial" w:eastAsia="Arial" w:hAnsi="Arial"/>
          <w:sz w:val="17"/>
          <w:szCs w:val="17"/>
          <w:color w:val="auto"/>
        </w:rPr>
      </w:pP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related party transactions; reviewing and discussing the adequacy and effectiveness of our accounting and financial reporting processes and internal controls and the annual audits of our financial statements;</w:t>
      </w: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at least annually, the Audit Committee charter and the committee’s performance.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Audit Committee has reviewed and discussed the audited financial statements for the fiscal year ended December 31, 2020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Jeryl L. Hilleman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K. Hinckley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Our Compensation Committee consists of Mr. Davis, Mr. Foley and Ms. Licitra, each of whom our Board has determined to be independent under the Nasdaq Global Market listing standards, and a “non-employee director” as defined in Rule 16b-3 promulgated under the Exchange Act. The chairperson of our Compensation Committee is Mr. Davis. Dr. Freund and Ms. Nishimura will join the Compensation Committee in June 2021.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22"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approve, the terms of compensatory arrangements with our executive officers;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administering our employee stock purchase and equity incentive plans;</w:t>
      </w:r>
    </w:p>
    <w:p>
      <w:pPr>
        <w:spacing w:after="0" w:line="130"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61" w:lineRule="exact"/>
        <w:rPr>
          <w:rFonts w:ascii="Arial" w:cs="Arial" w:eastAsia="Arial" w:hAnsi="Arial"/>
          <w:sz w:val="18"/>
          <w:szCs w:val="18"/>
          <w:color w:val="auto"/>
        </w:rPr>
      </w:pPr>
    </w:p>
    <w:p>
      <w:pPr>
        <w:ind w:left="660" w:hanging="328"/>
        <w:spacing w:after="0" w:line="359"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1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Typically, our Compensation Committee meets at least four times annually and with greater frequency if necessary. The agenda for each meeting is usually developed by the chair of the Compensation Committee, in consultation with the Chief Legal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spacing w:after="0" w:line="183" w:lineRule="exact"/>
        <w:rPr>
          <w:sz w:val="20"/>
          <w:szCs w:val="20"/>
          <w:color w:val="auto"/>
        </w:rPr>
      </w:pPr>
    </w:p>
    <w:p>
      <w:pPr>
        <w:ind w:left="660" w:hanging="328"/>
        <w:spacing w:after="0" w:line="29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efficacy of SI-BONE’s existing compensation strategy and practices in supporting and reinforcing SI-BONE’s long-term strategic goals; and</w:t>
      </w:r>
    </w:p>
    <w:p>
      <w:pPr>
        <w:spacing w:after="0" w:line="61"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in refining SI-BONE’s compensation strategy and in developing and implementing an executive compensation program to execute that strategy.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935" w:right="339" w:bottom="1440" w:gutter="0" w:footer="0" w:header="0"/>
        </w:sectPr>
      </w:pPr>
    </w:p>
    <w:bookmarkStart w:id="19" w:name="page20"/>
    <w:bookmarkEnd w:id="19"/>
    <w:p>
      <w:pPr>
        <w:jc w:val="both"/>
        <w:spacing w:after="0" w:line="314" w:lineRule="auto"/>
        <w:rPr>
          <w:sz w:val="20"/>
          <w:szCs w:val="20"/>
          <w:color w:val="auto"/>
        </w:rPr>
      </w:pPr>
      <w:r>
        <w:rPr>
          <w:rFonts w:ascii="Arial" w:cs="Arial" w:eastAsia="Arial" w:hAnsi="Arial"/>
          <w:sz w:val="16"/>
          <w:szCs w:val="16"/>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his or her performance, which determines any adjustments to his or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Nominating and Corporate Governance Committee consists of Dr. Freund and Mr. Valentine. Following our 2021 annual stockholder meeting, Dr. Freund will cease to serve on our Nominating and Corporate Governance Committee, and Ms. Hilleman and Ms. Loh will join the committee. Our Board of Directors has determined Dr. Freund, Ms. Hilleman, Ms. Loh and Mr. Valentine each to be independent under the Nasdaq Global Market listing standards. The chairperson of our Nominating and Corporate Governance Committee is Mr. Valentine.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935"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Chief Legal Officer at the following address: 471 El Camino Real, Suite 101, Santa Clara, CA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whistleblower hotline and website where people can report violations of the Code of Business Conduct and Ethics anonymously or by name; to date we have never had a complaint (other than test calls) come into the hotline.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July 2018, the Board of Directors adopted, and in January 2021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board meetings and involvement of senior management, Chief Executive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 Shares held by an individual include shares subject to restricted stock units less the number of shares that would need to be sold to cover minimum withholding taxes, and shares subject to vested stock options less the number of shares that would need to be sold to pay the exercise price of the stock options and to cover minimum withholding taxes.</w:t>
      </w:r>
    </w:p>
    <w:p>
      <w:pPr>
        <w:sectPr>
          <w:pgSz w:w="11900" w:h="16838" w:orient="portrait"/>
          <w:cols w:equalWidth="0" w:num="1">
            <w:col w:w="11240"/>
          </w:cols>
          <w:pgMar w:left="320" w:top="935" w:right="3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92" w:right="1440"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Audit Committee of the Board of Directors has selected PricewaterhouseCoopers LLP as SI-BONE’s independent registered public accounting firm for the fiscal year ending December 31, 2021,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represents aggregate fees billed to SI-BONE for the fiscal years ended December 31, 2020 and 2019 by PricewaterhouseCoopers LLP, our independent registered public accounting firm.</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Fiscal Year Ended</w:t>
            </w:r>
          </w:p>
        </w:tc>
        <w:tc>
          <w:tcPr>
            <w:tcW w:w="500" w:type="dxa"/>
            <w:vAlign w:val="bottom"/>
            <w:tcBorders>
              <w:bottom w:val="single" w:sz="8" w:color="auto"/>
            </w:tcBorders>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Audit Fees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1,039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Audit-related Fees</w:t>
            </w:r>
          </w:p>
        </w:tc>
        <w:tc>
          <w:tcPr>
            <w:tcW w:w="9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Fees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29"/>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Fees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Fees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1,151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 of fees incurred for professional services rendered for the audit of our annual consolidated financial statements,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consolidated financial statements, and other services normally provided by PricewaterhouseCoopers LLP in connection with regulatory filings.</w:t>
      </w:r>
    </w:p>
    <w:p>
      <w:pPr>
        <w:spacing w:after="0" w:line="210"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for professional services for tax compliance, tax advice and tax planning.</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consist of fees for professional services other than the services reported above, including permissible consulting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99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has determined that the rendering of services other than audit services by PricewaterhouseCoopers LLP is compatible with maintaining the principal accountant’s independence.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PROPOSAL NO. 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999"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3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following table sets forth certain information regarding the ownership of SI-BONE’s common stock as of March 31, 2021,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32,808,534 shares outstanding on March 31, 2021, adjusted as required by rules promulgated by the SEC.</w:t>
      </w:r>
    </w:p>
    <w:p>
      <w:pPr>
        <w:spacing w:after="0" w:line="319"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6"/>
                <w:szCs w:val="16"/>
                <w:b w:val="1"/>
                <w:bCs w:val="1"/>
                <w:color w:val="auto"/>
              </w:rPr>
              <w:t>Total Beneficial Ownership</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4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Right to Acquire</w:t>
            </w:r>
          </w:p>
        </w:tc>
        <w:tc>
          <w:tcPr>
            <w:tcW w:w="14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Number of</w:t>
            </w:r>
          </w:p>
        </w:tc>
        <w:tc>
          <w:tcPr>
            <w:tcW w:w="120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Name of Beneficial Owner</w:t>
            </w:r>
          </w:p>
        </w:tc>
        <w:tc>
          <w:tcPr>
            <w:tcW w:w="14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Shares Owned</w:t>
            </w:r>
          </w:p>
        </w:tc>
        <w:tc>
          <w:tcPr>
            <w:tcW w:w="154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1"/>
              </w:rPr>
              <w:t>Shares Within 60</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540" w:type="dxa"/>
            <w:vAlign w:val="bottom"/>
          </w:tcPr>
          <w:p>
            <w:pPr>
              <w:jc w:val="center"/>
              <w:ind w:right="53"/>
              <w:spacing w:after="0"/>
              <w:rPr>
                <w:sz w:val="20"/>
                <w:szCs w:val="20"/>
                <w:color w:val="auto"/>
              </w:rPr>
            </w:pPr>
            <w:r>
              <w:rPr>
                <w:rFonts w:ascii="Arial" w:cs="Arial" w:eastAsia="Arial" w:hAnsi="Arial"/>
                <w:sz w:val="16"/>
                <w:szCs w:val="16"/>
                <w:b w:val="1"/>
                <w:bCs w:val="1"/>
                <w:color w:val="auto"/>
                <w:w w:val="87"/>
              </w:rPr>
              <w:t>days</w:t>
            </w:r>
          </w:p>
        </w:tc>
        <w:tc>
          <w:tcPr>
            <w:tcW w:w="1420" w:type="dxa"/>
            <w:vAlign w:val="bottom"/>
          </w:tcPr>
          <w:p>
            <w:pPr>
              <w:jc w:val="right"/>
              <w:ind w:right="511"/>
              <w:spacing w:after="0"/>
              <w:rPr>
                <w:sz w:val="20"/>
                <w:szCs w:val="20"/>
                <w:color w:val="auto"/>
              </w:rPr>
            </w:pPr>
            <w:r>
              <w:rPr>
                <w:rFonts w:ascii="Arial" w:cs="Arial" w:eastAsia="Arial" w:hAnsi="Arial"/>
                <w:sz w:val="16"/>
                <w:szCs w:val="16"/>
                <w:b w:val="1"/>
                <w:bCs w:val="1"/>
                <w:color w:val="auto"/>
              </w:rPr>
              <w:t>Shares</w:t>
            </w:r>
          </w:p>
        </w:tc>
        <w:tc>
          <w:tcPr>
            <w:tcW w:w="12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0"/>
        </w:trPr>
        <w:tc>
          <w:tcPr>
            <w:tcW w:w="3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xml:space="preserve">Timothy E. Davis, Jr.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71,138</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77,564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60"/>
              <w:spacing w:after="0"/>
              <w:rPr>
                <w:sz w:val="20"/>
                <w:szCs w:val="20"/>
                <w:color w:val="auto"/>
              </w:rPr>
            </w:pPr>
            <w:r>
              <w:rPr>
                <w:rFonts w:ascii="Arial" w:cs="Arial" w:eastAsia="Arial" w:hAnsi="Arial"/>
                <w:sz w:val="18"/>
                <w:szCs w:val="18"/>
                <w:color w:val="auto"/>
              </w:rPr>
              <w:t>Jeffrey W. Dunn</w:t>
            </w:r>
            <w:r>
              <w:rPr>
                <w:rFonts w:ascii="Arial" w:cs="Arial" w:eastAsia="Arial" w:hAnsi="Arial"/>
                <w:sz w:val="10"/>
                <w:szCs w:val="10"/>
                <w:color w:val="auto"/>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108,918</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722,577</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831,495</w:t>
            </w: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Mark J. Foley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16,762</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16,762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0"/>
                <w:szCs w:val="10"/>
                <w:color w:val="auto"/>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625,476</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37,963</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663,439</w:t>
            </w: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Jeryl L. Hilleman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12,389</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0"/>
                <w:szCs w:val="10"/>
                <w:color w:val="auto"/>
              </w:rPr>
              <w:t>(4)</w:t>
            </w:r>
          </w:p>
        </w:tc>
        <w:tc>
          <w:tcPr>
            <w:tcW w:w="1440" w:type="dxa"/>
            <w:vAlign w:val="bottom"/>
          </w:tcPr>
          <w:p>
            <w:pPr>
              <w:jc w:val="right"/>
              <w:spacing w:after="0"/>
              <w:rPr>
                <w:sz w:val="20"/>
                <w:szCs w:val="20"/>
                <w:color w:val="auto"/>
              </w:rPr>
            </w:pPr>
            <w:r>
              <w:rPr>
                <w:rFonts w:ascii="Arial" w:cs="Arial" w:eastAsia="Arial" w:hAnsi="Arial"/>
                <w:sz w:val="18"/>
                <w:szCs w:val="18"/>
                <w:color w:val="auto"/>
              </w:rPr>
              <w:t>129,361</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24,996</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154,357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Karen A. Licitra</w:t>
            </w:r>
            <w:r>
              <w:rPr>
                <w:rFonts w:ascii="Arial" w:cs="Arial" w:eastAsia="Arial" w:hAnsi="Arial"/>
                <w:sz w:val="23"/>
                <w:szCs w:val="23"/>
                <w:color w:val="auto"/>
                <w:vertAlign w:val="superscript"/>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59,371</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59,371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0"/>
                <w:szCs w:val="10"/>
                <w:color w:val="auto"/>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31,374</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37,963</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69,337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Laura A. Francis</w:t>
            </w:r>
            <w:r>
              <w:rPr>
                <w:rFonts w:ascii="Arial" w:cs="Arial" w:eastAsia="Arial" w:hAnsi="Arial"/>
                <w:sz w:val="10"/>
                <w:szCs w:val="10"/>
                <w:color w:val="auto"/>
              </w:rPr>
              <w:t>(7)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62,185</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146,419</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208,604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line="230" w:lineRule="exact"/>
              <w:rPr>
                <w:sz w:val="20"/>
                <w:szCs w:val="20"/>
                <w:color w:val="auto"/>
              </w:rPr>
            </w:pPr>
            <w:r>
              <w:rPr>
                <w:rFonts w:ascii="Arial" w:cs="Arial" w:eastAsia="Arial" w:hAnsi="Arial"/>
                <w:sz w:val="18"/>
                <w:szCs w:val="18"/>
                <w:color w:val="auto"/>
              </w:rPr>
              <w:t>Anthony J. Recupero</w:t>
            </w:r>
            <w:r>
              <w:rPr>
                <w:rFonts w:ascii="Arial" w:cs="Arial" w:eastAsia="Arial" w:hAnsi="Arial"/>
                <w:sz w:val="23"/>
                <w:szCs w:val="23"/>
                <w:color w:val="auto"/>
                <w:vertAlign w:val="superscript"/>
              </w:rPr>
              <w:t>(8)</w:t>
            </w:r>
          </w:p>
        </w:tc>
        <w:tc>
          <w:tcPr>
            <w:tcW w:w="1440" w:type="dxa"/>
            <w:vAlign w:val="bottom"/>
          </w:tcPr>
          <w:p>
            <w:pPr>
              <w:jc w:val="right"/>
              <w:spacing w:after="0"/>
              <w:rPr>
                <w:sz w:val="20"/>
                <w:szCs w:val="20"/>
                <w:color w:val="auto"/>
              </w:rPr>
            </w:pPr>
            <w:r>
              <w:rPr>
                <w:rFonts w:ascii="Arial" w:cs="Arial" w:eastAsia="Arial" w:hAnsi="Arial"/>
                <w:sz w:val="18"/>
                <w:szCs w:val="18"/>
                <w:color w:val="auto"/>
              </w:rPr>
              <w:t>15,938</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185,730</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201,668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All executive officers and directors as a group (11</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997,378</w:t>
            </w:r>
          </w:p>
        </w:tc>
        <w:tc>
          <w:tcPr>
            <w:tcW w:w="1540" w:type="dxa"/>
            <w:vAlign w:val="bottom"/>
            <w:shd w:val="clear" w:color="auto" w:fill="CCEEFF"/>
          </w:tcPr>
          <w:p>
            <w:pPr>
              <w:jc w:val="right"/>
              <w:ind w:right="113"/>
              <w:spacing w:after="0" w:line="176" w:lineRule="exact"/>
              <w:rPr>
                <w:sz w:val="20"/>
                <w:szCs w:val="20"/>
                <w:color w:val="auto"/>
              </w:rPr>
            </w:pPr>
            <w:r>
              <w:rPr>
                <w:rFonts w:ascii="Arial" w:cs="Arial" w:eastAsia="Arial" w:hAnsi="Arial"/>
                <w:sz w:val="18"/>
                <w:szCs w:val="18"/>
                <w:color w:val="auto"/>
              </w:rPr>
              <w:t>1,385,618</w:t>
            </w:r>
          </w:p>
        </w:tc>
        <w:tc>
          <w:tcPr>
            <w:tcW w:w="1420" w:type="dxa"/>
            <w:vAlign w:val="bottom"/>
            <w:shd w:val="clear" w:color="auto" w:fill="CCEEFF"/>
          </w:tcPr>
          <w:p>
            <w:pPr>
              <w:jc w:val="right"/>
              <w:ind w:right="111"/>
              <w:spacing w:after="0" w:line="176" w:lineRule="exact"/>
              <w:rPr>
                <w:sz w:val="20"/>
                <w:szCs w:val="20"/>
                <w:color w:val="auto"/>
              </w:rPr>
            </w:pPr>
            <w:r>
              <w:rPr>
                <w:rFonts w:ascii="Arial" w:cs="Arial" w:eastAsia="Arial" w:hAnsi="Arial"/>
                <w:sz w:val="18"/>
                <w:szCs w:val="18"/>
                <w:color w:val="auto"/>
              </w:rPr>
              <w:t>2,382,996</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persons)</w:t>
            </w:r>
            <w:r>
              <w:rPr>
                <w:rFonts w:ascii="Arial" w:cs="Arial" w:eastAsia="Arial" w:hAnsi="Arial"/>
                <w:sz w:val="10"/>
                <w:szCs w:val="10"/>
                <w:color w:val="auto"/>
              </w:rPr>
              <w:t>(9)</w:t>
            </w:r>
          </w:p>
        </w:tc>
        <w:tc>
          <w:tcPr>
            <w:tcW w:w="1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5% Stockholders:</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Blackrock, Inc.</w:t>
            </w:r>
            <w:r>
              <w:rPr>
                <w:rFonts w:ascii="Arial" w:cs="Arial" w:eastAsia="Arial" w:hAnsi="Arial"/>
                <w:sz w:val="10"/>
                <w:szCs w:val="10"/>
                <w:color w:val="auto"/>
              </w:rPr>
              <w:t>(10)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2,242,079</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2,242,079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594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23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71,138 shares Mr. Davis has the right to acquire within 60 days of March 31, 2021 include 3,085 shares that would be unvested as of such date.</w:t>
      </w:r>
    </w:p>
    <w:p>
      <w:pPr>
        <w:spacing w:after="0" w:line="288" w:lineRule="exact"/>
        <w:rPr>
          <w:rFonts w:ascii="Arial" w:cs="Arial" w:eastAsia="Arial" w:hAnsi="Arial"/>
          <w:sz w:val="16"/>
          <w:szCs w:val="16"/>
          <w:color w:val="auto"/>
        </w:rPr>
      </w:pPr>
    </w:p>
    <w:p>
      <w:pPr>
        <w:jc w:val="both"/>
        <w:ind w:left="500" w:hanging="492"/>
        <w:spacing w:after="0" w:line="279"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shares consist of 108,918 shares of common stock held by Jeffrey W. Dunn as Trustee of the Jeffrey W. Dunn Living Trust Dated May 17, 2012. The 722,577 shares Mr. Dunn has the right to acquire within 60 days of March 31, 2021 include 10,520 shares that would be unvested as of such date.</w:t>
      </w:r>
    </w:p>
    <w:p>
      <w:pPr>
        <w:spacing w:after="0" w:line="209" w:lineRule="exact"/>
        <w:rPr>
          <w:rFonts w:ascii="Arial" w:cs="Arial" w:eastAsia="Arial" w:hAnsi="Arial"/>
          <w:sz w:val="18"/>
          <w:szCs w:val="18"/>
          <w:color w:val="auto"/>
        </w:rPr>
      </w:pPr>
    </w:p>
    <w:p>
      <w:pPr>
        <w:ind w:left="500" w:hanging="492"/>
        <w:spacing w:after="0" w:line="296"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outstanding shares include (i) 100,570 shares of common stock held by the John Freund Family Partnership IV, L.P. and (ii) 524,906 shares held by the Skyline Venture Partners V, L.P. Dr. Freund, a member of our Board, is Managing Director of Skyline Venture Partners V, L.P. and Managing Director of Skyline Venture Management V, LLC and has voting power over these shares. The 37,963 shares Dr. Freund has the right to acquire within 60 days of March 31, 2021 include 3,085 shares that would be unvested as of such date.</w:t>
      </w:r>
    </w:p>
    <w:p>
      <w:pPr>
        <w:spacing w:after="0" w:line="196" w:lineRule="exact"/>
        <w:rPr>
          <w:rFonts w:ascii="Arial" w:cs="Arial" w:eastAsia="Arial" w:hAnsi="Arial"/>
          <w:sz w:val="17"/>
          <w:szCs w:val="17"/>
          <w:color w:val="auto"/>
        </w:rPr>
      </w:pPr>
    </w:p>
    <w:p>
      <w:pPr>
        <w:ind w:left="500" w:hanging="492"/>
        <w:spacing w:after="0" w:line="279" w:lineRule="auto"/>
        <w:tabs>
          <w:tab w:leader="none" w:pos="4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shares consist of (i) 53,758 shares of common stock held by Mr. Hinckley and (ii) 75,603 shares of common stock held by Gregory K. Hinckley and Mary C. Hinckley as Community Property with the Right of Survivorship. The 24,996 shares Mr. Hinckley has the right to acquire within 60 days of March 31, 2021 include 3,085 shares that would be unvested as of such date.</w:t>
      </w:r>
    </w:p>
    <w:p>
      <w:pPr>
        <w:spacing w:after="0" w:line="209"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59,371 shares Ms. Licitra has the right to acquire within 60 days of March 31, 2021 include 3,085 shares that would be unvested as of such date.</w:t>
      </w:r>
    </w:p>
    <w:p>
      <w:pPr>
        <w:spacing w:after="0" w:line="288" w:lineRule="exact"/>
        <w:rPr>
          <w:rFonts w:ascii="Arial" w:cs="Arial" w:eastAsia="Arial" w:hAnsi="Arial"/>
          <w:sz w:val="16"/>
          <w:szCs w:val="16"/>
          <w:color w:val="auto"/>
        </w:rPr>
      </w:pPr>
    </w:p>
    <w:p>
      <w:pPr>
        <w:ind w:left="500" w:hanging="492"/>
        <w:spacing w:after="0" w:line="293" w:lineRule="auto"/>
        <w:tabs>
          <w:tab w:leader="none" w:pos="4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37,963 shares Mr. Valentine has the right to acquire within 60 days of March 31, 2021 include 3,085 shares that would be unvested as of such date.</w:t>
      </w:r>
    </w:p>
    <w:p>
      <w:pPr>
        <w:spacing w:after="0" w:line="196" w:lineRule="exact"/>
        <w:rPr>
          <w:rFonts w:ascii="Arial" w:cs="Arial" w:eastAsia="Arial" w:hAnsi="Arial"/>
          <w:sz w:val="18"/>
          <w:szCs w:val="18"/>
          <w:color w:val="auto"/>
        </w:rPr>
      </w:pPr>
    </w:p>
    <w:p>
      <w:pPr>
        <w:ind w:left="500" w:hanging="492"/>
        <w:spacing w:after="0" w:line="293"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146,419 shares Ms. Francis has the right to acquire within 60 days of March 31, 2021 include 3,220 shares that would be unvested as of such date.</w:t>
      </w:r>
    </w:p>
    <w:p>
      <w:pPr>
        <w:spacing w:after="0" w:line="196" w:lineRule="exact"/>
        <w:rPr>
          <w:rFonts w:ascii="Arial" w:cs="Arial" w:eastAsia="Arial" w:hAnsi="Arial"/>
          <w:sz w:val="18"/>
          <w:szCs w:val="18"/>
          <w:color w:val="auto"/>
        </w:rPr>
      </w:pPr>
    </w:p>
    <w:p>
      <w:pPr>
        <w:ind w:left="500" w:hanging="492"/>
        <w:spacing w:after="0" w:line="293"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185,730 shares Dr. Recupero has the right to acquire within 60 days of March 31, 2021 include 4,492 shares that would be unvested as of such date.</w:t>
      </w:r>
    </w:p>
    <w:p>
      <w:pPr>
        <w:spacing w:after="0" w:line="196" w:lineRule="exact"/>
        <w:rPr>
          <w:rFonts w:ascii="Arial" w:cs="Arial" w:eastAsia="Arial" w:hAnsi="Arial"/>
          <w:sz w:val="18"/>
          <w:szCs w:val="18"/>
          <w:color w:val="auto"/>
        </w:rPr>
      </w:pPr>
    </w:p>
    <w:p>
      <w:pPr>
        <w:jc w:val="right"/>
        <w:ind w:left="500" w:hanging="492"/>
        <w:spacing w:after="0" w:line="329" w:lineRule="auto"/>
        <w:tabs>
          <w:tab w:leader="none" w:pos="4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(i) 997,378 shares of outstanding common stock beneficially owned by our directors and Named Executive Officers as listed in the table and 17,700 shares of outstanding common stock beneficially owned by our other executive officer as of March 31, 2021 not listed in the table, and (ii) the right to acquire 1,385,618 shares of common stock within 60 days of March 31, 2021 by our directors and Named Executive Officers listed in</w:t>
      </w:r>
    </w:p>
    <w:p>
      <w:pPr>
        <w:sectPr>
          <w:pgSz w:w="11900" w:h="16838" w:orient="portrait"/>
          <w:cols w:equalWidth="0" w:num="1">
            <w:col w:w="11240"/>
          </w:cols>
          <w:pgMar w:left="320" w:top="999" w:right="339" w:bottom="0" w:gutter="0" w:footer="0" w:header="0"/>
        </w:sectPr>
      </w:pPr>
    </w:p>
    <w:bookmarkStart w:id="25" w:name="page26"/>
    <w:bookmarkEnd w:id="25"/>
    <w:p>
      <w:pPr>
        <w:ind w:left="500"/>
        <w:spacing w:after="0" w:line="293" w:lineRule="auto"/>
        <w:rPr>
          <w:sz w:val="20"/>
          <w:szCs w:val="20"/>
          <w:color w:val="auto"/>
        </w:rPr>
      </w:pPr>
      <w:r>
        <w:rPr>
          <w:rFonts w:ascii="Arial" w:cs="Arial" w:eastAsia="Arial" w:hAnsi="Arial"/>
          <w:sz w:val="18"/>
          <w:szCs w:val="18"/>
          <w:color w:val="auto"/>
        </w:rPr>
        <w:t>the table and by our other executive officer; the number of shares our other executive officer has the right to acquire is 88,010 shares of common stock, of which 36,201 shares would be unvested as of such date.</w:t>
      </w:r>
    </w:p>
    <w:p>
      <w:pPr>
        <w:spacing w:after="0" w:line="197" w:lineRule="exact"/>
        <w:rPr>
          <w:sz w:val="20"/>
          <w:szCs w:val="20"/>
          <w:color w:val="auto"/>
        </w:rPr>
      </w:pPr>
    </w:p>
    <w:p>
      <w:pPr>
        <w:jc w:val="both"/>
        <w:ind w:left="500" w:hanging="492"/>
        <w:spacing w:after="0" w:line="279" w:lineRule="auto"/>
        <w:tabs>
          <w:tab w:leader="none" w:pos="5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a Schedule 13G/A filed February 1, 2021, reporting beneficial ownership as of December 31, 2020. Blackrock, Inc. has sole voting power over 2,242,079 of these shares and sole dispositive power over all of these shares. The address for Blackrock, Inc. is 55 East 52nd Street, New York, New York 10055.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April 20, 2021.</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37"/>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Laura A. Francis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8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Anshul Maheshwari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8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Michael A. Pisetsky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SVP, Operations and Administration &amp; Chief Legal Officer</w:t>
            </w:r>
          </w:p>
        </w:tc>
      </w:tr>
      <w:tr>
        <w:trPr>
          <w:trHeight w:val="270"/>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Anthony J. Recupero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Commercial Operations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Ms. Francis’s biography, see “Proposal No. 1 – Election of Directors” above.</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Anshul Maheshwari </w:t>
      </w:r>
      <w:r>
        <w:rPr>
          <w:rFonts w:ascii="Arial" w:cs="Arial" w:eastAsia="Arial" w:hAnsi="Arial"/>
          <w:sz w:val="18"/>
          <w:szCs w:val="18"/>
          <w:color w:val="auto"/>
        </w:rPr>
        <w:t>has served as our Chief Financial Officer since April 2021. Prior to joining us, Mr. Maheshwari was Vice President of Finance, 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December 2011 to March 2013, Mr. Maheshwari was Director of Corporate and Investment Banking for Bank of America Merrill Lynch. Mr. Maheshwari received his BCom from H.R. College of Commerce and his M.B.A. from Boston College, Carroll Graduate School of Management.</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Michael A. Pisetsky </w:t>
      </w:r>
      <w:r>
        <w:rPr>
          <w:rFonts w:ascii="Arial" w:cs="Arial" w:eastAsia="Arial" w:hAnsi="Arial"/>
          <w:sz w:val="16"/>
          <w:szCs w:val="16"/>
          <w:color w:val="auto"/>
        </w:rPr>
        <w:t>has served as our General Counsel and Chief Compliance Officer since August 2016, and as our Senior Vice President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Administration and Chief Legal Officer since April 2021. Mr. Pisetsky joined us in March 2015 as our Director of Legal. From August 2011 to March 2015, Mr. Pisetsky practiced law privately advising a number of companies in the medical technology, healthcare services and real estate industries. From August 2008 to July 2011, Mr. Pisetsky practiced law in the Business Department at Cooley LLP in Palo Alto, California, representing a number of medical technology, biotech, healthcare services and general technology clients, from inception to public offering or sale. Mr. Pisetsky received his B.A. with Honors from Harvard College, and received his J.D. (magna cum laude) and M.B.A. concurrently from Duke University.</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President, Commercial Operations since April 2021, and previously served as our Chief Commercial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999"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w:t>
      </w:r>
    </w:p>
    <w:p>
      <w:pPr>
        <w:spacing w:after="0" w:line="13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30" w:lineRule="exact"/>
        <w:rPr>
          <w:rFonts w:ascii="Arial" w:cs="Arial" w:eastAsia="Arial" w:hAnsi="Arial"/>
          <w:sz w:val="18"/>
          <w:szCs w:val="18"/>
          <w:color w:val="auto"/>
        </w:rPr>
      </w:pPr>
    </w:p>
    <w:p>
      <w:pPr>
        <w:ind w:left="980" w:hanging="324"/>
        <w:spacing w:after="0" w:line="29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compensation packages to our executives that are competitive and reward the achievement of our business objectives and effectively align their interests with those of our stockholders; and</w:t>
      </w:r>
    </w:p>
    <w:p>
      <w:pPr>
        <w:spacing w:after="0" w:line="6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Focus on long-term equity incentives that correlate with the growth of sustainable long-term value for our stockholders.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Compensation Committee is responsible for the executive compensation programs for our executive officers and reports to our Board of Directors on its discussions, decisions, and other actions. Our Chief Executive Officer makes recommendations for the respective executive officers that report to him or her to our Compensation Committee and typically attends Compensation Committee meetings. Our Chief Executive Officer makes such recommendations (other than with respect to himself or herself) regarding base salary, and short-term and long-term compensation, including equity incentives, for our executive officers based on our results, an executive officer's individual contribution toward these results, the executive officer's role and performance of his or her duties, and his or her achievement of individual goals. Our Compensation Committee then reviews the recommendations and other data, including various compensation survey data and publicly available data regarding compensation of executive officers of our peers, and makes decisions as to the target total direct compensation for each executive officer, including our Chief Executive Officer, as well as each individual compensation element. While our Chief Executive Officer typically attends meetings of the Compensation Committee, the Compensation Committee meets outside the presence of our Chief Executive Officer when discussing his or her compensation and when discussing certain other matters, as well.</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In fiscal year 2020, the Compensation Committee continued to retain Compensia to provide it with market information, analysis, and other advice relating to executive compensation on an ongoing basis. The Compensation Committee engaged Compensia to, among other things, assist in developing an appropriate group of peer companies to help us determine the appropriate level of overall compensation for our executive officers, as well as to assess each separate element of compensation, with a goal of ensuring that the compensation we offer to our executive officers, individually as well as in the aggregate, is competitive and fair. We do not believe the retention of, and the work performed by, Compensia creates any conflict of interest.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AND GOVERNANCE PRACTICES AND POLICIES</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endeavor to maintain strong governance standards in our policies and practices related to executive compensation. Below is a summary of our key executive compensation and corporate governance practices.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40" w:type="dxa"/>
            <w:vAlign w:val="bottom"/>
            <w:shd w:val="clear" w:color="auto" w:fill="44546A"/>
          </w:tcPr>
          <w:p>
            <w:pPr>
              <w:spacing w:after="0"/>
              <w:rPr>
                <w:sz w:val="19"/>
                <w:szCs w:val="19"/>
                <w:color w:val="auto"/>
              </w:rPr>
            </w:pPr>
          </w:p>
        </w:tc>
        <w:tc>
          <w:tcPr>
            <w:tcW w:w="4680" w:type="dxa"/>
            <w:vAlign w:val="bottom"/>
            <w:shd w:val="clear" w:color="auto" w:fill="44546A"/>
          </w:tcPr>
          <w:p>
            <w:pPr>
              <w:ind w:left="1920"/>
              <w:spacing w:after="0"/>
              <w:rPr>
                <w:sz w:val="20"/>
                <w:szCs w:val="20"/>
                <w:color w:val="auto"/>
              </w:rPr>
            </w:pPr>
            <w:r>
              <w:rPr>
                <w:rFonts w:ascii="Arial" w:cs="Arial" w:eastAsia="Arial" w:hAnsi="Arial"/>
                <w:sz w:val="18"/>
                <w:szCs w:val="18"/>
                <w:b w:val="1"/>
                <w:bCs w:val="1"/>
                <w:color w:val="FFFFFF"/>
              </w:rPr>
              <w:t>What We Do</w:t>
            </w:r>
          </w:p>
        </w:tc>
        <w:tc>
          <w:tcPr>
            <w:tcW w:w="240" w:type="dxa"/>
            <w:vAlign w:val="bottom"/>
            <w:shd w:val="clear" w:color="auto" w:fill="44546A"/>
          </w:tcPr>
          <w:p>
            <w:pPr>
              <w:spacing w:after="0"/>
              <w:rPr>
                <w:sz w:val="19"/>
                <w:szCs w:val="19"/>
                <w:color w:val="auto"/>
              </w:rPr>
            </w:pPr>
          </w:p>
        </w:tc>
        <w:tc>
          <w:tcPr>
            <w:tcW w:w="4440" w:type="dxa"/>
            <w:vAlign w:val="bottom"/>
            <w:shd w:val="clear" w:color="auto" w:fill="44546A"/>
          </w:tcPr>
          <w:p>
            <w:pPr>
              <w:ind w:left="1540"/>
              <w:spacing w:after="0"/>
              <w:rPr>
                <w:sz w:val="20"/>
                <w:szCs w:val="20"/>
                <w:color w:val="auto"/>
              </w:rPr>
            </w:pPr>
            <w:r>
              <w:rPr>
                <w:rFonts w:ascii="Arial" w:cs="Arial" w:eastAsia="Arial" w:hAnsi="Arial"/>
                <w:sz w:val="18"/>
                <w:szCs w:val="18"/>
                <w:b w:val="1"/>
                <w:bCs w:val="1"/>
                <w:color w:val="FFFFFF"/>
              </w:rPr>
              <w:t>What We Don’t Do</w:t>
            </w:r>
          </w:p>
        </w:tc>
      </w:tr>
      <w:tr>
        <w:trPr>
          <w:trHeight w:val="175"/>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ü</w:t>
            </w:r>
          </w:p>
        </w:tc>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w w:val="92"/>
              </w:rPr>
              <w:t>Actively engage in year-round dialogue with our stockholders</w:t>
            </w:r>
          </w:p>
        </w:tc>
        <w:tc>
          <w:tcPr>
            <w:tcW w:w="240" w:type="dxa"/>
            <w:vAlign w:val="bottom"/>
          </w:tcPr>
          <w:p>
            <w:pPr>
              <w:jc w:val="right"/>
              <w:spacing w:after="0" w:line="176"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76" w:lineRule="exact"/>
              <w:rPr>
                <w:sz w:val="20"/>
                <w:szCs w:val="20"/>
                <w:color w:val="auto"/>
              </w:rPr>
            </w:pPr>
            <w:r>
              <w:rPr>
                <w:rFonts w:ascii="Arial" w:cs="Arial" w:eastAsia="Arial" w:hAnsi="Arial"/>
                <w:sz w:val="18"/>
                <w:szCs w:val="18"/>
                <w:color w:val="auto"/>
                <w:w w:val="95"/>
              </w:rPr>
              <w:t>No pension plans or Supplemental Executive Retirement</w:t>
            </w:r>
          </w:p>
        </w:tc>
      </w:tr>
      <w:tr>
        <w:trPr>
          <w:trHeight w:val="230"/>
        </w:trPr>
        <w:tc>
          <w:tcPr>
            <w:tcW w:w="2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w w:val="96"/>
              </w:rPr>
              <w:t>and incorporate feedback into our compensation programs</w:t>
            </w:r>
          </w:p>
        </w:tc>
        <w:tc>
          <w:tcPr>
            <w:tcW w:w="24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Plans</w:t>
            </w:r>
          </w:p>
        </w:tc>
      </w:tr>
      <w:tr>
        <w:trPr>
          <w:trHeight w:val="188"/>
        </w:trPr>
        <w:tc>
          <w:tcPr>
            <w:tcW w:w="24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69"/>
        </w:trPr>
        <w:tc>
          <w:tcPr>
            <w:tcW w:w="240" w:type="dxa"/>
            <w:vAlign w:val="bottom"/>
          </w:tcPr>
          <w:p>
            <w:pPr>
              <w:ind w:left="20"/>
              <w:spacing w:after="0" w:line="169" w:lineRule="exact"/>
              <w:rPr>
                <w:sz w:val="20"/>
                <w:szCs w:val="20"/>
                <w:color w:val="auto"/>
              </w:rPr>
            </w:pPr>
            <w:r>
              <w:rPr>
                <w:rFonts w:ascii="Arial" w:cs="Arial" w:eastAsia="Arial" w:hAnsi="Arial"/>
                <w:sz w:val="18"/>
                <w:szCs w:val="18"/>
                <w:color w:val="auto"/>
              </w:rPr>
              <w:t>ü</w:t>
            </w:r>
          </w:p>
        </w:tc>
        <w:tc>
          <w:tcPr>
            <w:tcW w:w="4680" w:type="dxa"/>
            <w:vAlign w:val="bottom"/>
          </w:tcPr>
          <w:p>
            <w:pPr>
              <w:ind w:left="140"/>
              <w:spacing w:after="0" w:line="169" w:lineRule="exact"/>
              <w:rPr>
                <w:sz w:val="20"/>
                <w:szCs w:val="20"/>
                <w:color w:val="auto"/>
              </w:rPr>
            </w:pPr>
            <w:r>
              <w:rPr>
                <w:rFonts w:ascii="Arial" w:cs="Arial" w:eastAsia="Arial" w:hAnsi="Arial"/>
                <w:sz w:val="18"/>
                <w:szCs w:val="18"/>
                <w:color w:val="auto"/>
                <w:w w:val="99"/>
              </w:rPr>
              <w:t>Significant portion of compensation for Named Executive</w:t>
            </w:r>
          </w:p>
        </w:tc>
        <w:tc>
          <w:tcPr>
            <w:tcW w:w="240" w:type="dxa"/>
            <w:vAlign w:val="bottom"/>
          </w:tcPr>
          <w:p>
            <w:pPr>
              <w:jc w:val="right"/>
              <w:spacing w:after="0" w:line="169"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69" w:lineRule="exact"/>
              <w:rPr>
                <w:sz w:val="20"/>
                <w:szCs w:val="20"/>
                <w:color w:val="auto"/>
              </w:rPr>
            </w:pPr>
            <w:r>
              <w:rPr>
                <w:rFonts w:ascii="Arial" w:cs="Arial" w:eastAsia="Arial" w:hAnsi="Arial"/>
                <w:sz w:val="18"/>
                <w:szCs w:val="18"/>
                <w:color w:val="auto"/>
              </w:rPr>
              <w:t>No hedging or pledging of our securities</w:t>
            </w:r>
          </w:p>
        </w:tc>
      </w:tr>
      <w:tr>
        <w:trPr>
          <w:trHeight w:val="175"/>
        </w:trPr>
        <w:tc>
          <w:tcPr>
            <w:tcW w:w="240" w:type="dxa"/>
            <w:vAlign w:val="bottom"/>
          </w:tcPr>
          <w:p>
            <w:pPr>
              <w:spacing w:after="0"/>
              <w:rPr>
                <w:sz w:val="15"/>
                <w:szCs w:val="15"/>
                <w:color w:val="auto"/>
              </w:rPr>
            </w:pPr>
          </w:p>
        </w:tc>
        <w:tc>
          <w:tcPr>
            <w:tcW w:w="4680" w:type="dxa"/>
            <w:vAlign w:val="bottom"/>
          </w:tcPr>
          <w:p>
            <w:pPr>
              <w:ind w:left="140"/>
              <w:spacing w:after="0" w:line="176" w:lineRule="exact"/>
              <w:rPr>
                <w:sz w:val="20"/>
                <w:szCs w:val="20"/>
                <w:color w:val="auto"/>
              </w:rPr>
            </w:pPr>
            <w:r>
              <w:rPr>
                <w:rFonts w:ascii="Arial" w:cs="Arial" w:eastAsia="Arial" w:hAnsi="Arial"/>
                <w:sz w:val="18"/>
                <w:szCs w:val="18"/>
                <w:color w:val="auto"/>
              </w:rPr>
              <w:t>Officers is at risk, based on both company performance</w:t>
            </w:r>
          </w:p>
        </w:tc>
        <w:tc>
          <w:tcPr>
            <w:tcW w:w="24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230"/>
        </w:trPr>
        <w:tc>
          <w:tcPr>
            <w:tcW w:w="24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(financial &amp; stock price) and the individual’s performance</w:t>
            </w:r>
          </w:p>
        </w:tc>
        <w:tc>
          <w:tcPr>
            <w:tcW w:w="24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r>
      <w:tr>
        <w:trPr>
          <w:trHeight w:val="169"/>
        </w:trPr>
        <w:tc>
          <w:tcPr>
            <w:tcW w:w="240" w:type="dxa"/>
            <w:vAlign w:val="bottom"/>
          </w:tcPr>
          <w:p>
            <w:pPr>
              <w:ind w:left="20"/>
              <w:spacing w:after="0" w:line="169" w:lineRule="exact"/>
              <w:rPr>
                <w:sz w:val="20"/>
                <w:szCs w:val="20"/>
                <w:color w:val="auto"/>
              </w:rPr>
            </w:pPr>
            <w:r>
              <w:rPr>
                <w:rFonts w:ascii="Arial" w:cs="Arial" w:eastAsia="Arial" w:hAnsi="Arial"/>
                <w:sz w:val="18"/>
                <w:szCs w:val="18"/>
                <w:color w:val="auto"/>
              </w:rPr>
              <w:t>ü</w:t>
            </w:r>
          </w:p>
        </w:tc>
        <w:tc>
          <w:tcPr>
            <w:tcW w:w="492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5"/>
              </w:rPr>
              <w:t>Provide compensation mix that more heavily weights variable û</w:t>
            </w:r>
          </w:p>
        </w:tc>
        <w:tc>
          <w:tcPr>
            <w:tcW w:w="4440" w:type="dxa"/>
            <w:vAlign w:val="bottom"/>
          </w:tcPr>
          <w:p>
            <w:pPr>
              <w:ind w:left="100"/>
              <w:spacing w:after="0" w:line="169" w:lineRule="exact"/>
              <w:rPr>
                <w:sz w:val="20"/>
                <w:szCs w:val="20"/>
                <w:color w:val="auto"/>
              </w:rPr>
            </w:pPr>
            <w:r>
              <w:rPr>
                <w:rFonts w:ascii="Arial" w:cs="Arial" w:eastAsia="Arial" w:hAnsi="Arial"/>
                <w:sz w:val="18"/>
                <w:szCs w:val="18"/>
                <w:color w:val="auto"/>
              </w:rPr>
              <w:t>No excise tax gross-ups upon a change of control</w:t>
            </w:r>
          </w:p>
        </w:tc>
      </w:tr>
      <w:tr>
        <w:trPr>
          <w:trHeight w:val="230"/>
        </w:trPr>
        <w:tc>
          <w:tcPr>
            <w:tcW w:w="2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pay</w:t>
            </w:r>
          </w:p>
        </w:tc>
        <w:tc>
          <w:tcPr>
            <w:tcW w:w="24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103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81" w:lineRule="exact"/>
        <w:rPr>
          <w:sz w:val="20"/>
          <w:szCs w:val="20"/>
          <w:color w:val="auto"/>
        </w:rPr>
      </w:pPr>
    </w:p>
    <w:p>
      <w:pPr>
        <w:ind w:left="1200" w:right="5660" w:hanging="364"/>
        <w:spacing w:after="0" w:line="235"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ownership requirements apply to all Named Executive Officers and directors</w:t>
      </w:r>
    </w:p>
    <w:p>
      <w:pPr>
        <w:spacing w:after="0" w:line="202" w:lineRule="exact"/>
        <w:rPr>
          <w:rFonts w:ascii="Arial" w:cs="Arial" w:eastAsia="Arial" w:hAnsi="Arial"/>
          <w:sz w:val="18"/>
          <w:szCs w:val="18"/>
          <w:color w:val="auto"/>
        </w:rPr>
      </w:pPr>
    </w:p>
    <w:p>
      <w:pPr>
        <w:ind w:left="1200" w:right="6220" w:hanging="364"/>
        <w:spacing w:after="0" w:line="235"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independent compensation consultant advises the Compensation Committee</w:t>
      </w:r>
    </w:p>
    <w:p>
      <w:pPr>
        <w:spacing w:after="0" w:line="202" w:lineRule="exact"/>
        <w:rPr>
          <w:rFonts w:ascii="Arial" w:cs="Arial" w:eastAsia="Arial" w:hAnsi="Arial"/>
          <w:sz w:val="18"/>
          <w:szCs w:val="18"/>
          <w:color w:val="auto"/>
        </w:rPr>
      </w:pPr>
    </w:p>
    <w:p>
      <w:pPr>
        <w:ind w:left="1200" w:right="5620" w:hanging="364"/>
        <w:spacing w:after="0" w:line="289"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Annually assess the risk-reward balance of our compensation programs in order to mitigate undue risks 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96520</wp:posOffset>
            </wp:positionV>
            <wp:extent cx="6103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-288925</wp:posOffset>
            </wp:positionV>
            <wp:extent cx="6103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-674370</wp:posOffset>
            </wp:positionV>
            <wp:extent cx="6103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999" w:right="3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PEER GROUP</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Compensation Committee reviews market data of companies that we believe are comparable to us. With Compensia’s assistance, the Compensation Committee developed a peer group for use when making its fiscal 2020 compensation decisions, which consisted of publicly traded healthcare equipment and technology companies headquartered in the U.S. that generally had revenue between 0.4x and 2.5x SI-BONE’s revenue and had a market capitalization between $200 million and $2 billion. The Compensation Committee referred to compensation data from this peer group and broader survey data (for similarly sized companies) when making fiscal 2020 base salary, cash bonus and equity award decisions for our executive officers. The following is a list of the public companies that composed our fiscal 2020 peer group:</w:t>
      </w:r>
    </w:p>
    <w:p>
      <w:pPr>
        <w:spacing w:after="0" w:line="184" w:lineRule="exact"/>
        <w:rPr>
          <w:sz w:val="20"/>
          <w:szCs w:val="20"/>
          <w:color w:val="auto"/>
        </w:rPr>
      </w:pPr>
    </w:p>
    <w:tbl>
      <w:tblPr>
        <w:tblLayout w:type="fixed"/>
        <w:tblInd w:w="410" w:type="dxa"/>
        <w:tblCellMar>
          <w:top w:w="0" w:type="dxa"/>
          <w:left w:w="0" w:type="dxa"/>
          <w:bottom w:w="0" w:type="dxa"/>
          <w:right w:w="0" w:type="dxa"/>
        </w:tblCellMar>
      </w:tblPr>
      <w:tr>
        <w:trPr>
          <w:trHeight w:val="243"/>
        </w:trPr>
        <w:tc>
          <w:tcPr>
            <w:tcW w:w="5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Alphatec Holdings, Inc.</w:t>
            </w:r>
          </w:p>
        </w:tc>
        <w:tc>
          <w:tcPr>
            <w:tcW w:w="5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LeMaitre Vascular,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Apyx Medical Corporation</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Misonix,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AxoGen,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Nevro Corp.</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Cerus Corporation</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Nuvectra Corporation</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Cutera,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OrthoPediatrics Corp.</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GenMark Diagnostics,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SeaSpine Holdings Corporation</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Intersect ENT,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Zynex,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iRhythm Technologies, Inc.</w:t>
            </w:r>
          </w:p>
        </w:tc>
        <w:tc>
          <w:tcPr>
            <w:tcW w:w="52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shows for the fiscal years ended 2020 and 2019, compensation awarded to or paid to, or earned by, our Chief Executive Officer and our other two most highly compensated executive officers as of December 31, 2020 (the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6"/>
                <w:szCs w:val="16"/>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Non-Equity</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7"/>
              </w:rPr>
              <w:t>All 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vMerge w:val="restart"/>
          </w:tcPr>
          <w:p>
            <w:pPr>
              <w:ind w:left="160"/>
              <w:spacing w:after="0"/>
              <w:rPr>
                <w:sz w:val="20"/>
                <w:szCs w:val="20"/>
                <w:color w:val="auto"/>
              </w:rPr>
            </w:pPr>
            <w:r>
              <w:rPr>
                <w:rFonts w:ascii="Arial" w:cs="Arial" w:eastAsia="Arial" w:hAnsi="Arial"/>
                <w:sz w:val="16"/>
                <w:szCs w:val="16"/>
                <w:b w:val="1"/>
                <w:bCs w:val="1"/>
                <w:color w:val="auto"/>
                <w:w w:val="98"/>
              </w:rPr>
              <w:t>Name and Principal Position</w:t>
            </w:r>
          </w:p>
        </w:tc>
        <w:tc>
          <w:tcPr>
            <w:tcW w:w="160" w:type="dxa"/>
            <w:vAlign w:val="bottom"/>
          </w:tcPr>
          <w:p>
            <w:pPr>
              <w:spacing w:after="0"/>
              <w:rPr>
                <w:sz w:val="14"/>
                <w:szCs w:val="14"/>
                <w:color w:val="auto"/>
              </w:rPr>
            </w:pPr>
          </w:p>
        </w:tc>
        <w:tc>
          <w:tcPr>
            <w:tcW w:w="6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Year</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Salary</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3"/>
              </w:rPr>
              <w:t>Awards</w:t>
            </w:r>
            <w:r>
              <w:rPr>
                <w:rFonts w:ascii="Arial" w:cs="Arial" w:eastAsia="Arial" w:hAnsi="Arial"/>
                <w:sz w:val="21"/>
                <w:szCs w:val="21"/>
                <w:b w:val="1"/>
                <w:bCs w:val="1"/>
                <w:color w:val="auto"/>
                <w:w w:val="93"/>
                <w:vertAlign w:val="superscript"/>
              </w:rPr>
              <w:t>(1)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0"/>
              </w:rPr>
              <w:t>Awards</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(2)</w:t>
            </w: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60"/>
              <w:spacing w:after="0" w:line="210" w:lineRule="exact"/>
              <w:rPr>
                <w:sz w:val="20"/>
                <w:szCs w:val="20"/>
                <w:color w:val="auto"/>
              </w:rPr>
            </w:pPr>
            <w:r>
              <w:rPr>
                <w:rFonts w:ascii="Arial" w:cs="Arial" w:eastAsia="Arial" w:hAnsi="Arial"/>
                <w:sz w:val="16"/>
                <w:szCs w:val="16"/>
                <w:color w:val="auto"/>
              </w:rPr>
              <w:t>Jeffrey W. Dunn</w:t>
            </w:r>
            <w:r>
              <w:rPr>
                <w:rFonts w:ascii="Arial" w:cs="Arial" w:eastAsia="Arial" w:hAnsi="Arial"/>
                <w:sz w:val="21"/>
                <w:szCs w:val="21"/>
                <w:color w:val="auto"/>
                <w:vertAlign w:val="superscript"/>
              </w:rPr>
              <w:t>(4)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544,199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4,240,493</w:t>
            </w: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60"/>
              <w:spacing w:after="0" w:line="166" w:lineRule="exact"/>
              <w:rPr>
                <w:sz w:val="20"/>
                <w:szCs w:val="20"/>
                <w:color w:val="auto"/>
              </w:rPr>
            </w:pPr>
            <w:r>
              <w:rPr>
                <w:rFonts w:ascii="Arial" w:cs="Arial" w:eastAsia="Arial" w:hAnsi="Arial"/>
                <w:sz w:val="16"/>
                <w:szCs w:val="16"/>
                <w:i w:val="1"/>
                <w:iCs w:val="1"/>
                <w:color w:val="auto"/>
              </w:rPr>
              <w:t>President and Chief Executive</w:t>
            </w:r>
          </w:p>
        </w:tc>
        <w:tc>
          <w:tcPr>
            <w:tcW w:w="8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540,000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1,498,200</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1,534,662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329,365</w:t>
            </w:r>
          </w:p>
        </w:tc>
        <w:tc>
          <w:tcPr>
            <w:tcW w:w="4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w w:val="98"/>
              </w:rPr>
              <w:t>3,923,140</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Officer</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2300" w:type="dxa"/>
            <w:vAlign w:val="bottom"/>
          </w:tcPr>
          <w:p>
            <w:pPr>
              <w:ind w:left="60"/>
              <w:spacing w:after="0"/>
              <w:rPr>
                <w:sz w:val="20"/>
                <w:szCs w:val="20"/>
                <w:color w:val="auto"/>
              </w:rPr>
            </w:pPr>
            <w:r>
              <w:rPr>
                <w:rFonts w:ascii="Arial" w:cs="Arial" w:eastAsia="Arial" w:hAnsi="Arial"/>
                <w:sz w:val="16"/>
                <w:szCs w:val="16"/>
                <w:color w:val="auto"/>
              </w:rPr>
              <w:t>Laura A. Francis</w:t>
            </w:r>
            <w:r>
              <w:rPr>
                <w:rFonts w:ascii="Arial" w:cs="Arial" w:eastAsia="Arial" w:hAnsi="Arial"/>
                <w:sz w:val="21"/>
                <w:szCs w:val="21"/>
                <w:color w:val="auto"/>
                <w:vertAlign w:val="superscript"/>
              </w:rPr>
              <w:t>(4)</w:t>
            </w:r>
          </w:p>
        </w:tc>
        <w:tc>
          <w:tcPr>
            <w:tcW w:w="820" w:type="dxa"/>
            <w:vAlign w:val="bottom"/>
            <w:gridSpan w:val="2"/>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386,250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1,182,985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209,517</w:t>
            </w:r>
          </w:p>
        </w:tc>
        <w:tc>
          <w:tcPr>
            <w:tcW w:w="4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22,087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120"/>
              <w:spacing w:after="0"/>
              <w:rPr>
                <w:sz w:val="20"/>
                <w:szCs w:val="20"/>
                <w:color w:val="auto"/>
              </w:rPr>
            </w:pPr>
            <w:r>
              <w:rPr>
                <w:rFonts w:ascii="Arial" w:cs="Arial" w:eastAsia="Arial" w:hAnsi="Arial"/>
                <w:sz w:val="16"/>
                <w:szCs w:val="16"/>
                <w:color w:val="auto"/>
                <w:w w:val="98"/>
              </w:rPr>
              <w:t>1,800,839</w:t>
            </w:r>
          </w:p>
        </w:tc>
        <w:tc>
          <w:tcPr>
            <w:tcW w:w="0" w:type="dxa"/>
            <w:vAlign w:val="bottom"/>
          </w:tcPr>
          <w:p>
            <w:pPr>
              <w:spacing w:after="0"/>
              <w:rPr>
                <w:sz w:val="1"/>
                <w:szCs w:val="1"/>
                <w:color w:val="auto"/>
              </w:rPr>
            </w:pPr>
          </w:p>
        </w:tc>
      </w:tr>
      <w:tr>
        <w:trPr>
          <w:trHeight w:val="162"/>
        </w:trPr>
        <w:tc>
          <w:tcPr>
            <w:tcW w:w="2300" w:type="dxa"/>
            <w:vAlign w:val="bottom"/>
          </w:tcPr>
          <w:p>
            <w:pPr>
              <w:ind w:left="60"/>
              <w:spacing w:after="0" w:line="162" w:lineRule="exact"/>
              <w:rPr>
                <w:sz w:val="20"/>
                <w:szCs w:val="20"/>
                <w:color w:val="auto"/>
              </w:rPr>
            </w:pPr>
            <w:r>
              <w:rPr>
                <w:rFonts w:ascii="Arial" w:cs="Arial" w:eastAsia="Arial" w:hAnsi="Arial"/>
                <w:sz w:val="16"/>
                <w:szCs w:val="16"/>
                <w:i w:val="1"/>
                <w:iCs w:val="1"/>
                <w:color w:val="auto"/>
                <w:w w:val="93"/>
              </w:rPr>
              <w:t>Chief Operating Officer and Chief</w:t>
            </w:r>
          </w:p>
        </w:tc>
        <w:tc>
          <w:tcPr>
            <w:tcW w:w="820" w:type="dxa"/>
            <w:vAlign w:val="bottom"/>
            <w:gridSpan w:val="2"/>
            <w:vMerge w:val="restart"/>
          </w:tcPr>
          <w:p>
            <w:pPr>
              <w:ind w:left="3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892,000</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513,982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138,633</w:t>
            </w:r>
          </w:p>
        </w:tc>
        <w:tc>
          <w:tcPr>
            <w:tcW w:w="4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20,812</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auto"/>
                <w:w w:val="98"/>
              </w:rPr>
              <w:t>1,940,427</w:t>
            </w: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6"/>
                <w:szCs w:val="16"/>
                <w:i w:val="1"/>
                <w:iCs w:val="1"/>
                <w:color w:val="auto"/>
              </w:rPr>
              <w:t>Financial Officer</w:t>
            </w: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00" w:type="dxa"/>
            <w:vAlign w:val="bottom"/>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Anthony J. Recupero</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1,775,689</w:t>
            </w:r>
          </w:p>
        </w:tc>
        <w:tc>
          <w:tcPr>
            <w:tcW w:w="0" w:type="dxa"/>
            <w:vAlign w:val="bottom"/>
          </w:tcPr>
          <w:p>
            <w:pPr>
              <w:spacing w:after="0"/>
              <w:rPr>
                <w:sz w:val="1"/>
                <w:szCs w:val="1"/>
                <w:color w:val="auto"/>
              </w:rPr>
            </w:pPr>
          </w:p>
        </w:tc>
      </w:tr>
      <w:tr>
        <w:trPr>
          <w:trHeight w:val="222"/>
        </w:trPr>
        <w:tc>
          <w:tcPr>
            <w:tcW w:w="2300" w:type="dxa"/>
            <w:vAlign w:val="bottom"/>
            <w:shd w:val="clear" w:color="auto" w:fill="CCEEFF"/>
          </w:tcPr>
          <w:p>
            <w:pPr>
              <w:ind w:left="60"/>
              <w:spacing w:after="0"/>
              <w:rPr>
                <w:sz w:val="20"/>
                <w:szCs w:val="20"/>
                <w:color w:val="auto"/>
              </w:rPr>
            </w:pPr>
            <w:r>
              <w:rPr>
                <w:rFonts w:ascii="Arial" w:cs="Arial" w:eastAsia="Arial" w:hAnsi="Arial"/>
                <w:sz w:val="16"/>
                <w:szCs w:val="16"/>
                <w:i w:val="1"/>
                <w:iCs w:val="1"/>
                <w:color w:val="auto"/>
              </w:rPr>
              <w:t>Chief Commercial Officer</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120,731</w:t>
            </w:r>
          </w:p>
        </w:tc>
        <w:tc>
          <w:tcPr>
            <w:tcW w:w="4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1,349,202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94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49" w:lineRule="exact"/>
        <w:rPr>
          <w:sz w:val="20"/>
          <w:szCs w:val="20"/>
          <w:color w:val="auto"/>
        </w:rPr>
      </w:pPr>
    </w:p>
    <w:p>
      <w:pPr>
        <w:jc w:val="both"/>
        <w:ind w:left="420" w:hanging="372"/>
        <w:spacing w:after="0" w:line="303" w:lineRule="auto"/>
        <w:tabs>
          <w:tab w:leader="none" w:pos="4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restricted stock units and option awards granted to the officer, computed in accordance with FASB ASC Topic 718. With respect to option awards, see Note 10 to our financial statements in our Annual Report on Form 10-K, filed with the SEC on March 10, 2021. The fair value of the restricted stock units is based on the market price of our common stock on the date of grant.</w:t>
      </w:r>
    </w:p>
    <w:p>
      <w:pPr>
        <w:spacing w:after="0" w:line="272" w:lineRule="exact"/>
        <w:rPr>
          <w:rFonts w:ascii="Arial" w:cs="Arial" w:eastAsia="Arial" w:hAnsi="Arial"/>
          <w:sz w:val="17"/>
          <w:szCs w:val="17"/>
          <w:color w:val="auto"/>
        </w:rPr>
      </w:pPr>
    </w:p>
    <w:p>
      <w:pPr>
        <w:jc w:val="both"/>
        <w:ind w:left="420" w:hanging="372"/>
        <w:spacing w:after="0" w:line="266"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payments upon the achievement of 2020 and 2019 corporate goals, as applicable, as well as individual objectives, which were paid in January 2021 and January 2020, respectively. Our corporate goals included revenue growth, cash flow, expense, profitability management, reimbursement progress and clinical milestones. We did not modify these goals during 2020, due to the extent of the ongoing uncertainty for our business related to COVID-19. However, in January 2021, in finalizing the revenue goal for 2020 bonus compensation, the Compensation Committee modified the metrics for the revenue goal, taking into</w:t>
      </w:r>
    </w:p>
    <w:p>
      <w:pPr>
        <w:spacing w:after="0" w:line="1" w:lineRule="exact"/>
        <w:rPr>
          <w:rFonts w:ascii="Arial" w:cs="Arial" w:eastAsia="Arial" w:hAnsi="Arial"/>
          <w:sz w:val="18"/>
          <w:szCs w:val="18"/>
          <w:color w:val="auto"/>
        </w:rPr>
      </w:pPr>
    </w:p>
    <w:p>
      <w:pPr>
        <w:ind w:left="420"/>
        <w:spacing w:after="0" w:line="292" w:lineRule="auto"/>
        <w:rPr>
          <w:rFonts w:ascii="Arial" w:cs="Arial" w:eastAsia="Arial" w:hAnsi="Arial"/>
          <w:sz w:val="18"/>
          <w:szCs w:val="18"/>
          <w:color w:val="auto"/>
        </w:rPr>
      </w:pPr>
      <w:r>
        <w:rPr>
          <w:rFonts w:ascii="Arial" w:cs="Arial" w:eastAsia="Arial" w:hAnsi="Arial"/>
          <w:sz w:val="18"/>
          <w:szCs w:val="18"/>
          <w:color w:val="auto"/>
        </w:rPr>
        <w:t>account the unique and significant impact of COVID-19 on our revenue, as well as our management team’s effective response successfully navigating the pandemic, and our strong shareholder return during the year.</w:t>
      </w:r>
    </w:p>
    <w:p>
      <w:pPr>
        <w:spacing w:after="0" w:line="197" w:lineRule="exact"/>
        <w:rPr>
          <w:rFonts w:ascii="Arial" w:cs="Arial" w:eastAsia="Arial" w:hAnsi="Arial"/>
          <w:sz w:val="18"/>
          <w:szCs w:val="18"/>
          <w:color w:val="auto"/>
        </w:rPr>
      </w:pPr>
    </w:p>
    <w:p>
      <w:pPr>
        <w:ind w:left="420" w:hanging="372"/>
        <w:spacing w:after="0" w:line="293"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reported for 2020 include medical and life insurance premiums paid by us on behalf of our Named Executive Officers. Medical insurance premiums paid by us were approximately $22,000 for each Named Executive Officer.</w:t>
      </w:r>
    </w:p>
    <w:p>
      <w:pPr>
        <w:spacing w:after="0" w:line="196" w:lineRule="exact"/>
        <w:rPr>
          <w:rFonts w:ascii="Arial" w:cs="Arial" w:eastAsia="Arial" w:hAnsi="Arial"/>
          <w:sz w:val="18"/>
          <w:szCs w:val="18"/>
          <w:color w:val="auto"/>
        </w:rPr>
      </w:pPr>
    </w:p>
    <w:p>
      <w:pPr>
        <w:ind w:left="420" w:hanging="372"/>
        <w:spacing w:after="0" w:line="293"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Dunn became our Executive Chairman and ceased to be our President and Chief Executive Officer, and Ms. Francis became our Chief Executive Officer, in April 2021.</w:t>
      </w:r>
    </w:p>
    <w:p>
      <w:pPr>
        <w:spacing w:after="0" w:line="196" w:lineRule="exact"/>
        <w:rPr>
          <w:rFonts w:ascii="Arial" w:cs="Arial" w:eastAsia="Arial" w:hAnsi="Arial"/>
          <w:sz w:val="18"/>
          <w:szCs w:val="18"/>
          <w:color w:val="auto"/>
        </w:rPr>
      </w:pPr>
    </w:p>
    <w:p>
      <w:pPr>
        <w:jc w:val="both"/>
        <w:ind w:left="420" w:hanging="372"/>
        <w:spacing w:after="0" w:line="275" w:lineRule="auto"/>
        <w:tabs>
          <w:tab w:leader="none" w:pos="4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2020 proxy statement, the 2019 incentive compensation had been reported as bonus compensation and has been recharacterized as non-equity incentive plan compensation as set forth above. Amounts are amounts earned for the respective years, regardless of when paid. The amount for 2019 has been adjusted from the amount reflected in the 2020 proxy statement as the amount for 2019 incentive compensation had inadvertently reflected the amount paid in 2019 rather than the amount earned in 2019.</w:t>
      </w:r>
    </w:p>
    <w:p>
      <w:pPr>
        <w:sectPr>
          <w:pgSz w:w="11900" w:h="16838" w:orient="portrait"/>
          <w:cols w:equalWidth="0" w:num="1">
            <w:col w:w="11240"/>
          </w:cols>
          <w:pgMar w:left="320" w:top="99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999" w:right="3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2020, for our Named Executive Officers:</w:t>
      </w: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Stock Awards</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18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 or</w:t>
            </w:r>
          </w:p>
        </w:tc>
        <w:tc>
          <w:tcPr>
            <w:tcW w:w="100" w:type="dxa"/>
            <w:vAlign w:val="bottom"/>
          </w:tcPr>
          <w:p>
            <w:pPr>
              <w:spacing w:after="0"/>
              <w:rPr>
                <w:sz w:val="14"/>
                <w:szCs w:val="14"/>
                <w:color w:val="auto"/>
              </w:rPr>
            </w:pPr>
          </w:p>
        </w:tc>
        <w:tc>
          <w:tcPr>
            <w:tcW w:w="11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Underlying</w:t>
            </w:r>
          </w:p>
        </w:tc>
        <w:tc>
          <w:tcPr>
            <w:tcW w:w="120" w:type="dxa"/>
            <w:vAlign w:val="bottom"/>
          </w:tcPr>
          <w:p>
            <w:pPr>
              <w:spacing w:after="0"/>
              <w:rPr>
                <w:sz w:val="8"/>
                <w:szCs w:val="8"/>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Units of Stock</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13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6"/>
              </w:rPr>
              <w:t>Vesting</w:t>
            </w:r>
          </w:p>
        </w:tc>
        <w:tc>
          <w:tcPr>
            <w:tcW w:w="140" w:type="dxa"/>
            <w:vAlign w:val="bottom"/>
          </w:tcPr>
          <w:p>
            <w:pPr>
              <w:spacing w:after="0"/>
              <w:rPr>
                <w:sz w:val="7"/>
                <w:szCs w:val="7"/>
                <w:color w:val="auto"/>
              </w:rPr>
            </w:pPr>
          </w:p>
        </w:tc>
        <w:tc>
          <w:tcPr>
            <w:tcW w:w="10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restart"/>
          </w:tcPr>
          <w:p>
            <w:pPr>
              <w:ind w:left="220"/>
              <w:spacing w:after="0" w:line="135" w:lineRule="exact"/>
              <w:rPr>
                <w:sz w:val="20"/>
                <w:szCs w:val="20"/>
                <w:color w:val="auto"/>
              </w:rPr>
            </w:pPr>
            <w:r>
              <w:rPr>
                <w:rFonts w:ascii="Arial" w:cs="Arial" w:eastAsia="Arial" w:hAnsi="Arial"/>
                <w:sz w:val="14"/>
                <w:szCs w:val="14"/>
                <w:b w:val="1"/>
                <w:bCs w:val="1"/>
                <w:color w:val="auto"/>
              </w:rPr>
              <w:t>Option</w:t>
            </w:r>
          </w:p>
        </w:tc>
        <w:tc>
          <w:tcPr>
            <w:tcW w:w="1180" w:type="dxa"/>
            <w:vAlign w:val="bottom"/>
            <w:gridSpan w:val="2"/>
            <w:vMerge w:val="continue"/>
          </w:tcPr>
          <w:p>
            <w:pPr>
              <w:spacing w:after="0"/>
              <w:rPr>
                <w:sz w:val="7"/>
                <w:szCs w:val="7"/>
                <w:color w:val="auto"/>
              </w:rPr>
            </w:pPr>
          </w:p>
        </w:tc>
        <w:tc>
          <w:tcPr>
            <w:tcW w:w="128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50"/>
        </w:trPr>
        <w:tc>
          <w:tcPr>
            <w:tcW w:w="11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That Have Not</w:t>
            </w: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Commencement</w:t>
            </w:r>
          </w:p>
        </w:tc>
        <w:tc>
          <w:tcPr>
            <w:tcW w:w="1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 Vested</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Expiration</w:t>
            </w: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Unvested (#)</w:t>
            </w:r>
            <w:r>
              <w:rPr>
                <w:rFonts w:ascii="Arial" w:cs="Arial" w:eastAsia="Arial" w:hAnsi="Arial"/>
                <w:sz w:val="18"/>
                <w:szCs w:val="18"/>
                <w:b w:val="1"/>
                <w:bCs w:val="1"/>
                <w:color w:val="auto"/>
                <w:w w:val="89"/>
                <w:vertAlign w:val="superscript"/>
              </w:rPr>
              <w:t>(2)</w:t>
            </w:r>
          </w:p>
        </w:tc>
        <w:tc>
          <w:tcPr>
            <w:tcW w:w="1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
              <w:spacing w:after="0" w:line="189" w:lineRule="exact"/>
              <w:rPr>
                <w:sz w:val="20"/>
                <w:szCs w:val="20"/>
                <w:color w:val="auto"/>
              </w:rPr>
            </w:pPr>
            <w:r>
              <w:rPr>
                <w:rFonts w:ascii="Arial" w:cs="Arial" w:eastAsia="Arial" w:hAnsi="Arial"/>
                <w:sz w:val="14"/>
                <w:szCs w:val="14"/>
                <w:b w:val="1"/>
                <w:bCs w:val="1"/>
                <w:color w:val="auto"/>
                <w:w w:val="88"/>
              </w:rPr>
              <w:t>Not Vested</w:t>
            </w:r>
            <w:r>
              <w:rPr>
                <w:rFonts w:ascii="Arial" w:cs="Arial" w:eastAsia="Arial" w:hAnsi="Arial"/>
                <w:sz w:val="18"/>
                <w:szCs w:val="18"/>
                <w:b w:val="1"/>
                <w:bCs w:val="1"/>
                <w:color w:val="auto"/>
                <w:w w:val="88"/>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Jeffrey W. Dunn</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07/21/14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272,753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07/21/24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04/15/15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05/25/25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06/02/16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07/26/26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1,145,349</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3,382,437</w:t>
            </w:r>
          </w:p>
        </w:tc>
        <w:tc>
          <w:tcPr>
            <w:tcW w:w="0" w:type="dxa"/>
            <w:vAlign w:val="bottom"/>
          </w:tcPr>
          <w:p>
            <w:pPr>
              <w:spacing w:after="0"/>
              <w:rPr>
                <w:sz w:val="1"/>
                <w:szCs w:val="1"/>
                <w:color w:val="auto"/>
              </w:rPr>
            </w:pPr>
          </w:p>
        </w:tc>
      </w:tr>
      <w:tr>
        <w:trPr>
          <w:trHeight w:val="222"/>
        </w:trPr>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134,550</w:t>
            </w: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w w:val="98"/>
              </w:rPr>
              <w:t>Laura A. Francis</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05/26/15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122,392</w:t>
            </w:r>
          </w:p>
        </w:tc>
        <w:tc>
          <w:tcPr>
            <w:tcW w:w="120" w:type="dxa"/>
            <w:vAlign w:val="bottom"/>
          </w:tcPr>
          <w:p>
            <w:pPr>
              <w:spacing w:after="0"/>
              <w:rPr>
                <w:sz w:val="24"/>
                <w:szCs w:val="24"/>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05/25/25</w:t>
            </w:r>
          </w:p>
        </w:tc>
        <w:tc>
          <w:tcPr>
            <w:tcW w:w="1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09/06/17</w:t>
            </w:r>
          </w:p>
        </w:tc>
        <w:tc>
          <w:tcPr>
            <w:tcW w:w="1140" w:type="dxa"/>
            <w:vAlign w:val="bottom"/>
            <w:gridSpan w:val="2"/>
          </w:tcPr>
          <w:p>
            <w:pPr>
              <w:jc w:val="right"/>
              <w:ind w:right="3"/>
              <w:spacing w:after="0"/>
              <w:rPr>
                <w:sz w:val="20"/>
                <w:szCs w:val="20"/>
                <w:color w:val="auto"/>
              </w:rPr>
            </w:pPr>
            <w:r>
              <w:rPr>
                <w:rFonts w:ascii="Arial" w:cs="Arial" w:eastAsia="Arial" w:hAnsi="Arial"/>
                <w:sz w:val="16"/>
                <w:szCs w:val="16"/>
                <w:color w:val="auto"/>
              </w:rPr>
              <w:t>4030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7,247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01/15/19</w:t>
            </w:r>
          </w:p>
        </w:tc>
        <w:tc>
          <w:tcPr>
            <w:tcW w:w="1140" w:type="dxa"/>
            <w:vAlign w:val="bottom"/>
            <w:gridSpan w:val="2"/>
          </w:tcPr>
          <w:p>
            <w:pPr>
              <w:jc w:val="right"/>
              <w:ind w:right="3"/>
              <w:spacing w:after="0"/>
              <w:rPr>
                <w:sz w:val="20"/>
                <w:szCs w:val="20"/>
                <w:color w:val="auto"/>
              </w:rPr>
            </w:pPr>
            <w:r>
              <w:rPr>
                <w:rFonts w:ascii="Arial" w:cs="Arial" w:eastAsia="Arial" w:hAnsi="Arial"/>
                <w:sz w:val="16"/>
                <w:szCs w:val="16"/>
                <w:color w:val="auto"/>
              </w:rPr>
              <w:t>23,671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25,729</w:t>
            </w: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22.00</w:t>
            </w:r>
          </w:p>
        </w:tc>
        <w:tc>
          <w:tcPr>
            <w:tcW w:w="1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12,825</w:t>
            </w:r>
          </w:p>
        </w:tc>
        <w:tc>
          <w:tcPr>
            <w:tcW w:w="1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383,468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411,125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42,226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1,262,557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100,913</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Anthony J.</w:t>
            </w:r>
          </w:p>
        </w:tc>
        <w:tc>
          <w:tcPr>
            <w:tcW w:w="130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07/05/16</w:t>
            </w:r>
          </w:p>
        </w:tc>
        <w:tc>
          <w:tcPr>
            <w:tcW w:w="11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6"/>
                <w:szCs w:val="16"/>
                <w:color w:val="auto"/>
              </w:rPr>
              <w:t>99,190</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760"/>
              <w:spacing w:after="0" w:line="166"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ind w:left="300"/>
              <w:spacing w:after="0" w:line="166" w:lineRule="exact"/>
              <w:rPr>
                <w:sz w:val="20"/>
                <w:szCs w:val="20"/>
                <w:color w:val="auto"/>
              </w:rPr>
            </w:pPr>
            <w:r>
              <w:rPr>
                <w:rFonts w:ascii="Arial" w:cs="Arial" w:eastAsia="Arial" w:hAnsi="Arial"/>
                <w:sz w:val="16"/>
                <w:szCs w:val="16"/>
                <w:color w:val="auto"/>
                <w:w w:val="93"/>
              </w:rPr>
              <w:t>07/26/26</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Recupero</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43,833</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18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12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22,240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331,322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1,262,557</w:t>
            </w:r>
          </w:p>
        </w:tc>
        <w:tc>
          <w:tcPr>
            <w:tcW w:w="0" w:type="dxa"/>
            <w:vAlign w:val="bottom"/>
          </w:tcPr>
          <w:p>
            <w:pPr>
              <w:spacing w:after="0"/>
              <w:rPr>
                <w:sz w:val="1"/>
                <w:szCs w:val="1"/>
                <w:color w:val="auto"/>
              </w:rPr>
            </w:pPr>
          </w:p>
        </w:tc>
      </w:tr>
      <w:tr>
        <w:trPr>
          <w:trHeight w:val="222"/>
        </w:trPr>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259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49" w:lineRule="exact"/>
        <w:rPr>
          <w:sz w:val="20"/>
          <w:szCs w:val="20"/>
          <w:color w:val="auto"/>
        </w:rPr>
      </w:pPr>
    </w:p>
    <w:p>
      <w:pPr>
        <w:ind w:left="420" w:hanging="372"/>
        <w:spacing w:after="0" w:line="293"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277" w:lineRule="exact"/>
        <w:rPr>
          <w:rFonts w:ascii="Arial" w:cs="Arial" w:eastAsia="Arial" w:hAnsi="Arial"/>
          <w:sz w:val="18"/>
          <w:szCs w:val="18"/>
          <w:color w:val="auto"/>
        </w:rPr>
      </w:pPr>
    </w:p>
    <w:p>
      <w:pPr>
        <w:ind w:left="420" w:hanging="372"/>
        <w:spacing w:after="0" w:line="279" w:lineRule="auto"/>
        <w:tabs>
          <w:tab w:leader="none" w:pos="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in the event of a change of control of the company, in the case of Mr. Dunn, and termination of the award recipient’s employment in connection with a change of control of the company in the case of Ms. Francis and Mr. Recupero.</w:t>
      </w:r>
    </w:p>
    <w:p>
      <w:pPr>
        <w:spacing w:after="0" w:line="209" w:lineRule="exact"/>
        <w:rPr>
          <w:rFonts w:ascii="Arial" w:cs="Arial" w:eastAsia="Arial" w:hAnsi="Arial"/>
          <w:sz w:val="18"/>
          <w:szCs w:val="18"/>
          <w:color w:val="auto"/>
        </w:rPr>
      </w:pPr>
    </w:p>
    <w:p>
      <w:pPr>
        <w:ind w:left="420" w:hanging="372"/>
        <w:spacing w:after="0" w:line="293" w:lineRule="auto"/>
        <w:tabs>
          <w:tab w:leader="none" w:pos="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determining market value, we assumed a stock price of $29.90, the closing sale price per share of our common stock on December 31, 2020, the last business day of our last fiscal year.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OF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For the year ended December 31, 2020, the annual base salaries for each of Messrs. Dunn and Recupero were $600,000 and $380,000, respectively. For the year ended December 31, 2020, the annual base salary for Ms. Francis was $420,000. In an effort to conserve cash during the COVID-19 pandemic, effective April 1, 2020 the base salaries of all executive officers were adjusted downwards to those effective during calendar year 2019. The adjusted base salaries for each of Messrs. Dunn and Recupero were $540,000 and $330,000, respectively, and the adjusted base salary for Ms. Francis was $375,000. In connection with these reductions in base salary, on March 26, 2020, each executive officer was granted an award of restricted stock units in an amount with a value approximately equal to the difference between the adjusted base salary and the full annual base salary for the period from April 1, 2020 through December 31, 2020. These restricted stock units vested in full on January 15, 2021.</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99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Annual Bonuses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maintain an annual bonus program that rewards each of our executive officers for our performance against business objectives. Our Board of Directors establishes performance goals for this program each year and then evaluates performance against these established goals to determine the amount of each award. This program is based on performance over a calendar year and pays out on or about January 31 of the following year, subject to the executive’s continued service through the payment date. All awards under this program are subject to the discretion of the Compensation Committee and the Board of Directors. For fiscal year 2020, the target annual bonuses for our Named Executive Officers were as follows: Mr. Dunn - 100% of base salary, Ms. Francis - 55% of base salary, and Mr. Recupero - 65% of base salary.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fiscal year ended December 31, 2020, we granted restricted stock units to each of our Named Executive Officers, as shown in more detail in the "Outstanding Equity Awards at Fiscal 2020 Year-End Table" above. We feel this equity mix effectively aligns Named Executive Officer compensation with shareholder returns while also achieving retention objectives. In addition, as discussed under “Base Salaries” above, we granted additional restricted stock units as a result of the reductions in base salaries.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our 401(k) match is up to $1,000 per person per year (for all staff, including Named Executive Officers), and the individual must be on staff at the end of the year to receive the match.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SI-BONE, Inc. Severance Benefit Plan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months prior to, or within 12 months following, a “change in control” of SI-BONE (as such terms are defined in the Severance Plan). In addition, our Executive Chairperson, Jeffrey Dunn, will receive benefits under the Severance Plan if the closing of a “change in control” occurs and he agrees to provide transition services to us on a full-time basis for up to six months following the “change in control.” Participants in the Severance Plan are those employees that have been designated as participants by the Board of Directors or Compensation Committee as participants in the Severance Plan and who have signed a Participation Agreement. All of our executive officers have been designated as participants in the Severance Plan.</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Severance payments to executive officers in connection with a change in control are as follows: (1) a lump sum cash payment equal to 12 months base salary (24 months in the case of Mr. Dunn), (2) a lump sum cash payment of the then current annual target cash bonus (1.5 times annual target cash bonus in the case of Mr. Dunn), (3) COBRA coverage for 12 months (24 months in the case of Mr. Dunn), (4) full acceleration of vesting of all equity awards, and</w:t>
      </w:r>
    </w:p>
    <w:p>
      <w:pPr>
        <w:spacing w:after="0" w:line="2" w:lineRule="exact"/>
        <w:rPr>
          <w:sz w:val="20"/>
          <w:szCs w:val="20"/>
          <w:color w:val="auto"/>
        </w:rPr>
      </w:pPr>
    </w:p>
    <w:p>
      <w:pPr>
        <w:jc w:val="both"/>
        <w:ind w:firstLine="8"/>
        <w:spacing w:after="0" w:line="253"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the post-termination exercise period to two years (or the closing of the change in control if provided in the equity award or change in control agreement). On April 18, 2021, in connection with Ms. Francis becoming Chief Executive Officer, the Board of Directors approved augmenting her severance payments in connection with a change in control to include: a lump sum cash payment equal to 18 months base salary and a lump sum cash payment of 1.5 times the then current annual target cash bonus.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ectPr>
          <w:pgSz w:w="11900" w:h="16838" w:orient="portrait"/>
          <w:cols w:equalWidth="0" w:num="1">
            <w:col w:w="11240"/>
          </w:cols>
          <w:pgMar w:left="320" w:top="999" w:right="3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To obtain benefits under the Severance Plan the participant must sign and deliver to SI-BONE a release of liability in favor of SI-BONE.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and Severance Arrangement Letters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offer and severance arrangement letters with each of our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The key terms of employment with our Named Executive Officers for 2019 and 2020 are described below. See “Executive Compensation—Outstanding Equity Awards as of December 31, 2020” for information on outstanding options as of December 31, 2020 for our Named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W. Dunn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December 2009, we entered into an offer letter with Jeffrey W. Dunn, our Executive Chairperson and former President and Chief Executive Officer, under which, among other things, if he is subject to an “involuntary termination,” then we will continue to pay his base salary and reimburse his COBRA premiums for up to 12 months. Mr. Dunn is also a participant in the Severance Plan as described above.</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2021, we entered into amendment of Mr. Dunn’s offer letter and severance plan, pursuant to which upon the transition effective on the earlier of either the hiring of a new Chief Financial Officer or May 1, 2021, (a) Mr. Dunn will become Executive Chairperson and his time commitment to us will be reduced to 50% of his full working time prior to the transition; (b) Mr. Dunn will serve in the capacity of Executive Chairperson until the earlier of the date on which the Board determines that he shall no longer serve in such capacity and May 1, 2023, at which point his employment with us will end and Mr. Dunn will transition to our non-Executive Chairperson; (c) Mr. Dunn’s base salary will be $309,000 per year, which is fifty percent (50%) of his base salary immediately preceding the transition, and his target annual bonus will be 100% of base salary, and (d) 50% of the unvested portion of the equity award granted to Mr. Dunn on January 5, 2021 will be forfeited.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Laura A. Francis</w:t>
      </w:r>
    </w:p>
    <w:p>
      <w:pPr>
        <w:spacing w:after="0" w:line="239"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1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within three months prior to or 12 months following the consummation of a change in control (as defined in the letter agreement), we will provide her the following benefits within 60 calendar days of her termination date:</w:t>
      </w:r>
    </w:p>
    <w:p>
      <w:pPr>
        <w:spacing w:after="0" w:line="18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her termination date; and</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These severance benefits are contingent on Ms. Francis returning all of our property, continued adherence to the terms and condition of the proprietary information and inventions agreement between us and Ms. Francis, resigning from our Board, if applicable, and executing and not revoking a release of claims. The severance letter agreement for Ms. Francis supersedes the acceleration provisions set forth in her offer letter. Ms. Francis is also a participant in the Severance Plan as described above, and her severance benefits in connection with a change of control set forth in her severance letter agreement and superseded by the Severance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Anthony J. Recupero</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June 2016, we entered into an offer letter with Anthony J. Recupero, our Chief Commercial Officer. Mr. Recupero’s offer letter provides that in the event we terminate him for any reason other than for cause (as defined in the letter agreement), we will provide him with the following benefits within 60 calendar days of his termination date:</w:t>
      </w:r>
    </w:p>
    <w:p>
      <w:pPr>
        <w:spacing w:after="0" w:line="18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18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his termination date; and</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if applicable, and execution and non-revocation of a release of claims. Mr. Recupero is also a participant in the Severance Plan as described above, and his severance benefits in connection with a change of control set forth in his offer letter agreement and superseded by the Severance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00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securities to be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9"/>
              </w:rPr>
              <w:t>securities remaining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issued upon</w:t>
            </w: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average</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94"/>
              </w:rPr>
              <w:t>available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exercise price of</w:t>
            </w:r>
          </w:p>
        </w:tc>
        <w:tc>
          <w:tcPr>
            <w:tcW w:w="2280" w:type="dxa"/>
            <w:vAlign w:val="bottom"/>
            <w:gridSpan w:val="2"/>
          </w:tcPr>
          <w:p>
            <w:pPr>
              <w:jc w:val="center"/>
              <w:ind w:right="540"/>
              <w:spacing w:after="0" w:line="162" w:lineRule="exact"/>
              <w:rPr>
                <w:sz w:val="20"/>
                <w:szCs w:val="20"/>
                <w:color w:val="auto"/>
              </w:rPr>
            </w:pPr>
            <w:r>
              <w:rPr>
                <w:rFonts w:ascii="Arial" w:cs="Arial" w:eastAsia="Arial" w:hAnsi="Arial"/>
                <w:sz w:val="16"/>
                <w:szCs w:val="16"/>
                <w:b w:val="1"/>
                <w:bCs w:val="1"/>
                <w:color w:val="auto"/>
                <w:w w:val="88"/>
              </w:rPr>
              <w:t>issuance under 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outstanding</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stock options and</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7"/>
              </w:rPr>
              <w:t>stock options and</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awards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awards</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7"/>
              </w:rPr>
              <w:t>securities reflected</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92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column (a)</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1"/>
                <w:szCs w:val="21"/>
                <w:color w:val="auto"/>
              </w:rPr>
            </w:pPr>
          </w:p>
        </w:tc>
        <w:tc>
          <w:tcPr>
            <w:tcW w:w="49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3,571,252</w:t>
            </w:r>
          </w:p>
        </w:tc>
        <w:tc>
          <w:tcPr>
            <w:tcW w:w="1340" w:type="dxa"/>
            <w:vAlign w:val="bottom"/>
            <w:gridSpan w:val="2"/>
            <w:shd w:val="clear" w:color="auto" w:fill="CCEEFF"/>
          </w:tcPr>
          <w:p>
            <w:pPr>
              <w:jc w:val="right"/>
              <w:spacing w:after="0" w:line="253" w:lineRule="exact"/>
              <w:rPr>
                <w:sz w:val="20"/>
                <w:szCs w:val="20"/>
                <w:color w:val="auto"/>
              </w:rPr>
            </w:pPr>
            <w:r>
              <w:rPr>
                <w:rFonts w:ascii="Arial" w:cs="Arial" w:eastAsia="Arial" w:hAnsi="Arial"/>
                <w:sz w:val="18"/>
                <w:szCs w:val="18"/>
                <w:color w:val="auto"/>
              </w:rPr>
              <w:t>$ 5.75</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00"/>
              <w:spacing w:after="0" w:line="253" w:lineRule="exact"/>
              <w:rPr>
                <w:sz w:val="20"/>
                <w:szCs w:val="20"/>
                <w:color w:val="auto"/>
              </w:rPr>
            </w:pPr>
            <w:r>
              <w:rPr>
                <w:rFonts w:ascii="Arial" w:cs="Arial" w:eastAsia="Arial" w:hAnsi="Arial"/>
                <w:sz w:val="18"/>
                <w:szCs w:val="18"/>
                <w:color w:val="auto"/>
              </w:rPr>
              <w:t xml:space="preserve">3,549,432 </w:t>
            </w:r>
            <w:r>
              <w:rPr>
                <w:rFonts w:ascii="Arial" w:cs="Arial" w:eastAsia="Arial" w:hAnsi="Arial"/>
                <w:sz w:val="23"/>
                <w:szCs w:val="23"/>
                <w:color w:val="auto"/>
                <w:vertAlign w:val="superscript"/>
              </w:rPr>
              <w:t>(3)(4)</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3,549,432</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right="160" w:hanging="372"/>
        <w:spacing w:after="0" w:line="293" w:lineRule="auto"/>
        <w:tabs>
          <w:tab w:leader="none" w:pos="4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equity compensation plans approved by security holders are described in Note 10 to our financial statements included in our Annual Report on Form 10-K for the year ended December 31, 2020.</w:t>
      </w:r>
    </w:p>
    <w:p>
      <w:pPr>
        <w:spacing w:after="0" w:line="61" w:lineRule="exact"/>
        <w:rPr>
          <w:rFonts w:ascii="Arial" w:cs="Arial" w:eastAsia="Arial" w:hAnsi="Arial"/>
          <w:sz w:val="18"/>
          <w:szCs w:val="18"/>
          <w:color w:val="auto"/>
        </w:rPr>
      </w:pPr>
    </w:p>
    <w:p>
      <w:pPr>
        <w:ind w:left="420" w:hanging="372"/>
        <w:spacing w:after="0" w:line="293" w:lineRule="auto"/>
        <w:tabs>
          <w:tab w:leader="none" w:pos="5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weighted-average exercise price includes 1,165,295 shares issuable upon vesting of outstanding awards of restricted stock units, which have no exercise price. Excluding these awards of restricted stock units, the weighted-average exercise price would be $8.54.</w:t>
      </w:r>
    </w:p>
    <w:p>
      <w:pPr>
        <w:spacing w:after="0" w:line="61" w:lineRule="exact"/>
        <w:rPr>
          <w:rFonts w:ascii="Arial" w:cs="Arial" w:eastAsia="Arial" w:hAnsi="Arial"/>
          <w:sz w:val="18"/>
          <w:szCs w:val="18"/>
          <w:color w:val="auto"/>
        </w:rPr>
      </w:pPr>
    </w:p>
    <w:p>
      <w:pPr>
        <w:jc w:val="both"/>
        <w:ind w:left="420" w:hanging="372"/>
        <w:spacing w:after="0" w:line="275"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2,843,814 and 705,618 shares of common stock available for issuance under the 2018 Equity Incentive Plan, or the 2018 Plan, and the 2018 Employee Stock Purchase Plan, or the ESPP, respectively, as of December 31, 2020. The shares issuable pursuant to our ESPP are not included in the number of shares to be issued pursuant to rights outstanding and the weighted-average exercise price of such rights as of December 31, 2020, as those numbers are not known.</w:t>
      </w:r>
    </w:p>
    <w:p>
      <w:pPr>
        <w:spacing w:after="0" w:line="77" w:lineRule="exact"/>
        <w:rPr>
          <w:rFonts w:ascii="Arial" w:cs="Arial" w:eastAsia="Arial" w:hAnsi="Arial"/>
          <w:sz w:val="18"/>
          <w:szCs w:val="18"/>
          <w:color w:val="auto"/>
        </w:rPr>
      </w:pPr>
    </w:p>
    <w:p>
      <w:pPr>
        <w:ind w:left="420" w:hanging="372"/>
        <w:spacing w:after="0" w:line="314" w:lineRule="auto"/>
        <w:tabs>
          <w:tab w:leader="none" w:pos="3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BOARD MEMBERS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shows for the fiscal year ended December 31, 2020, certain information with respect to the compensation of all non-employee directors of SI-BONE: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6"/>
                <w:szCs w:val="16"/>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Fees Earned or</w:t>
            </w:r>
          </w:p>
        </w:tc>
        <w:tc>
          <w:tcPr>
            <w:tcW w:w="300" w:type="dxa"/>
            <w:vAlign w:val="bottom"/>
          </w:tcPr>
          <w:p>
            <w:pPr>
              <w:spacing w:after="0"/>
              <w:rPr>
                <w:sz w:val="16"/>
                <w:szCs w:val="16"/>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3"/>
              </w:rPr>
              <w:t>Option</w:t>
            </w:r>
          </w:p>
        </w:tc>
        <w:tc>
          <w:tcPr>
            <w:tcW w:w="380" w:type="dxa"/>
            <w:vAlign w:val="bottom"/>
          </w:tcPr>
          <w:p>
            <w:pPr>
              <w:spacing w:after="0"/>
              <w:rPr>
                <w:sz w:val="16"/>
                <w:szCs w:val="16"/>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Paid in Cash</w:t>
            </w:r>
          </w:p>
        </w:tc>
        <w:tc>
          <w:tcPr>
            <w:tcW w:w="300" w:type="dxa"/>
            <w:vAlign w:val="bottom"/>
          </w:tcPr>
          <w:p>
            <w:pPr>
              <w:spacing w:after="0"/>
              <w:rPr>
                <w:sz w:val="18"/>
                <w:szCs w:val="18"/>
                <w:color w:val="auto"/>
              </w:rPr>
            </w:pPr>
          </w:p>
        </w:tc>
        <w:tc>
          <w:tcPr>
            <w:tcW w:w="1680" w:type="dxa"/>
            <w:vAlign w:val="bottom"/>
            <w:gridSpan w:val="2"/>
          </w:tcPr>
          <w:p>
            <w:pPr>
              <w:jc w:val="center"/>
              <w:ind w:right="600"/>
              <w:spacing w:after="0" w:line="216"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31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Timothy E. Davis, Jr.</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94,375</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246,651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Mark J. Foley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190,306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John G. Freund, M.D.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Jeryl L. Hilleman</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44,767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197,043</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Gregory K. Hinckley</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195,443</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Karen A. Licitra</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189,776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Keith C. Valentine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194,776</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hanging="372"/>
        <w:spacing w:after="0" w:line="296" w:lineRule="auto"/>
        <w:tabs>
          <w:tab w:leader="none" w:pos="3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10, 2021. Only one RSU was granted to each non-employee director during 2020. No stock options were granted to our non-employee directors during 2020.</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lists the aggregate number of shares subject to outstanding stock options held by each of our non-employee directors as of December 31, 2020.</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Number of Shares</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7"/>
              </w:rPr>
              <w:t>Subject to</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Subject to</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162"/>
        </w:trPr>
        <w:tc>
          <w:tcPr>
            <w:tcW w:w="6600" w:type="dxa"/>
            <w:vAlign w:val="bottom"/>
            <w:gridSpan w:val="2"/>
            <w:vMerge w:val="restart"/>
          </w:tcPr>
          <w:p>
            <w:pPr>
              <w:ind w:left="3040"/>
              <w:spacing w:after="0"/>
              <w:rPr>
                <w:sz w:val="20"/>
                <w:szCs w:val="20"/>
                <w:color w:val="auto"/>
              </w:rPr>
            </w:pPr>
            <w:r>
              <w:rPr>
                <w:rFonts w:ascii="Arial" w:cs="Arial" w:eastAsia="Arial" w:hAnsi="Arial"/>
                <w:sz w:val="16"/>
                <w:szCs w:val="16"/>
                <w:b w:val="1"/>
                <w:bCs w:val="1"/>
                <w:color w:val="auto"/>
              </w:rPr>
              <w:t>Name</w:t>
            </w: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Options as of</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RSUs as of</w:t>
            </w:r>
          </w:p>
        </w:tc>
        <w:tc>
          <w:tcPr>
            <w:tcW w:w="0" w:type="dxa"/>
            <w:vAlign w:val="bottom"/>
          </w:tcPr>
          <w:p>
            <w:pPr>
              <w:spacing w:after="0"/>
              <w:rPr>
                <w:sz w:val="1"/>
                <w:szCs w:val="1"/>
                <w:color w:val="auto"/>
              </w:rPr>
            </w:pPr>
          </w:p>
        </w:tc>
      </w:tr>
      <w:tr>
        <w:trPr>
          <w:trHeight w:val="213"/>
        </w:trPr>
        <w:tc>
          <w:tcPr>
            <w:tcW w:w="6600" w:type="dxa"/>
            <w:vAlign w:val="bottom"/>
            <w:gridSpan w:val="2"/>
            <w:vMerge w:val="continue"/>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December 31, 2020</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2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Timothy E. Davis, Jr.</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Mark J. Foley</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G. Freund, M.D.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Jeryl L. Hilleman</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K. Hinckley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Karen A. Licitra</w:t>
            </w:r>
          </w:p>
        </w:tc>
        <w:tc>
          <w:tcPr>
            <w:tcW w:w="1760" w:type="dxa"/>
            <w:vAlign w:val="bottom"/>
          </w:tcPr>
          <w:p>
            <w:pPr>
              <w:jc w:val="right"/>
              <w:spacing w:after="0"/>
              <w:rPr>
                <w:sz w:val="20"/>
                <w:szCs w:val="20"/>
                <w:color w:val="auto"/>
              </w:rPr>
            </w:pPr>
            <w:r>
              <w:rPr>
                <w:rFonts w:ascii="Arial" w:cs="Arial" w:eastAsia="Arial" w:hAnsi="Arial"/>
                <w:sz w:val="18"/>
                <w:szCs w:val="18"/>
                <w:color w:val="auto"/>
              </w:rPr>
              <w:t>59,371</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Keith C. Valentine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ectPr>
          <w:pgSz w:w="11900" w:h="16838" w:orient="portrait"/>
          <w:cols w:equalWidth="0" w:num="1">
            <w:col w:w="11240"/>
          </w:cols>
          <w:pgMar w:left="320" w:top="999" w:right="339" w:bottom="0" w:gutter="0" w:footer="0" w:header="0"/>
          <w:type w:val="continuous"/>
        </w:sectPr>
      </w:pPr>
    </w:p>
    <w:bookmarkStart w:id="34" w:name="page35"/>
    <w:bookmarkEnd w:id="34"/>
    <w:p>
      <w:pPr>
        <w:jc w:val="both"/>
        <w:spacing w:after="0" w:line="293"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Under our non-employee director compensation policy in 2020, each non-employee director received an annual cash retainer of $40,000 for serving on our Board. In June 2020, our Board amended the policy to, among other things, eliminate the annual cash retainer and in lieu thereof increased the annual equity compensation as discussed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chairperson and members of the three committees of our Board are entitled to the following additional annual cash retainers:</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1760"/>
              <w:spacing w:after="0"/>
              <w:rPr>
                <w:sz w:val="20"/>
                <w:szCs w:val="20"/>
                <w:color w:val="auto"/>
              </w:rPr>
            </w:pPr>
            <w:r>
              <w:rPr>
                <w:rFonts w:ascii="Arial" w:cs="Arial" w:eastAsia="Arial" w:hAnsi="Arial"/>
                <w:sz w:val="16"/>
                <w:szCs w:val="16"/>
                <w:b w:val="1"/>
                <w:bCs w:val="1"/>
                <w:color w:val="auto"/>
              </w:rPr>
              <w:t>Board Committee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Chairperson Fee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Member Fee</w:t>
            </w:r>
          </w:p>
        </w:tc>
      </w:tr>
      <w:tr>
        <w:trPr>
          <w:trHeight w:val="267"/>
        </w:trPr>
        <w:tc>
          <w:tcPr>
            <w:tcW w:w="4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Audit Committee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70"/>
        </w:trPr>
        <w:tc>
          <w:tcPr>
            <w:tcW w:w="4960" w:type="dxa"/>
            <w:vAlign w:val="bottom"/>
            <w:gridSpan w:val="2"/>
          </w:tcPr>
          <w:p>
            <w:pPr>
              <w:ind w:left="60"/>
              <w:spacing w:after="0"/>
              <w:rPr>
                <w:sz w:val="20"/>
                <w:szCs w:val="20"/>
                <w:color w:val="auto"/>
              </w:rPr>
            </w:pPr>
            <w:r>
              <w:rPr>
                <w:rFonts w:ascii="Arial" w:cs="Arial" w:eastAsia="Arial" w:hAnsi="Arial"/>
                <w:sz w:val="18"/>
                <w:szCs w:val="18"/>
                <w:color w:val="auto"/>
              </w:rPr>
              <w:t>Compensation Committee</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4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Nominating and Corporate Governance Committee</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4960" w:type="dxa"/>
            <w:vAlign w:val="bottom"/>
            <w:gridSpan w:val="2"/>
          </w:tcPr>
          <w:p>
            <w:pPr>
              <w:ind w:left="60"/>
              <w:spacing w:after="0"/>
              <w:rPr>
                <w:sz w:val="20"/>
                <w:szCs w:val="20"/>
                <w:color w:val="auto"/>
              </w:rPr>
            </w:pPr>
            <w:r>
              <w:rPr>
                <w:rFonts w:ascii="Arial" w:cs="Arial" w:eastAsia="Arial" w:hAnsi="Arial"/>
                <w:sz w:val="18"/>
                <w:szCs w:val="18"/>
                <w:color w:val="auto"/>
              </w:rPr>
              <w:t>Lead Independent Director</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27,500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new non-employee director who joined our Board prior to the June 2020 revision to the policy received an option to purchase 26,236 shares of our common stock under the 2018 Plan. Effective with June 2020 revision to the policy, each new non-employee director who joins our Board will receive a restricted stock unit award with a value of $200,000. The shares subject to these equity awards will vest ratably over 36 months, subject to the non-employee director’s continuous service with us on each applicable vesting date.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Prior to the June 2020 revision to the policy, on the date of each annual meeting of our stockholders, each continuing non-employee director was to receive an option to purchase 15,741 shares of our common stock under the 2018 Plan, vesting on a monthly basis over 12 months commencing on the grant date, subject to the non-employee director’s continuous service with us on each applicable vesting date. Effective with June 2020 revision to the policy, each non-employee director may receive a restricted stock unit award with a value of $120,000, vesting approximately one year from the grant date, subject to the non-employee director’s continuous service with us on each applicable vesting date.</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equity grants discussed above, to replace the annual cash retainer that previously existed under the policy and has been eliminated effective with the December 2020 revision to the policy, each non-employee director may receive a restricted stock unit award with a value of $40,000 vesting approximately one year from the grant date, subject to the non-employee director’s continuous service with us on each applicable vesting date.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was the closing price of our common stock as reported by the Nasdaq Global Market on the date of grant. Each stock option has a term of ten years from the date of grant, subject to earlier termination in connection with a termination of the non-employee director’s continuous service with 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39" w:right="339" w:bottom="1440" w:gutter="0" w:footer="0" w:header="0"/>
        </w:sectPr>
      </w:pPr>
    </w:p>
    <w:bookmarkStart w:id="35" w:name="page36"/>
    <w:bookmarkEnd w:id="35"/>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 AND PROCEDURES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is a description of transactions since January 1, 2019,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Development Agreement with SeaSpine Orthopedics Corporation</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February 2020, we entered into a joint development agreement (the “Development Agreement”) with SeaSpine Orthopedics Corporation (“</w:t>
      </w:r>
      <w:r>
        <w:rPr>
          <w:rFonts w:ascii="Arial" w:cs="Arial" w:eastAsia="Arial" w:hAnsi="Arial"/>
          <w:sz w:val="16"/>
          <w:szCs w:val="16"/>
          <w:b w:val="1"/>
          <w:bCs w:val="1"/>
          <w:i w:val="1"/>
          <w:iCs w:val="1"/>
          <w:color w:val="auto"/>
        </w:rPr>
        <w:t>SeaSpine</w:t>
      </w:r>
      <w:r>
        <w:rPr>
          <w:rFonts w:ascii="Arial" w:cs="Arial" w:eastAsia="Arial" w:hAnsi="Arial"/>
          <w:sz w:val="16"/>
          <w:szCs w:val="16"/>
          <w:color w:val="auto"/>
        </w:rPr>
        <w:t>”) to develop a next generation device for sacropelvic fixation. Mr. Valentine, who serves as the President, Chief Executive Officer and a member of the board of directors of SeaSpine, also serves as a member of our Board of Directors. Pursuant to the development plan, SeaSpine shall use reasonable efforts to assist in the development of the potential product offering, including licensing certain existing intellectual property to be incorporated into the product. Under the terms of the Development Agreement, we agreed to make monthly payments of approximately $10,000 to SeaSpine to reimburse for full time resources employed by SeaSpine conducting the development activities during the period in which such development activities occurred.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intellectual property incorporated into the product to be developed. We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parties, in situations defined in the Development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Public Offering</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2020, we issued and sold shares of common stock in an underwritten public offering (the “</w:t>
      </w:r>
      <w:r>
        <w:rPr>
          <w:rFonts w:ascii="Arial" w:cs="Arial" w:eastAsia="Arial" w:hAnsi="Arial"/>
          <w:sz w:val="18"/>
          <w:szCs w:val="18"/>
          <w:b w:val="1"/>
          <w:bCs w:val="1"/>
          <w:i w:val="1"/>
          <w:iCs w:val="1"/>
          <w:color w:val="auto"/>
        </w:rPr>
        <w:t>First 2020 Public Offering</w:t>
      </w:r>
      <w:r>
        <w:rPr>
          <w:rFonts w:ascii="Arial" w:cs="Arial" w:eastAsia="Arial" w:hAnsi="Arial"/>
          <w:sz w:val="18"/>
          <w:szCs w:val="18"/>
          <w:color w:val="auto"/>
        </w:rPr>
        <w:t>”). Each of Skyline Venture Partners V., L.P., (“</w:t>
      </w:r>
      <w:r>
        <w:rPr>
          <w:rFonts w:ascii="Arial" w:cs="Arial" w:eastAsia="Arial" w:hAnsi="Arial"/>
          <w:sz w:val="18"/>
          <w:szCs w:val="18"/>
          <w:b w:val="1"/>
          <w:bCs w:val="1"/>
          <w:i w:val="1"/>
          <w:iCs w:val="1"/>
          <w:color w:val="auto"/>
        </w:rPr>
        <w:t>Skyline</w:t>
      </w:r>
      <w:r>
        <w:rPr>
          <w:rFonts w:ascii="Arial" w:cs="Arial" w:eastAsia="Arial" w:hAnsi="Arial"/>
          <w:sz w:val="18"/>
          <w:szCs w:val="18"/>
          <w:color w:val="auto"/>
        </w:rPr>
        <w:t>”), Montreux IV, L.P. (“</w:t>
      </w:r>
      <w:r>
        <w:rPr>
          <w:rFonts w:ascii="Arial" w:cs="Arial" w:eastAsia="Arial" w:hAnsi="Arial"/>
          <w:sz w:val="18"/>
          <w:szCs w:val="18"/>
          <w:b w:val="1"/>
          <w:bCs w:val="1"/>
          <w:i w:val="1"/>
          <w:iCs w:val="1"/>
          <w:color w:val="auto"/>
        </w:rPr>
        <w:t>Montreux</w:t>
      </w:r>
      <w:r>
        <w:rPr>
          <w:rFonts w:ascii="Arial" w:cs="Arial" w:eastAsia="Arial" w:hAnsi="Arial"/>
          <w:sz w:val="18"/>
          <w:szCs w:val="18"/>
          <w:color w:val="auto"/>
        </w:rPr>
        <w:t>”) and Arboretum Ventures IV, L.P. (“</w:t>
      </w:r>
      <w:r>
        <w:rPr>
          <w:rFonts w:ascii="Arial" w:cs="Arial" w:eastAsia="Arial" w:hAnsi="Arial"/>
          <w:sz w:val="18"/>
          <w:szCs w:val="18"/>
          <w:b w:val="1"/>
          <w:bCs w:val="1"/>
          <w:i w:val="1"/>
          <w:iCs w:val="1"/>
          <w:color w:val="auto"/>
        </w:rPr>
        <w:t>Arboretum,</w:t>
      </w:r>
      <w:r>
        <w:rPr>
          <w:rFonts w:ascii="Arial" w:cs="Arial" w:eastAsia="Arial" w:hAnsi="Arial"/>
          <w:sz w:val="18"/>
          <w:szCs w:val="18"/>
          <w:color w:val="auto"/>
        </w:rPr>
        <w:t>” and collectively with Skyline and Montreux, the “</w:t>
      </w:r>
      <w:r>
        <w:rPr>
          <w:rFonts w:ascii="Arial" w:cs="Arial" w:eastAsia="Arial" w:hAnsi="Arial"/>
          <w:sz w:val="18"/>
          <w:szCs w:val="18"/>
          <w:b w:val="1"/>
          <w:bCs w:val="1"/>
          <w:i w:val="1"/>
          <w:iCs w:val="1"/>
          <w:color w:val="auto"/>
        </w:rPr>
        <w:t>Selling Shareholders</w:t>
      </w:r>
      <w:r>
        <w:rPr>
          <w:rFonts w:ascii="Arial" w:cs="Arial" w:eastAsia="Arial" w:hAnsi="Arial"/>
          <w:sz w:val="18"/>
          <w:szCs w:val="18"/>
          <w:color w:val="auto"/>
        </w:rPr>
        <w:t>”) sold shares in the offering. Each of the Selling Shareholders held more than 5% of our capital stock at the time of the First 2020 Public Offering, and Dr. Freund is a managing partner of Skyline Ventures, an affiliate of Skyline. In connection with the First 2020 Public Offering, we, the representatives of the underwriters, and the Selling Shareholders entered into an underwriting agreement pursuant to which Skyline, Montreux and Arboretum sold 1,000,000, 649,947 and 160,000 shares, respectively, for approximately $21,500,000, $13,973,860 and $3,440,000, respectively, before underwriting discounts and commissions.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2020, we issued and sold shares of common stock in an underwritten public offering (the “</w:t>
      </w:r>
      <w:r>
        <w:rPr>
          <w:rFonts w:ascii="Arial" w:cs="Arial" w:eastAsia="Arial" w:hAnsi="Arial"/>
          <w:sz w:val="17"/>
          <w:szCs w:val="17"/>
          <w:b w:val="1"/>
          <w:bCs w:val="1"/>
          <w:i w:val="1"/>
          <w:iCs w:val="1"/>
          <w:color w:val="auto"/>
        </w:rPr>
        <w:t>Second 2020 Public Offering</w:t>
      </w:r>
      <w:r>
        <w:rPr>
          <w:rFonts w:ascii="Arial" w:cs="Arial" w:eastAsia="Arial" w:hAnsi="Arial"/>
          <w:sz w:val="17"/>
          <w:szCs w:val="17"/>
          <w:color w:val="auto"/>
        </w:rPr>
        <w:t>”) in which Skyline sold 190,053 shares for approximately $4,181,166, before underwriting discounts and commissions. Skyline held more than 5% of our capital stock at the time of the Second 2020 Public Offering, and Dr. Freund is a managing partner of Skyline Ventures, an affiliate of Skyline.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98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SI-BONE’s directors and executive officers, and persons who own more than ten percent of a registered class of SI-BONE’s equity securities, to file with the SEC initial reports of ownership and reports of changes in ownership of common stock and other equity securities of SI-BONE. Officers, directors and greater than ten percent stockholders are required by SEC regulation to furnish SI-BONE with copies of all Section 16(a) forms they file.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SI-BONE’s knowledge, based solely on a review of the copies of such reports furnished to SI-BONE and written representations that no other reports were required, during the fiscal year ended December 31, 2020, all Section 16(a) filing requirements applicable to its officers, directors and greater than ten percent beneficial owners were complied with except that one Form 4 reporting one transaction by Skyline Venture Partners V, L.P., a ten percent stockholder at the time, its general partner, Skyline Venture Management V, LLC, and John Freund, an SI-BONE director, was filed late.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AND PROXY MATERIALS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Chief Legal Officer,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985"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Michael A. Pisetsky</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Secretary and Chief Legal</w:t>
      </w:r>
    </w:p>
    <w:p>
      <w:pPr>
        <w:ind w:left="45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copy of SI-BONE, Inc.’s Annual Report to the Securities and Exchange Commission on Form 10-K for the fiscal year ended December 31, 2020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985"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594995</wp:posOffset>
            </wp:positionV>
            <wp:extent cx="6172200" cy="7526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594995</wp:posOffset>
            </wp:positionV>
            <wp:extent cx="6172200" cy="7938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793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2"/>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0"/>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ü"/>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2021-04-26T16:23:50Z</dcterms:created>
  <dcterms:modified xsi:type="dcterms:W3CDTF">2021-04-26T16:23:50Z</dcterms:modified>
</cp:coreProperties>
</file>