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11/18/2024</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Commercial Ops</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3"/>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jc w:val="center"/>
              <w:ind w:left="86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3"/>
              <w:spacing w:after="0"/>
              <w:rPr>
                <w:sz w:val="20"/>
                <w:szCs w:val="20"/>
                <w:color w:val="auto"/>
              </w:rPr>
            </w:pPr>
            <w:r>
              <w:rPr>
                <w:rFonts w:ascii="Times New Roman" w:cs="Times New Roman" w:eastAsia="Times New Roman" w:hAnsi="Times New Roman"/>
                <w:sz w:val="17"/>
                <w:szCs w:val="17"/>
                <w:color w:val="0000FF"/>
              </w:rPr>
              <w:t>11/18/2024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12.9279</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232,177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3"/>
              <w:spacing w:after="0"/>
              <w:rPr>
                <w:sz w:val="20"/>
                <w:szCs w:val="20"/>
                <w:color w:val="auto"/>
              </w:rPr>
            </w:pPr>
            <w:r>
              <w:rPr>
                <w:rFonts w:ascii="Times New Roman" w:cs="Times New Roman" w:eastAsia="Times New Roman" w:hAnsi="Times New Roman"/>
                <w:sz w:val="17"/>
                <w:szCs w:val="17"/>
                <w:color w:val="0000FF"/>
              </w:rPr>
              <w:t>11/18/2024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1,501</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12.6299</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230,676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3"/>
              <w:spacing w:after="0"/>
              <w:rPr>
                <w:sz w:val="20"/>
                <w:szCs w:val="20"/>
                <w:color w:val="auto"/>
              </w:rPr>
            </w:pPr>
            <w:r>
              <w:rPr>
                <w:rFonts w:ascii="Times New Roman" w:cs="Times New Roman" w:eastAsia="Times New Roman" w:hAnsi="Times New Roman"/>
                <w:sz w:val="17"/>
                <w:szCs w:val="17"/>
                <w:color w:val="0000FF"/>
              </w:rPr>
              <w:t>11/18/2024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2,122</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12.5315</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228,554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3"/>
              <w:spacing w:after="0"/>
              <w:rPr>
                <w:sz w:val="20"/>
                <w:szCs w:val="20"/>
                <w:color w:val="auto"/>
              </w:rPr>
            </w:pPr>
            <w:r>
              <w:rPr>
                <w:rFonts w:ascii="Times New Roman" w:cs="Times New Roman" w:eastAsia="Times New Roman" w:hAnsi="Times New Roman"/>
                <w:sz w:val="17"/>
                <w:szCs w:val="17"/>
                <w:color w:val="0000FF"/>
              </w:rPr>
              <w:t>11/19/2024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(5)</w:t>
            </w:r>
          </w:p>
        </w:tc>
        <w:tc>
          <w:tcPr>
            <w:tcW w:w="72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2,070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12.1713</w:t>
            </w:r>
            <w:r>
              <w:rPr>
                <w:rFonts w:ascii="Times New Roman" w:cs="Times New Roman" w:eastAsia="Times New Roman" w:hAnsi="Times New Roman"/>
                <w:sz w:val="22"/>
                <w:szCs w:val="22"/>
                <w:color w:val="008000"/>
                <w:vertAlign w:val="superscript"/>
              </w:rPr>
              <w:t>(6)</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226,484</w:t>
            </w:r>
            <w:r>
              <w:rPr>
                <w:rFonts w:ascii="Times New Roman" w:cs="Times New Roman" w:eastAsia="Times New Roman" w:hAnsi="Times New Roman"/>
                <w:sz w:val="22"/>
                <w:szCs w:val="22"/>
                <w:color w:val="008000"/>
                <w:w w:val="96"/>
                <w:vertAlign w:val="superscript"/>
              </w:rPr>
              <w:t>(7)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$12.74 USD to $12.97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$12.35 USD to $12.97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$12.33 USD to $12.97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5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$12.1713 USD to $13.1712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129,685 shares issuable on settlement of restricted stock units granted to the Reporting Person. Each restricted stock unit represents a contingent right to receive one shares of the Issuer's common stock. Remarks: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11/20/2024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00"/>
          </w:cols>
          <w:pgMar w:left="460" w:top="219" w:right="43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2024-11-20T16:18:06Z</dcterms:created>
  <dcterms:modified xsi:type="dcterms:W3CDTF">2024-11-20T16:18:06Z</dcterms:modified>
</cp:coreProperties>
</file>