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February 26, 2024</w:t>
      </w:r>
    </w:p>
    <w:p>
      <w:pPr>
        <w:spacing w:after="0" w:line="28"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SI-BONE, INC.</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001-38701</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26-2216351</w:t>
            </w:r>
          </w:p>
        </w:tc>
      </w:tr>
      <w:tr>
        <w:trPr>
          <w:trHeight w:val="168"/>
        </w:trPr>
        <w:tc>
          <w:tcPr>
            <w:tcW w:w="2340" w:type="dxa"/>
            <w:vAlign w:val="bottom"/>
          </w:tcPr>
          <w:p>
            <w:pPr>
              <w:jc w:val="center"/>
              <w:ind w:right="29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18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color w:val="auto"/>
              </w:rPr>
              <w:t>(Commission</w:t>
            </w:r>
          </w:p>
        </w:tc>
        <w:tc>
          <w:tcPr>
            <w:tcW w:w="1720" w:type="dxa"/>
            <w:vAlign w:val="bottom"/>
          </w:tcPr>
          <w:p>
            <w:pPr>
              <w:jc w:val="center"/>
              <w:ind w:left="41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1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File Number)</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16"/>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Suite 101</w:t>
            </w:r>
          </w:p>
        </w:tc>
        <w:tc>
          <w:tcPr>
            <w:tcW w:w="1720" w:type="dxa"/>
            <w:vAlign w:val="bottom"/>
          </w:tcPr>
          <w:p>
            <w:pPr>
              <w:spacing w:after="0"/>
              <w:rPr>
                <w:sz w:val="16"/>
                <w:szCs w:val="16"/>
                <w:color w:val="auto"/>
              </w:rPr>
            </w:pPr>
          </w:p>
        </w:tc>
      </w:tr>
      <w:tr>
        <w:trPr>
          <w:trHeight w:val="205"/>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Santa Clara, CA 95050</w:t>
            </w:r>
          </w:p>
        </w:tc>
        <w:tc>
          <w:tcPr>
            <w:tcW w:w="1720" w:type="dxa"/>
            <w:vAlign w:val="bottom"/>
          </w:tcPr>
          <w:p>
            <w:pPr>
              <w:spacing w:after="0"/>
              <w:rPr>
                <w:sz w:val="17"/>
                <w:szCs w:val="17"/>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720" w:type="dxa"/>
            <w:vAlign w:val="bottom"/>
          </w:tcPr>
          <w:p>
            <w:pPr>
              <w:spacing w:after="0"/>
              <w:rPr>
                <w:sz w:val="18"/>
                <w:szCs w:val="18"/>
                <w:color w:val="auto"/>
              </w:rPr>
            </w:pPr>
          </w:p>
        </w:tc>
      </w:tr>
      <w:tr>
        <w:trPr>
          <w:trHeight w:val="424"/>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(408) 207-0700</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include area code)</w:t>
            </w:r>
          </w:p>
        </w:tc>
        <w:tc>
          <w:tcPr>
            <w:tcW w:w="1720" w:type="dxa"/>
            <w:vAlign w:val="bottom"/>
          </w:tcPr>
          <w:p>
            <w:pPr>
              <w:spacing w:after="0"/>
              <w:rPr>
                <w:sz w:val="18"/>
                <w:szCs w:val="18"/>
                <w:color w:val="auto"/>
              </w:rPr>
            </w:pPr>
          </w:p>
        </w:tc>
      </w:tr>
      <w:tr>
        <w:trPr>
          <w:trHeight w:val="411"/>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20" w:type="dxa"/>
            <w:vAlign w:val="bottom"/>
          </w:tcPr>
          <w:p>
            <w:pPr>
              <w:spacing w:after="0"/>
              <w:rPr>
                <w:sz w:val="18"/>
                <w:szCs w:val="18"/>
                <w:color w:val="auto"/>
              </w:rPr>
            </w:pPr>
          </w:p>
        </w:tc>
      </w:tr>
    </w:tbl>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4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330" w:lineRule="exact"/>
        <w:rPr>
          <w:sz w:val="24"/>
          <w:szCs w:val="24"/>
          <w:color w:val="auto"/>
        </w:rPr>
      </w:pPr>
    </w:p>
    <w:p>
      <w:pPr>
        <w:jc w:val="cente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tabs>
          <w:tab w:leader="none" w:pos="18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84" w:lineRule="exact"/>
        <w:rPr>
          <w:sz w:val="24"/>
          <w:szCs w:val="24"/>
          <w:color w:val="auto"/>
        </w:rPr>
      </w:pPr>
    </w:p>
    <w:p>
      <w:pPr>
        <w:jc w:val="cente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231"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25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February 26, 2024, SI-BONE, Inc. (the "Company") issued a press release (the “Press Release”) announcing results for the quarter and year ended December 31, 2023. A copy of the Press Release is attached as Exhibit 99.1 to this current report on Form 8-K and is incorporated by reference herein.</w:t>
      </w: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Exhibits</w:t>
            </w:r>
          </w:p>
        </w:tc>
      </w:tr>
      <w:tr>
        <w:trPr>
          <w:trHeight w:val="527"/>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20" w:type="dxa"/>
            <w:vAlign w:val="bottom"/>
          </w:tcPr>
          <w:p>
            <w:pPr>
              <w:spacing w:after="0"/>
              <w:rPr>
                <w:sz w:val="24"/>
                <w:szCs w:val="24"/>
                <w:color w:val="auto"/>
              </w:rPr>
            </w:pPr>
          </w:p>
        </w:tc>
      </w:tr>
      <w:tr>
        <w:trPr>
          <w:trHeight w:val="412"/>
        </w:trPr>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February 26, 2024</w:t>
            </w: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r>
      <w:tr>
        <w:trPr>
          <w:trHeight w:val="250"/>
        </w:trPr>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Date File (embedded within the Inline XBRL document)</w:t>
            </w:r>
          </w:p>
        </w:tc>
      </w:tr>
      <w:tr>
        <w:trPr>
          <w:trHeight w:val="1222"/>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8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26, 2024</w:t>
            </w:r>
          </w:p>
        </w:tc>
        <w:tc>
          <w:tcPr>
            <w:tcW w:w="19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Anshul Maheshwari</w:t>
            </w:r>
          </w:p>
        </w:tc>
      </w:tr>
      <w:tr>
        <w:trPr>
          <w:trHeight w:val="228"/>
        </w:trPr>
        <w:tc>
          <w:tcPr>
            <w:tcW w:w="6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r>
    </w:tbl>
    <w:p>
      <w:pPr>
        <w:ind w:left="5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20"/>
          </w:cols>
          <w:pgMar w:left="320" w:top="88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19685</wp:posOffset>
            </wp:positionV>
            <wp:extent cx="132016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SI-BONE, Inc. Reports Record Fourth Quarter and Full Year 2023 Financial Results and Issues 2024 Guidance</w:t>
      </w:r>
    </w:p>
    <w:p>
      <w:pPr>
        <w:spacing w:after="0" w:line="351"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20"/>
          <w:szCs w:val="20"/>
          <w:b w:val="1"/>
          <w:bCs w:val="1"/>
          <w:color w:val="auto"/>
        </w:rPr>
        <w:t xml:space="preserve">SANTA CLARA, Calif. </w:t>
      </w:r>
      <w:r>
        <w:rPr>
          <w:rFonts w:ascii="Times New Roman" w:cs="Times New Roman" w:eastAsia="Times New Roman" w:hAnsi="Times New Roman"/>
          <w:sz w:val="20"/>
          <w:szCs w:val="20"/>
          <w:color w:val="auto"/>
        </w:rPr>
        <w:t>February 26, 2024 - SI-BONE, Inc. (Nasdaq:SIBN), a medical device company dedicated to solving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musculoskeletal disorders of the sacropelvic anatomy, today reported financial results for the fourth quarter and full year ended December 31,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Fourth Quarter 2023 Highlights </w:t>
      </w:r>
      <w:r>
        <w:rPr>
          <w:rFonts w:ascii="Times New Roman" w:cs="Times New Roman" w:eastAsia="Times New Roman" w:hAnsi="Times New Roman"/>
          <w:sz w:val="20"/>
          <w:szCs w:val="20"/>
          <w:i w:val="1"/>
          <w:iCs w:val="1"/>
          <w:color w:val="auto"/>
        </w:rPr>
        <w:t>(all comparisons are to the prior year period)</w:t>
      </w:r>
    </w:p>
    <w:p>
      <w:pPr>
        <w:spacing w:after="0" w:line="112" w:lineRule="exact"/>
        <w:rPr>
          <w:sz w:val="20"/>
          <w:szCs w:val="20"/>
          <w:color w:val="auto"/>
        </w:rPr>
      </w:pPr>
    </w:p>
    <w:p>
      <w:pPr>
        <w:ind w:left="400" w:hanging="35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Worldwide revenue of $38.9 million, representing an increase of ~22%</w:t>
      </w:r>
    </w:p>
    <w:p>
      <w:pPr>
        <w:spacing w:after="0" w:line="121" w:lineRule="exact"/>
        <w:rPr>
          <w:rFonts w:ascii="Times New Roman" w:cs="Times New Roman" w:eastAsia="Times New Roman" w:hAnsi="Times New Roman"/>
          <w:sz w:val="20"/>
          <w:szCs w:val="20"/>
          <w:color w:val="auto"/>
        </w:rPr>
      </w:pPr>
    </w:p>
    <w:p>
      <w:pPr>
        <w:ind w:left="400" w:hanging="35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revenue of $36.7 million, representing an increase of ~22%</w:t>
      </w:r>
    </w:p>
    <w:p>
      <w:pPr>
        <w:spacing w:after="0" w:line="107" w:lineRule="exact"/>
        <w:rPr>
          <w:rFonts w:ascii="Times New Roman" w:cs="Times New Roman" w:eastAsia="Times New Roman" w:hAnsi="Times New Roman"/>
          <w:sz w:val="20"/>
          <w:szCs w:val="20"/>
          <w:color w:val="auto"/>
        </w:rPr>
      </w:pPr>
    </w:p>
    <w:p>
      <w:pPr>
        <w:ind w:left="400" w:hanging="35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of ~74%, reflecting a ~4 percentage point reduction from excess inventory reserve</w:t>
      </w:r>
    </w:p>
    <w:p>
      <w:pPr>
        <w:spacing w:after="0" w:line="121" w:lineRule="exact"/>
        <w:rPr>
          <w:rFonts w:ascii="Times New Roman" w:cs="Times New Roman" w:eastAsia="Times New Roman" w:hAnsi="Times New Roman"/>
          <w:sz w:val="20"/>
          <w:szCs w:val="20"/>
          <w:color w:val="auto"/>
        </w:rPr>
      </w:pPr>
    </w:p>
    <w:p>
      <w:pPr>
        <w:ind w:left="400" w:hanging="35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 1,130 active physicians, representing an increase of ~22%</w:t>
      </w:r>
    </w:p>
    <w:p>
      <w:pPr>
        <w:spacing w:after="0" w:line="107" w:lineRule="exact"/>
        <w:rPr>
          <w:rFonts w:ascii="Times New Roman" w:cs="Times New Roman" w:eastAsia="Times New Roman" w:hAnsi="Times New Roman"/>
          <w:sz w:val="20"/>
          <w:szCs w:val="20"/>
          <w:color w:val="auto"/>
        </w:rPr>
      </w:pPr>
    </w:p>
    <w:p>
      <w:pPr>
        <w:ind w:left="400" w:hanging="35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equivalents of ~$166 million, representing net cash usage of ~$0.8 million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Fiscal Year 2023 Highlights </w:t>
      </w:r>
      <w:r>
        <w:rPr>
          <w:rFonts w:ascii="Times New Roman" w:cs="Times New Roman" w:eastAsia="Times New Roman" w:hAnsi="Times New Roman"/>
          <w:sz w:val="20"/>
          <w:szCs w:val="20"/>
          <w:i w:val="1"/>
          <w:iCs w:val="1"/>
          <w:color w:val="auto"/>
        </w:rPr>
        <w:t>(all comparisons are to the prior year period)</w:t>
      </w:r>
    </w:p>
    <w:p>
      <w:pPr>
        <w:spacing w:after="0" w:line="112" w:lineRule="exact"/>
        <w:rPr>
          <w:sz w:val="20"/>
          <w:szCs w:val="20"/>
          <w:color w:val="auto"/>
        </w:rPr>
      </w:pPr>
    </w:p>
    <w:p>
      <w:pPr>
        <w:ind w:left="400" w:hanging="35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Worldwide revenue of $138.9 million, representing an increase of ~31%</w:t>
      </w:r>
    </w:p>
    <w:p>
      <w:pPr>
        <w:spacing w:after="0" w:line="121" w:lineRule="exact"/>
        <w:rPr>
          <w:rFonts w:ascii="Times New Roman" w:cs="Times New Roman" w:eastAsia="Times New Roman" w:hAnsi="Times New Roman"/>
          <w:sz w:val="20"/>
          <w:szCs w:val="20"/>
          <w:color w:val="auto"/>
        </w:rPr>
      </w:pPr>
    </w:p>
    <w:p>
      <w:pPr>
        <w:ind w:left="400" w:hanging="35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revenue of $130.6 million, representing an increase of ~32%</w:t>
      </w:r>
    </w:p>
    <w:p>
      <w:pPr>
        <w:spacing w:after="0" w:line="107" w:lineRule="exact"/>
        <w:rPr>
          <w:rFonts w:ascii="Times New Roman" w:cs="Times New Roman" w:eastAsia="Times New Roman" w:hAnsi="Times New Roman"/>
          <w:sz w:val="20"/>
          <w:szCs w:val="20"/>
          <w:color w:val="auto"/>
        </w:rPr>
      </w:pPr>
    </w:p>
    <w:p>
      <w:pPr>
        <w:ind w:left="400" w:hanging="35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of ~79%, reflecting a ~1 percentage point reduction from excess inventory reserve</w:t>
      </w:r>
    </w:p>
    <w:p>
      <w:pPr>
        <w:spacing w:after="0" w:line="121" w:lineRule="exact"/>
        <w:rPr>
          <w:rFonts w:ascii="Times New Roman" w:cs="Times New Roman" w:eastAsia="Times New Roman" w:hAnsi="Times New Roman"/>
          <w:sz w:val="20"/>
          <w:szCs w:val="20"/>
          <w:color w:val="auto"/>
        </w:rPr>
      </w:pPr>
    </w:p>
    <w:p>
      <w:pPr>
        <w:ind w:left="400" w:hanging="35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 1,600 physicians performed more than 15,000 procedures in the U.S.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Operational Highlights</w:t>
      </w:r>
    </w:p>
    <w:p>
      <w:pPr>
        <w:spacing w:after="0" w:line="125" w:lineRule="exact"/>
        <w:rPr>
          <w:sz w:val="20"/>
          <w:szCs w:val="20"/>
          <w:color w:val="auto"/>
        </w:rPr>
      </w:pPr>
    </w:p>
    <w:p>
      <w:pPr>
        <w:ind w:left="400" w:hanging="352"/>
        <w:spacing w:after="0"/>
        <w:tabs>
          <w:tab w:leader="none" w:pos="4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510(k) clearance for smaller diameter iFuse Bedrock Granite implant, with S1 and pediatric deformity indication</w:t>
      </w:r>
    </w:p>
    <w:p>
      <w:pPr>
        <w:spacing w:after="0" w:line="107" w:lineRule="exact"/>
        <w:rPr>
          <w:rFonts w:ascii="Times New Roman" w:cs="Times New Roman" w:eastAsia="Times New Roman" w:hAnsi="Times New Roman"/>
          <w:sz w:val="20"/>
          <w:szCs w:val="20"/>
          <w:color w:val="auto"/>
        </w:rPr>
      </w:pPr>
    </w:p>
    <w:p>
      <w:pPr>
        <w:ind w:left="420" w:right="60" w:hanging="372"/>
        <w:spacing w:after="0" w:line="359" w:lineRule="auto"/>
        <w:tabs>
          <w:tab w:leader="none" w:pos="40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Published early SILVIA results which demonstrate the feasibility and safety of pelvic fixation and fusion with iFuse-3D and highlighted the prevalence of SI joint pain in 16% of the patients undergoing deformity surgery</w:t>
      </w:r>
    </w:p>
    <w:p>
      <w:pPr>
        <w:ind w:left="420" w:right="20" w:hanging="372"/>
        <w:spacing w:after="0" w:line="395" w:lineRule="auto"/>
        <w:tabs>
          <w:tab w:leader="none" w:pos="40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Built on the success of iFuse TORQ with interventional spine physicians and completed the first SI joint allograft procedure, reimbursed under CPT 27278, using iFuse INTRA</w:t>
      </w:r>
    </w:p>
    <w:p>
      <w:pPr>
        <w:spacing w:after="0" w:line="174"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“2023 was a year of records for us, as our annual worldwide revenue growth exceeded 30%, led by over 32% procedure volume growth in the U.S. I am proud of our team’s stellar execution as we supported a record 1,600 U.S. physicians to help improve the lives of nearly 15,000 patients in the U.S., while driving substantial operating leverage and reduction in cash usage,” said Laura Francis, Chief Executive Officer. “I expect 2024 to be an exciting</w:t>
      </w:r>
    </w:p>
    <w:p>
      <w:pPr>
        <w:sectPr>
          <w:pgSz w:w="11900" w:h="16838" w:orient="portrait"/>
          <w:cols w:equalWidth="0" w:num="1">
            <w:col w:w="11240"/>
          </w:cols>
          <w:pgMar w:left="320" w:top="887" w:right="339" w:bottom="1440" w:gutter="0" w:footer="0" w:header="0"/>
        </w:sectPr>
      </w:pPr>
    </w:p>
    <w:bookmarkStart w:id="4" w:name="page5"/>
    <w:bookmarkEnd w:id="4"/>
    <w:p>
      <w:pPr>
        <w:jc w:val="both"/>
        <w:spacing w:after="0" w:line="395" w:lineRule="auto"/>
        <w:rPr>
          <w:sz w:val="20"/>
          <w:szCs w:val="20"/>
          <w:color w:val="auto"/>
        </w:rPr>
      </w:pPr>
      <w:r>
        <w:rPr>
          <w:rFonts w:ascii="Times New Roman" w:cs="Times New Roman" w:eastAsia="Times New Roman" w:hAnsi="Times New Roman"/>
          <w:sz w:val="20"/>
          <w:szCs w:val="20"/>
          <w:color w:val="auto"/>
        </w:rPr>
        <w:t>year for us as we capitalize on favorable demand dynamics, launch products across each of our target markets, and make significant progress toward our Adjusted EBITDA breakeven goal.”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2023 Financial Results</w:t>
      </w:r>
    </w:p>
    <w:p>
      <w:pPr>
        <w:spacing w:after="0" w:line="328" w:lineRule="exact"/>
        <w:rPr>
          <w:sz w:val="20"/>
          <w:szCs w:val="20"/>
          <w:color w:val="auto"/>
        </w:rPr>
      </w:pPr>
    </w:p>
    <w:p>
      <w:pPr>
        <w:jc w:val="both"/>
        <w:ind w:right="20"/>
        <w:spacing w:after="0" w:line="359" w:lineRule="auto"/>
        <w:rPr>
          <w:sz w:val="20"/>
          <w:szCs w:val="20"/>
          <w:color w:val="auto"/>
        </w:rPr>
      </w:pPr>
      <w:r>
        <w:rPr>
          <w:rFonts w:ascii="Times New Roman" w:cs="Times New Roman" w:eastAsia="Times New Roman" w:hAnsi="Times New Roman"/>
          <w:sz w:val="20"/>
          <w:szCs w:val="20"/>
          <w:color w:val="auto"/>
        </w:rPr>
        <w:t>Worldwide revenue was $38.9 million in the fourth quarter 2023, a ~22% increase from $32.0 million in the corresponding period in 2022. U.S. revenue for the fourth quarter 2023 was $36.7 million, an increase of ~22% from $30.0 million in the corresponding period in</w:t>
      </w:r>
    </w:p>
    <w:p>
      <w:pPr>
        <w:spacing w:after="0"/>
        <w:rPr>
          <w:sz w:val="20"/>
          <w:szCs w:val="20"/>
          <w:color w:val="auto"/>
        </w:rPr>
      </w:pPr>
      <w:r>
        <w:rPr>
          <w:rFonts w:ascii="Times New Roman" w:cs="Times New Roman" w:eastAsia="Times New Roman" w:hAnsi="Times New Roman"/>
          <w:sz w:val="20"/>
          <w:szCs w:val="20"/>
          <w:color w:val="auto"/>
        </w:rPr>
        <w:t>2022. International revenue was $2.2 million in the fourth quarter 2023 compared to $2.0 million in the corresponding period in 2022.</w:t>
      </w:r>
    </w:p>
    <w:p>
      <w:pPr>
        <w:spacing w:after="0" w:line="364"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Gross margin was ~74% for the fourth quarter 2023, compared to ~84% in the corresponding period in 2022. Gross margin in the fourth quarter 2023 was impacted by procedure and product mix as well as the impact of higher depreciation from instrument trays, depreciation associated with our second facility in Santa Clara, and higher freight costs. The fourth quarter 2023 gross margin also reflects a ~4 percentage point reduction from a $1.7 million excess inventory reserve.</w:t>
      </w:r>
    </w:p>
    <w:p>
      <w:pPr>
        <w:spacing w:after="0" w:line="217"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Operating expenses increased ~8% to $41.2 million in the fourth quarter 2023, compared to $38.2 million in the corresponding period in 2022. The change in operating expenses was primarily driven by higher commission related to revenue growth, increase in compensation as well as research and development investments.</w:t>
      </w:r>
    </w:p>
    <w:p>
      <w:pPr>
        <w:spacing w:after="0" w:line="194"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Net loss improved by ~2% to $11.0 million, or $0.27 per diluted share for the fourth quarter 2023, as compared to a net loss of $11.2 million, or $0.32 per diluted share in the corresponding period in 2022. Net loss per diluted share for the fourth quarter 2023 includes the impact of the increase in shares outstanding as a result of the follow-on common stock offering in May 2023.</w:t>
      </w:r>
    </w:p>
    <w:p>
      <w:pPr>
        <w:spacing w:after="0" w:line="207" w:lineRule="exact"/>
        <w:rPr>
          <w:sz w:val="20"/>
          <w:szCs w:val="20"/>
          <w:color w:val="auto"/>
        </w:rPr>
      </w:pPr>
    </w:p>
    <w:p>
      <w:pPr>
        <w:jc w:val="both"/>
        <w:ind w:right="20"/>
        <w:spacing w:after="0" w:line="381" w:lineRule="auto"/>
        <w:rPr>
          <w:sz w:val="20"/>
          <w:szCs w:val="20"/>
          <w:color w:val="auto"/>
        </w:rPr>
      </w:pPr>
      <w:r>
        <w:rPr>
          <w:rFonts w:ascii="Times New Roman" w:cs="Times New Roman" w:eastAsia="Times New Roman" w:hAnsi="Times New Roman"/>
          <w:sz w:val="20"/>
          <w:szCs w:val="20"/>
          <w:color w:val="auto"/>
        </w:rPr>
        <w:t>Adjusted EBITDA loss, including the $1.7 million impact from excess inventory reserve, declined by ~16% to $4.8 million in the fourth quarter 2023 compared to an adjusted EBITDA loss of $4.2 million in the corresponding period in 2022.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2023 Financial Results</w:t>
      </w:r>
    </w:p>
    <w:p>
      <w:pPr>
        <w:spacing w:after="0" w:line="355"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Worldwide revenue was $138.9 million for 2023, a ~31% increase from $106.4 million in 2022. U.S. revenue for 2023 was $130.6 million, a ~32% increase from $98.8 million in 2022. International revenue was $8.3 million in 2023 compared to $7.7 million in 2022.</w:t>
      </w:r>
    </w:p>
    <w:p>
      <w:pPr>
        <w:spacing w:after="0" w:line="174" w:lineRule="exact"/>
        <w:rPr>
          <w:sz w:val="20"/>
          <w:szCs w:val="20"/>
          <w:color w:val="auto"/>
        </w:rPr>
      </w:pPr>
    </w:p>
    <w:p>
      <w:pPr>
        <w:jc w:val="both"/>
        <w:ind w:right="20"/>
        <w:spacing w:after="0" w:line="395" w:lineRule="auto"/>
        <w:rPr>
          <w:sz w:val="20"/>
          <w:szCs w:val="20"/>
          <w:color w:val="auto"/>
        </w:rPr>
      </w:pPr>
      <w:r>
        <w:rPr>
          <w:rFonts w:ascii="Times New Roman" w:cs="Times New Roman" w:eastAsia="Times New Roman" w:hAnsi="Times New Roman"/>
          <w:sz w:val="20"/>
          <w:szCs w:val="20"/>
          <w:color w:val="auto"/>
        </w:rPr>
        <w:t>Gross margin was ~79% for 2023, compared to ~85% in 2022. In 2023, gross margin was impacted by procedure and product mix, higher depreciation from instrument trays, depreciation associated with the second facility in Santa</w:t>
      </w:r>
    </w:p>
    <w:p>
      <w:pPr>
        <w:sectPr>
          <w:pgSz w:w="11900" w:h="16838" w:orient="portrait"/>
          <w:cols w:equalWidth="0" w:num="1">
            <w:col w:w="11240"/>
          </w:cols>
          <w:pgMar w:left="320" w:top="9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Clara, and freight costs. The 2023 gross margin reflects a ~1 percentage point reduction from excess inventory reserve.</w:t>
      </w:r>
    </w:p>
    <w:p>
      <w:pPr>
        <w:spacing w:after="0" w:line="364"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Operating expenses increased ~4% to $156.4 million in 2023, compared to $150.3 million in 2022. The change in operating expenses was primarily driven by higher commission related to revenue growth, increase in compensation as well as research and development investments offset by timing of certain commercial activity, lower headcount and travel costs.</w:t>
      </w:r>
    </w:p>
    <w:p>
      <w:pPr>
        <w:spacing w:after="0" w:line="194"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Net loss improved by ~29% to $43.3 million, or $1.13 per diluted share for 2023, as compared to a net loss $61.3 million, or $1.79 per diluted share in 2022. Net loss per diluted share for 2023 includes the impact of the increase in shares outstanding as a result of the follow-on common stock offering in May 2023.</w:t>
      </w:r>
    </w:p>
    <w:p>
      <w:pPr>
        <w:spacing w:after="0" w:line="207"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Adjusted EBITDA loss, which includes the impact of excess inventory reserve, improved by ~48% to $17.3 million for 2023, compared to an adjusted EBITDA loss of $33.2 million in 2022.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and marketable securities were ~$166.0 million as of December 31, 2023.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Financial Guidance</w:t>
      </w:r>
    </w:p>
    <w:p>
      <w:pPr>
        <w:spacing w:after="0" w:line="368"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SI-BONE expects 2024 worldwide revenue of $162 million to $165 million, implying year-over-year growth of ~17% to ~19%. SI-BONE estimates fiscal year 2024 gross margin to be ~78% and operating expenses growth to be ~9%. Based on these assumptions, SI-BONE expects significant year-over-year improvement in Adjusted EBITDA loss for full year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Webcast and Conference Call Information</w:t>
      </w:r>
    </w:p>
    <w:p>
      <w:pPr>
        <w:spacing w:after="0" w:line="368"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SI-BONE will host a conference call to discuss the fourth quarter 2023 financial results after market close on Monday, February 26, 2024 at 4:30 P.M. Eastern Time. The conference call can be accessed live over webcast at https://edge.media-server.com/mmc/p/px3jaycu. Live audio of the webcast will be available on the “Investors” section of the company’s website at: www.si-bone.com. The webcast will be archived and available for replay for at least 90 days after the event.</w:t>
      </w:r>
    </w:p>
    <w:p>
      <w:pPr>
        <w:sectPr>
          <w:pgSz w:w="11900" w:h="16838" w:orient="portrait"/>
          <w:cols w:equalWidth="0" w:num="1">
            <w:col w:w="11240"/>
          </w:cols>
          <w:pgMar w:left="320" w:top="9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About SI-BONE</w:t>
      </w:r>
    </w:p>
    <w:p>
      <w:pPr>
        <w:spacing w:after="0" w:line="368" w:lineRule="exact"/>
        <w:rPr>
          <w:sz w:val="20"/>
          <w:szCs w:val="20"/>
          <w:color w:val="auto"/>
        </w:rPr>
      </w:pPr>
    </w:p>
    <w:p>
      <w:pPr>
        <w:jc w:val="both"/>
        <w:spacing w:after="0" w:line="389" w:lineRule="auto"/>
        <w:rPr>
          <w:sz w:val="20"/>
          <w:szCs w:val="20"/>
          <w:color w:val="auto"/>
        </w:rPr>
      </w:pPr>
      <w:r>
        <w:rPr>
          <w:rFonts w:ascii="Times New Roman" w:cs="Times New Roman" w:eastAsia="Times New Roman" w:hAnsi="Times New Roman"/>
          <w:sz w:val="19"/>
          <w:szCs w:val="19"/>
          <w:color w:val="auto"/>
        </w:rPr>
        <w:t>SI-BONE (NASDAQ: SIBN) is a global leader in technology for surgical treatment of musculoskeletal disorders of the sacropelvic anatomy. Since pioneering minimally invasive surgery of the SI joint in 2009, SI-BONE has supported over 3,600 physicians in performing a total of more than 95,000 sacropelvic procedures.A unique body of clinical evidence supports the use of SI-BONE’s technologies, including two randomized controlled trials and over 125 peer reviewed publications. SI-BONE has leveraged its leadership in minimally invasive SI joint fusion to commercialize novel solutions for adjacent markets, including adult deformity, spinopelvic fixation and pelvic trauma.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additional information on the company or the products including risks and benefits, please visit </w:t>
      </w:r>
      <w:r>
        <w:rPr>
          <w:rFonts w:ascii="Times New Roman" w:cs="Times New Roman" w:eastAsia="Times New Roman" w:hAnsi="Times New Roman"/>
          <w:sz w:val="20"/>
          <w:szCs w:val="20"/>
          <w:color w:val="0000FF"/>
        </w:rPr>
        <w:t>www.si-bone.com</w:t>
      </w:r>
      <w:r>
        <w:rPr>
          <w:rFonts w:ascii="Times New Roman" w:cs="Times New Roman" w:eastAsia="Times New Roman" w:hAnsi="Times New Roman"/>
          <w:sz w:val="20"/>
          <w:szCs w:val="20"/>
          <w:color w:val="auto"/>
        </w:rPr>
        <w:t>.</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iFuse Bedrock Granite, iFuse-TORQ and SI-BONE are registered trademarks of SI-BONE, Inc. ©2024 SI-BONE, Inc. All Rights Reserved.</w:t>
      </w:r>
    </w:p>
    <w:p>
      <w:pPr>
        <w:sectPr>
          <w:pgSz w:w="11900" w:h="16838" w:orient="portrait"/>
          <w:cols w:equalWidth="0" w:num="1">
            <w:col w:w="11240"/>
          </w:cols>
          <w:pgMar w:left="320" w:top="93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341"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19"/>
          <w:szCs w:val="19"/>
          <w:color w:val="auto"/>
        </w:rPr>
        <w:t>The statements in this press release regarding expectations of future events or results, including SI-BONE’s expectations of continued revenue and procedure growth and financial outlook, contained in this press release are "forward-looking" statements. These forward-looking statements are based on SI-BONE's current expectations and inherently involve significant risks and uncertainties. These risks include SI-BONE's ability to introduce and commercialize new products and indications, SI-BONE's ability to maintain favorable reimbursement for procedures using its products, the impact of any future economic weakness on the ability and desire of patients to undergo elective procedures including those using SI-BONE's devices, SI-BONE's ability to manage risks to its supply chain, and future capital requirements driven by new surgical systems requiring investment in instrument trays and implant inventory. Actual results and the timing of events could differ materially from those anticipated in such forward-looking statements as a result of these and other risks and uncertainties, many of which are described in the company's most recent filings on Form 10-K and Form 10-Q,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355" w:lineRule="exact"/>
        <w:rPr>
          <w:sz w:val="20"/>
          <w:szCs w:val="20"/>
          <w:color w:val="auto"/>
        </w:rPr>
      </w:pPr>
    </w:p>
    <w:p>
      <w:pPr>
        <w:jc w:val="both"/>
        <w:spacing w:after="0" w:line="388" w:lineRule="auto"/>
        <w:rPr>
          <w:sz w:val="20"/>
          <w:szCs w:val="20"/>
          <w:color w:val="auto"/>
        </w:rPr>
      </w:pPr>
      <w:r>
        <w:rPr>
          <w:rFonts w:ascii="Times New Roman" w:cs="Times New Roman" w:eastAsia="Times New Roman" w:hAnsi="Times New Roman"/>
          <w:sz w:val="19"/>
          <w:szCs w:val="19"/>
          <w:color w:val="auto"/>
        </w:rPr>
        <w:t>SI-BONE uses Adjusted EBITDA, a non-GAAP financial measures that excludes from net loss the effects of interest income, interest expense, depreciation and amortization and stock-based compensation. SI-BONE believes the presentation of Adjusted EBITDA is useful to management because it allows management to more consistently analyze period-to-period financial performance and provides meaningful supplemental information with respect to core operational activities used to evaluate management's performance. SI-BONE also believes the presentation of Adjusted EBITDA is useful to investors and other interested persons as it enables these persons to use this additional information to assess the company’s performance in using this additional metric that management uses to assess the company’s performance.</w:t>
      </w:r>
    </w:p>
    <w:p>
      <w:pPr>
        <w:spacing w:after="0" w:line="189"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19"/>
          <w:szCs w:val="19"/>
          <w:color w:val="auto"/>
        </w:rPr>
        <w:t>Adjusted EBITDA should be considered supplemental to, and not a substitute for, financial information prepared in accordance with GAAP. Because Adjusted EBITDA excludes the effect of items that increase or decrease the Company's reported results of operations, management strongly encourages investors to review, when they become available, the Company's consolidated financial statements and publicly filed reports in their entirety. The Company's definition of Adjusted EBITDA may differ from similarly titled measures used by others.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Saqib Iqbal</w:t>
      </w:r>
    </w:p>
    <w:p>
      <w:pPr>
        <w:sectPr>
          <w:pgSz w:w="11900" w:h="16838" w:orient="portrait"/>
          <w:cols w:equalWidth="0" w:num="1">
            <w:col w:w="11240"/>
          </w:cols>
          <w:pgMar w:left="320" w:top="115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9"/>
          <w:szCs w:val="19"/>
          <w:color w:val="auto"/>
        </w:rPr>
        <w:t>Director, FP&amp;A and Investor Relations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investors@SI-BONE.com</w:t>
      </w:r>
    </w:p>
    <w:p>
      <w:pPr>
        <w:sectPr>
          <w:pgSz w:w="11900" w:h="16838" w:orient="portrait"/>
          <w:cols w:equalWidth="0" w:num="1">
            <w:col w:w="10139"/>
          </w:cols>
          <w:pgMar w:left="320" w:top="940"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80" w:type="dxa"/>
            <w:vAlign w:val="bottom"/>
          </w:tcPr>
          <w:p>
            <w:pPr>
              <w:spacing w:after="0"/>
              <w:rPr>
                <w:sz w:val="18"/>
                <w:szCs w:val="18"/>
                <w:color w:val="auto"/>
              </w:rPr>
            </w:pPr>
          </w:p>
        </w:tc>
        <w:tc>
          <w:tcPr>
            <w:tcW w:w="3080" w:type="dxa"/>
            <w:vAlign w:val="bottom"/>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4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38,859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31,953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138,886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106,409</w:t>
            </w: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10,183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29,466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15,705</w:t>
            </w:r>
          </w:p>
        </w:tc>
      </w:tr>
      <w:tr>
        <w:trPr>
          <w:trHeight w:val="223"/>
        </w:trPr>
        <w:tc>
          <w:tcPr>
            <w:tcW w:w="4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28,676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26,864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109,420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90,704</w:t>
            </w:r>
          </w:p>
        </w:tc>
      </w:tr>
      <w:tr>
        <w:trPr>
          <w:trHeight w:val="228"/>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65"/>
        </w:trPr>
        <w:tc>
          <w:tcPr>
            <w:tcW w:w="4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28,937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27,609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110,254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107,726</w:t>
            </w:r>
          </w:p>
        </w:tc>
      </w:tr>
      <w:tr>
        <w:trPr>
          <w:trHeight w:val="230"/>
        </w:trPr>
        <w:tc>
          <w:tcPr>
            <w:tcW w:w="4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15,028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13,627</w:t>
            </w:r>
          </w:p>
        </w:tc>
      </w:tr>
      <w:tr>
        <w:trPr>
          <w:trHeight w:val="229"/>
        </w:trPr>
        <w:tc>
          <w:tcPr>
            <w:tcW w:w="42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8,083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7,069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31,069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28,960</w:t>
            </w: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41,182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38,158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156,351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150,313</w:t>
            </w:r>
          </w:p>
        </w:tc>
      </w:tr>
      <w:tr>
        <w:trPr>
          <w:trHeight w:val="250"/>
        </w:trPr>
        <w:tc>
          <w:tcPr>
            <w:tcW w:w="4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(12,506)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(11,294)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(46,931)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(59,609)</w:t>
            </w: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1,304</w:t>
            </w:r>
          </w:p>
        </w:tc>
      </w:tr>
      <w:tr>
        <w:trPr>
          <w:trHeight w:val="229"/>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(2,819)</w:t>
            </w:r>
          </w:p>
        </w:tc>
      </w:tr>
      <w:tr>
        <w:trPr>
          <w:trHeight w:val="230"/>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(10,983)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(11,175)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(43,336)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(61,256)</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(1.79)</w:t>
            </w: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common shares used to</w:t>
            </w: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 basic and diluted net loss per share</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40,579,409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34,594,536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38,427,419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34,201,824</w:t>
            </w:r>
          </w:p>
        </w:tc>
      </w:tr>
    </w:tbl>
    <w:p>
      <w:pPr>
        <w:sectPr>
          <w:pgSz w:w="11900" w:h="16838" w:orient="portrait"/>
          <w:cols w:equalWidth="0" w:num="1">
            <w:col w:w="11240"/>
          </w:cols>
          <w:pgMar w:left="320" w:top="887"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r>
      <w:tr>
        <w:trPr>
          <w:trHeight w:val="211"/>
        </w:trPr>
        <w:tc>
          <w:tcPr>
            <w:tcW w:w="7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20,717</w:t>
            </w: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132,748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76,573</w:t>
            </w:r>
          </w:p>
        </w:tc>
      </w:t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20,674</w:t>
            </w:r>
          </w:p>
        </w:tc>
      </w:tr>
      <w:tr>
        <w:trPr>
          <w:trHeight w:val="23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17,282</w:t>
            </w:r>
          </w:p>
        </w:tc>
      </w:t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211,394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137,611</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15,564</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3"/>
        </w:trPr>
        <w:tc>
          <w:tcPr>
            <w:tcW w:w="7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230,425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157,552</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7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w:t>
            </w:r>
          </w:p>
        </w:tc>
      </w:t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13,511</w:t>
            </w:r>
          </w:p>
        </w:tc>
      </w:tr>
      <w:tr>
        <w:trPr>
          <w:trHeight w:val="230"/>
        </w:trPr>
        <w:tc>
          <w:tcPr>
            <w:tcW w:w="7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21,178</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35,171</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59,250</w:t>
            </w:r>
          </w:p>
        </w:tc>
      </w:tr>
      <w:tr>
        <w:trPr>
          <w:trHeight w:val="250"/>
        </w:trPr>
        <w:tc>
          <w:tcPr>
            <w:tcW w:w="7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and additional paid-in capital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569,481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455,175</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(400,441)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(357,105)</w:t>
            </w:r>
          </w:p>
        </w:tc>
      </w:tr>
      <w:tr>
        <w:trPr>
          <w:trHeight w:val="223"/>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98,302</w:t>
            </w:r>
          </w:p>
        </w:tc>
      </w:tr>
      <w:tr>
        <w:trPr>
          <w:trHeight w:val="223"/>
        </w:trPr>
        <w:tc>
          <w:tcPr>
            <w:tcW w:w="7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230,425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157,552</w:t>
            </w:r>
          </w:p>
        </w:tc>
      </w:tr>
      <w:tr>
        <w:trPr>
          <w:trHeight w:val="20"/>
        </w:trPr>
        <w:tc>
          <w:tcPr>
            <w:tcW w:w="7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340"/>
          </w:cols>
          <w:pgMar w:left="780" w:top="887" w:right="77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br w:type="column"/>
      </w: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7"/>
          <w:szCs w:val="17"/>
          <w:b w:val="1"/>
          <w:bCs w:val="1"/>
          <w:color w:val="auto"/>
        </w:rPr>
        <w:t>RECONCILIATION OF NET LOSS TO NON-GAAP ADJUSTED EBITDA</w:t>
      </w:r>
    </w:p>
    <w:p>
      <w:pPr>
        <w:spacing w:after="0" w:line="21"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1920" w:type="dxa"/>
        <w:tblCellMar>
          <w:top w:w="0" w:type="dxa"/>
          <w:left w:w="0" w:type="dxa"/>
          <w:bottom w:w="0" w:type="dxa"/>
          <w:right w:w="0" w:type="dxa"/>
        </w:tblCellMar>
      </w:tblPr>
      <w:tr>
        <w:trPr>
          <w:trHeight w:val="215"/>
        </w:trPr>
        <w:tc>
          <w:tcPr>
            <w:tcW w:w="260" w:type="dxa"/>
            <w:vAlign w:val="bottom"/>
          </w:tcPr>
          <w:p>
            <w:pPr>
              <w:spacing w:after="0"/>
              <w:rPr>
                <w:sz w:val="18"/>
                <w:szCs w:val="18"/>
                <w:color w:val="auto"/>
              </w:rPr>
            </w:pPr>
          </w:p>
        </w:tc>
        <w:tc>
          <w:tcPr>
            <w:tcW w:w="31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60" w:type="dxa"/>
            <w:vAlign w:val="bottom"/>
          </w:tcPr>
          <w:p>
            <w:pPr>
              <w:spacing w:after="0"/>
              <w:rPr>
                <w:sz w:val="18"/>
                <w:szCs w:val="18"/>
                <w:color w:val="auto"/>
              </w:rPr>
            </w:pPr>
          </w:p>
        </w:tc>
        <w:tc>
          <w:tcPr>
            <w:tcW w:w="2900" w:type="dxa"/>
            <w:vAlign w:val="bottom"/>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(61,256)</w:t>
            </w:r>
          </w:p>
        </w:tc>
      </w:tr>
      <w:tr>
        <w:trPr>
          <w:trHeight w:val="229"/>
        </w:trPr>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29"/>
        </w:trPr>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r>
      <w:tr>
        <w:trPr>
          <w:trHeight w:val="230"/>
        </w:trPr>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r>
      <w:tr>
        <w:trPr>
          <w:trHeight w:val="234"/>
        </w:trPr>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23,061</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(33,227)</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-925195</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-624840</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-333375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sectPr>
      <w:pgSz w:w="11900" w:h="16838" w:orient="portrait"/>
      <w:cols w:equalWidth="0" w:num="2">
        <w:col w:w="2400" w:space="260"/>
        <w:col w:w="8560"/>
      </w:cols>
      <w:pgMar w:left="34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2024-02-26T15:20:04Z</dcterms:created>
  <dcterms:modified xsi:type="dcterms:W3CDTF">2024-02-26T15:20:04Z</dcterms:modified>
</cp:coreProperties>
</file>