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20"/>
        <w:spacing w:after="0"/>
        <w:rPr>
          <w:sz w:val="20"/>
          <w:szCs w:val="20"/>
          <w:color w:val="auto"/>
        </w:rPr>
      </w:pPr>
      <w:r>
        <w:rPr>
          <w:rFonts w:ascii="Arial" w:cs="Arial" w:eastAsia="Arial" w:hAnsi="Arial"/>
          <w:sz w:val="16"/>
          <w:szCs w:val="16"/>
          <w:b w:val="1"/>
          <w:bCs w:val="1"/>
          <w:color w:val="auto"/>
        </w:rPr>
        <w:t>UNITED STATES</w:t>
      </w:r>
    </w:p>
    <w:p>
      <w:pPr>
        <w:spacing w:after="0" w:line="69"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2584450</wp:posOffset>
            </wp:positionH>
            <wp:positionV relativeFrom="paragraph">
              <wp:posOffset>32385</wp:posOffset>
            </wp:positionV>
            <wp:extent cx="199898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8980" cy="12700"/>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2584450</wp:posOffset>
            </wp:positionH>
            <wp:positionV relativeFrom="paragraph">
              <wp:posOffset>97790</wp:posOffset>
            </wp:positionV>
            <wp:extent cx="1998980"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98980" cy="12700"/>
                    </a:xfrm>
                    <a:prstGeom prst="rect">
                      <a:avLst/>
                    </a:prstGeom>
                    <a:noFill/>
                  </pic:spPr>
                </pic:pic>
              </a:graphicData>
            </a:graphic>
          </wp:anchor>
        </w:drawing>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(Mark one)</w:t>
      </w:r>
    </w:p>
    <w:p>
      <w:pPr>
        <w:spacing w:after="0" w:line="7" w:lineRule="exact"/>
        <w:rPr>
          <w:sz w:val="24"/>
          <w:szCs w:val="24"/>
          <w:color w:val="auto"/>
        </w:rPr>
      </w:pPr>
    </w:p>
    <w:p>
      <w:pPr>
        <w:ind w:left="2640" w:hanging="162"/>
        <w:spacing w:after="0"/>
        <w:tabs>
          <w:tab w:leader="none" w:pos="2640" w:val="left"/>
        </w:tabs>
        <w:numPr>
          <w:ilvl w:val="0"/>
          <w:numId w:val="1"/>
        </w:numPr>
        <w:rPr>
          <w:rFonts w:ascii="MS PGothic" w:cs="MS PGothic" w:eastAsia="MS PGothic" w:hAnsi="MS PGothic"/>
          <w:sz w:val="13"/>
          <w:szCs w:val="13"/>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For the quarterly period ended September 30, 2021</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OR</w:t>
      </w:r>
    </w:p>
    <w:p>
      <w:pPr>
        <w:spacing w:after="0" w:line="196" w:lineRule="exact"/>
        <w:rPr>
          <w:sz w:val="24"/>
          <w:szCs w:val="24"/>
          <w:color w:val="auto"/>
        </w:rPr>
      </w:pPr>
    </w:p>
    <w:p>
      <w:pPr>
        <w:ind w:left="2640" w:hanging="167"/>
        <w:spacing w:after="0"/>
        <w:tabs>
          <w:tab w:leader="none" w:pos="2640" w:val="left"/>
        </w:tabs>
        <w:numPr>
          <w:ilvl w:val="0"/>
          <w:numId w:val="2"/>
        </w:numPr>
        <w:rPr>
          <w:rFonts w:ascii="MS PGothic" w:cs="MS PGothic" w:eastAsia="MS PGothic" w:hAnsi="MS PGothic"/>
          <w:sz w:val="13"/>
          <w:szCs w:val="13"/>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9" w:lineRule="exact"/>
        <w:rPr>
          <w:rFonts w:ascii="MS PGothic" w:cs="MS PGothic" w:eastAsia="MS PGothic" w:hAnsi="MS PGothic"/>
          <w:sz w:val="13"/>
          <w:szCs w:val="13"/>
          <w:color w:val="auto"/>
        </w:rPr>
      </w:pPr>
    </w:p>
    <w:p>
      <w:pPr>
        <w:ind w:left="4320"/>
        <w:spacing w:after="0"/>
        <w:rPr>
          <w:rFonts w:ascii="MS PGothic" w:cs="MS PGothic" w:eastAsia="MS PGothic" w:hAnsi="MS PGothic"/>
          <w:sz w:val="13"/>
          <w:szCs w:val="13"/>
          <w:color w:val="auto"/>
        </w:rPr>
      </w:pPr>
      <w:r>
        <w:rPr>
          <w:rFonts w:ascii="Arial" w:cs="Arial" w:eastAsia="Arial" w:hAnsi="Arial"/>
          <w:sz w:val="11"/>
          <w:szCs w:val="11"/>
          <w:b w:val="1"/>
          <w:bCs w:val="1"/>
          <w:color w:val="auto"/>
        </w:rPr>
        <w:t>For the transition period from __________ to __________</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2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14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w w:val="89"/>
              </w:rPr>
              <w:t>Commission File Number: 001-38701</w:t>
            </w: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2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40" w:type="dxa"/>
            <w:vAlign w:val="bottom"/>
            <w:gridSpan w:val="4"/>
          </w:tcPr>
          <w:p>
            <w:pPr>
              <w:jc w:val="center"/>
              <w:ind w:right="20"/>
              <w:spacing w:after="0"/>
              <w:rPr>
                <w:sz w:val="20"/>
                <w:szCs w:val="20"/>
                <w:color w:val="auto"/>
              </w:rPr>
            </w:pPr>
            <w:r>
              <w:rPr>
                <w:rFonts w:ascii="Arial" w:cs="Arial" w:eastAsia="Arial" w:hAnsi="Arial"/>
                <w:sz w:val="22"/>
                <w:szCs w:val="22"/>
                <w:b w:val="1"/>
                <w:bCs w:val="1"/>
                <w:color w:val="auto"/>
                <w:w w:val="97"/>
              </w:rPr>
              <w:t>SI-BONE, INC.</w:t>
            </w: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140" w:type="dxa"/>
            <w:vAlign w:val="bottom"/>
            <w:gridSpan w:val="4"/>
          </w:tcPr>
          <w:p>
            <w:pPr>
              <w:jc w:val="center"/>
              <w:ind w:right="20"/>
              <w:spacing w:after="0"/>
              <w:rPr>
                <w:sz w:val="20"/>
                <w:szCs w:val="20"/>
                <w:color w:val="auto"/>
              </w:rPr>
            </w:pPr>
            <w:r>
              <w:rPr>
                <w:rFonts w:ascii="Arial" w:cs="Arial" w:eastAsia="Arial" w:hAnsi="Arial"/>
                <w:sz w:val="9"/>
                <w:szCs w:val="9"/>
                <w:b w:val="1"/>
                <w:bCs w:val="1"/>
                <w:color w:val="auto"/>
                <w:w w:val="94"/>
              </w:rPr>
              <w:t>(Exact Name of Registrant as Specified in its Charter)</w:t>
            </w:r>
          </w:p>
        </w:tc>
        <w:tc>
          <w:tcPr>
            <w:tcW w:w="4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80" w:type="dxa"/>
            <w:vAlign w:val="bottom"/>
            <w:gridSpan w:val="3"/>
            <w:vMerge w:val="restart"/>
          </w:tcPr>
          <w:p>
            <w:pPr>
              <w:jc w:val="center"/>
              <w:ind w:left="844"/>
              <w:spacing w:after="0"/>
              <w:rPr>
                <w:sz w:val="20"/>
                <w:szCs w:val="20"/>
                <w:color w:val="auto"/>
              </w:rPr>
            </w:pPr>
            <w:r>
              <w:rPr>
                <w:rFonts w:ascii="Arial" w:cs="Arial" w:eastAsia="Arial" w:hAnsi="Arial"/>
                <w:sz w:val="12"/>
                <w:szCs w:val="12"/>
                <w:b w:val="1"/>
                <w:bCs w:val="1"/>
                <w:color w:val="auto"/>
                <w:w w:val="94"/>
              </w:rPr>
              <w:t>Delaware</w:t>
            </w:r>
          </w:p>
        </w:tc>
        <w:tc>
          <w:tcPr>
            <w:tcW w:w="1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20" w:type="dxa"/>
            <w:vAlign w:val="bottom"/>
            <w:gridSpan w:val="2"/>
            <w:vMerge w:val="restart"/>
          </w:tcPr>
          <w:p>
            <w:pPr>
              <w:jc w:val="center"/>
              <w:ind w:left="1042"/>
              <w:spacing w:after="0"/>
              <w:rPr>
                <w:sz w:val="20"/>
                <w:szCs w:val="20"/>
                <w:color w:val="auto"/>
              </w:rPr>
            </w:pPr>
            <w:r>
              <w:rPr>
                <w:rFonts w:ascii="Arial" w:cs="Arial" w:eastAsia="Arial" w:hAnsi="Arial"/>
                <w:sz w:val="12"/>
                <w:szCs w:val="12"/>
                <w:b w:val="1"/>
                <w:bCs w:val="1"/>
                <w:color w:val="auto"/>
                <w:w w:val="93"/>
              </w:rPr>
              <w:t>26-2216351</w:t>
            </w:r>
          </w:p>
        </w:tc>
        <w:tc>
          <w:tcPr>
            <w:tcW w:w="0" w:type="dxa"/>
            <w:vAlign w:val="bottom"/>
          </w:tcPr>
          <w:p>
            <w:pPr>
              <w:spacing w:after="0"/>
              <w:rPr>
                <w:sz w:val="1"/>
                <w:szCs w:val="1"/>
                <w:color w:val="auto"/>
              </w:rPr>
            </w:pPr>
          </w:p>
        </w:tc>
      </w:tr>
      <w:tr>
        <w:trPr>
          <w:trHeight w:val="438"/>
        </w:trPr>
        <w:tc>
          <w:tcPr>
            <w:tcW w:w="408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80" w:type="dxa"/>
            <w:vAlign w:val="bottom"/>
            <w:gridSpan w:val="3"/>
          </w:tcPr>
          <w:p>
            <w:pPr>
              <w:jc w:val="center"/>
              <w:ind w:left="844"/>
              <w:spacing w:after="0" w:line="109" w:lineRule="exact"/>
              <w:rPr>
                <w:sz w:val="20"/>
                <w:szCs w:val="20"/>
                <w:color w:val="auto"/>
              </w:rPr>
            </w:pPr>
            <w:r>
              <w:rPr>
                <w:rFonts w:ascii="Arial" w:cs="Arial" w:eastAsia="Arial" w:hAnsi="Arial"/>
                <w:sz w:val="11"/>
                <w:szCs w:val="11"/>
                <w:b w:val="1"/>
                <w:bCs w:val="1"/>
                <w:color w:val="auto"/>
                <w:w w:val="88"/>
              </w:rPr>
              <w:t>(State or Other Jurisdiction of</w:t>
            </w:r>
          </w:p>
        </w:tc>
        <w:tc>
          <w:tcPr>
            <w:tcW w:w="1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0" w:type="dxa"/>
            <w:vAlign w:val="bottom"/>
          </w:tcPr>
          <w:p>
            <w:pPr>
              <w:jc w:val="center"/>
              <w:ind w:left="606"/>
              <w:spacing w:after="0" w:line="10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4080" w:type="dxa"/>
            <w:vAlign w:val="bottom"/>
            <w:gridSpan w:val="3"/>
          </w:tcPr>
          <w:p>
            <w:pPr>
              <w:jc w:val="center"/>
              <w:ind w:left="844"/>
              <w:spacing w:after="0"/>
              <w:rPr>
                <w:sz w:val="20"/>
                <w:szCs w:val="20"/>
                <w:color w:val="auto"/>
              </w:rPr>
            </w:pPr>
            <w:r>
              <w:rPr>
                <w:rFonts w:ascii="Arial" w:cs="Arial" w:eastAsia="Arial" w:hAnsi="Arial"/>
                <w:sz w:val="11"/>
                <w:szCs w:val="11"/>
                <w:b w:val="1"/>
                <w:bCs w:val="1"/>
                <w:color w:val="auto"/>
                <w:w w:val="91"/>
              </w:rPr>
              <w:t>Incorporation or Organization)</w:t>
            </w:r>
          </w:p>
        </w:tc>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jc w:val="center"/>
              <w:ind w:left="626"/>
              <w:spacing w:after="0"/>
              <w:rPr>
                <w:sz w:val="20"/>
                <w:szCs w:val="20"/>
                <w:color w:val="auto"/>
              </w:rPr>
            </w:pPr>
            <w:r>
              <w:rPr>
                <w:rFonts w:ascii="Arial" w:cs="Arial" w:eastAsia="Arial" w:hAnsi="Arial"/>
                <w:sz w:val="11"/>
                <w:szCs w:val="11"/>
                <w:b w:val="1"/>
                <w:bCs w:val="1"/>
                <w:color w:val="auto"/>
                <w:w w:val="92"/>
              </w:rPr>
              <w:t>Identification Number)</w:t>
            </w:r>
          </w:p>
        </w:tc>
        <w:tc>
          <w:tcPr>
            <w:tcW w:w="0" w:type="dxa"/>
            <w:vAlign w:val="bottom"/>
          </w:tcPr>
          <w:p>
            <w:pPr>
              <w:spacing w:after="0"/>
              <w:rPr>
                <w:sz w:val="1"/>
                <w:szCs w:val="1"/>
                <w:color w:val="auto"/>
              </w:rPr>
            </w:pPr>
          </w:p>
        </w:tc>
      </w:tr>
      <w:tr>
        <w:trPr>
          <w:trHeight w:val="238"/>
        </w:trPr>
        <w:tc>
          <w:tcPr>
            <w:tcW w:w="4080" w:type="dxa"/>
            <w:vAlign w:val="bottom"/>
            <w:gridSpan w:val="3"/>
          </w:tcPr>
          <w:p>
            <w:pPr>
              <w:jc w:val="center"/>
              <w:ind w:left="864"/>
              <w:spacing w:after="0"/>
              <w:rPr>
                <w:sz w:val="20"/>
                <w:szCs w:val="20"/>
                <w:color w:val="auto"/>
              </w:rPr>
            </w:pPr>
            <w:r>
              <w:rPr>
                <w:rFonts w:ascii="Arial" w:cs="Arial" w:eastAsia="Arial" w:hAnsi="Arial"/>
                <w:sz w:val="12"/>
                <w:szCs w:val="12"/>
                <w:b w:val="1"/>
                <w:bCs w:val="1"/>
                <w:color w:val="auto"/>
                <w:w w:val="93"/>
              </w:rPr>
              <w:t>471 El Camino Real, Suite 101, Santa Clara, California</w:t>
            </w:r>
          </w:p>
        </w:tc>
        <w:tc>
          <w:tcPr>
            <w:tcW w:w="1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2"/>
          </w:tcPr>
          <w:p>
            <w:pPr>
              <w:jc w:val="right"/>
              <w:ind w:right="426"/>
              <w:spacing w:after="0"/>
              <w:rPr>
                <w:sz w:val="20"/>
                <w:szCs w:val="20"/>
                <w:color w:val="auto"/>
              </w:rPr>
            </w:pPr>
            <w:r>
              <w:rPr>
                <w:rFonts w:ascii="Arial" w:cs="Arial" w:eastAsia="Arial" w:hAnsi="Arial"/>
                <w:sz w:val="12"/>
                <w:szCs w:val="12"/>
                <w:b w:val="1"/>
                <w:bCs w:val="1"/>
                <w:color w:val="auto"/>
              </w:rPr>
              <w:t>95050</w:t>
            </w:r>
          </w:p>
        </w:tc>
        <w:tc>
          <w:tcPr>
            <w:tcW w:w="0" w:type="dxa"/>
            <w:vAlign w:val="bottom"/>
          </w:tcPr>
          <w:p>
            <w:pPr>
              <w:spacing w:after="0"/>
              <w:rPr>
                <w:sz w:val="1"/>
                <w:szCs w:val="1"/>
                <w:color w:val="auto"/>
              </w:rPr>
            </w:pPr>
          </w:p>
        </w:tc>
      </w:tr>
      <w:tr>
        <w:trPr>
          <w:trHeight w:val="140"/>
        </w:trPr>
        <w:tc>
          <w:tcPr>
            <w:tcW w:w="4080" w:type="dxa"/>
            <w:vAlign w:val="bottom"/>
            <w:gridSpan w:val="3"/>
          </w:tcPr>
          <w:p>
            <w:pPr>
              <w:jc w:val="center"/>
              <w:ind w:left="844"/>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jc w:val="center"/>
              <w:ind w:left="646"/>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233"/>
        </w:trPr>
        <w:tc>
          <w:tcPr>
            <w:tcW w:w="2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87"/>
              </w:rPr>
              <w:t>Registrant's telephone number, including area code</w:t>
            </w:r>
            <w:r>
              <w:rPr>
                <w:rFonts w:ascii="Arial" w:cs="Arial" w:eastAsia="Arial" w:hAnsi="Arial"/>
                <w:sz w:val="11"/>
                <w:szCs w:val="11"/>
                <w:color w:val="auto"/>
                <w:w w:val="87"/>
              </w:rPr>
              <w:t>:</w:t>
            </w:r>
            <w:r>
              <w:rPr>
                <w:rFonts w:ascii="Arial" w:cs="Arial" w:eastAsia="Arial" w:hAnsi="Arial"/>
                <w:sz w:val="11"/>
                <w:szCs w:val="11"/>
                <w:b w:val="1"/>
                <w:bCs w:val="1"/>
                <w:color w:val="auto"/>
                <w:w w:val="87"/>
              </w:rPr>
              <w:t xml:space="preserve"> (408) 207-0700</w:t>
            </w:r>
          </w:p>
        </w:tc>
        <w:tc>
          <w:tcPr>
            <w:tcW w:w="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4080" w:type="dxa"/>
            <w:vAlign w:val="bottom"/>
            <w:gridSpan w:val="3"/>
            <w:vMerge w:val="restart"/>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1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080" w:type="dxa"/>
            <w:vAlign w:val="bottom"/>
            <w:gridSpan w:val="3"/>
            <w:vMerge w:val="continue"/>
          </w:tcPr>
          <w:p>
            <w:pPr>
              <w:spacing w:after="0"/>
              <w:rPr>
                <w:sz w:val="23"/>
                <w:szCs w:val="23"/>
                <w:color w:val="auto"/>
              </w:rPr>
            </w:pPr>
          </w:p>
        </w:tc>
        <w:tc>
          <w:tcPr>
            <w:tcW w:w="1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6"/>
              </w:rPr>
              <w:t>Title of each class</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9"/>
              </w:rPr>
              <w:t>Trading Symbol(s)</w:t>
            </w:r>
          </w:p>
        </w:tc>
        <w:tc>
          <w:tcPr>
            <w:tcW w:w="940" w:type="dxa"/>
            <w:vAlign w:val="bottom"/>
            <w:gridSpan w:val="2"/>
          </w:tcPr>
          <w:p>
            <w:pPr>
              <w:spacing w:after="0"/>
              <w:rPr>
                <w:sz w:val="18"/>
                <w:szCs w:val="18"/>
                <w:color w:val="auto"/>
              </w:rPr>
            </w:pPr>
          </w:p>
        </w:tc>
        <w:tc>
          <w:tcPr>
            <w:tcW w:w="2420" w:type="dxa"/>
            <w:vAlign w:val="bottom"/>
            <w:gridSpan w:val="2"/>
          </w:tcPr>
          <w:p>
            <w:pPr>
              <w:jc w:val="center"/>
              <w:ind w:left="362"/>
              <w:spacing w:after="0"/>
              <w:rPr>
                <w:sz w:val="20"/>
                <w:szCs w:val="20"/>
                <w:color w:val="auto"/>
              </w:rPr>
            </w:pPr>
            <w:r>
              <w:rPr>
                <w:rFonts w:ascii="Arial" w:cs="Arial" w:eastAsia="Arial" w:hAnsi="Arial"/>
                <w:sz w:val="11"/>
                <w:szCs w:val="11"/>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80" w:type="dxa"/>
            <w:vAlign w:val="bottom"/>
            <w:gridSpan w:val="3"/>
          </w:tcPr>
          <w:p>
            <w:pPr>
              <w:jc w:val="center"/>
              <w:ind w:left="1564"/>
              <w:spacing w:after="0"/>
              <w:rPr>
                <w:sz w:val="20"/>
                <w:szCs w:val="20"/>
                <w:color w:val="auto"/>
              </w:rPr>
            </w:pPr>
            <w:r>
              <w:rPr>
                <w:rFonts w:ascii="Arial" w:cs="Arial" w:eastAsia="Arial" w:hAnsi="Arial"/>
                <w:sz w:val="11"/>
                <w:szCs w:val="11"/>
                <w:color w:val="auto"/>
                <w:w w:val="88"/>
              </w:rPr>
              <w:t>Common Stock, par value $0.0001 per share</w:t>
            </w:r>
          </w:p>
        </w:tc>
        <w:tc>
          <w:tcPr>
            <w:tcW w:w="1340" w:type="dxa"/>
            <w:vAlign w:val="bottom"/>
          </w:tcPr>
          <w:p>
            <w:pPr>
              <w:spacing w:after="0"/>
              <w:rPr>
                <w:sz w:val="12"/>
                <w:szCs w:val="12"/>
                <w:color w:val="auto"/>
              </w:rPr>
            </w:pPr>
          </w:p>
        </w:tc>
        <w:tc>
          <w:tcPr>
            <w:tcW w:w="1800" w:type="dxa"/>
            <w:vAlign w:val="bottom"/>
            <w:gridSpan w:val="3"/>
          </w:tcPr>
          <w:p>
            <w:pPr>
              <w:jc w:val="center"/>
              <w:ind w:right="960"/>
              <w:spacing w:after="0"/>
              <w:rPr>
                <w:sz w:val="20"/>
                <w:szCs w:val="20"/>
                <w:color w:val="auto"/>
              </w:rPr>
            </w:pPr>
            <w:r>
              <w:rPr>
                <w:rFonts w:ascii="Arial" w:cs="Arial" w:eastAsia="Arial" w:hAnsi="Arial"/>
                <w:sz w:val="11"/>
                <w:szCs w:val="11"/>
                <w:color w:val="auto"/>
                <w:w w:val="93"/>
              </w:rPr>
              <w:t>SIBN</w:t>
            </w:r>
          </w:p>
        </w:tc>
        <w:tc>
          <w:tcPr>
            <w:tcW w:w="42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The Nasdaq Global Market</w:t>
            </w:r>
          </w:p>
        </w:tc>
        <w:tc>
          <w:tcPr>
            <w:tcW w:w="0" w:type="dxa"/>
            <w:vAlign w:val="bottom"/>
          </w:tcPr>
          <w:p>
            <w:pPr>
              <w:spacing w:after="0"/>
              <w:rPr>
                <w:sz w:val="1"/>
                <w:szCs w:val="1"/>
                <w:color w:val="auto"/>
              </w:rPr>
            </w:pPr>
          </w:p>
        </w:tc>
      </w:tr>
    </w:tbl>
    <w:p>
      <w:pPr>
        <w:spacing w:after="0" w:line="319" w:lineRule="exact"/>
        <w:rPr>
          <w:sz w:val="24"/>
          <w:szCs w:val="24"/>
          <w:color w:val="auto"/>
        </w:rPr>
      </w:pPr>
    </w:p>
    <w:p>
      <w:pPr>
        <w:jc w:val="center"/>
        <w:ind w:left="320" w:right="140"/>
        <w:spacing w:after="0" w:line="268"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2" w:lineRule="exact"/>
        <w:rPr>
          <w:sz w:val="24"/>
          <w:szCs w:val="24"/>
          <w:color w:val="auto"/>
        </w:rPr>
      </w:pPr>
    </w:p>
    <w:p>
      <w:pPr>
        <w:jc w:val="center"/>
        <w:ind w:left="320"/>
        <w:spacing w:after="0" w:line="268"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w:t>
      </w:r>
    </w:p>
    <w:p>
      <w:pPr>
        <w:spacing w:after="0" w:line="14" w:lineRule="exact"/>
        <w:rPr>
          <w:sz w:val="24"/>
          <w:szCs w:val="24"/>
          <w:color w:val="auto"/>
        </w:rPr>
      </w:pPr>
    </w:p>
    <w:tbl>
      <w:tblPr>
        <w:tblLayout w:type="fixed"/>
        <w:tblInd w:w="1900" w:type="dxa"/>
        <w:tblCellMar>
          <w:top w:w="0" w:type="dxa"/>
          <w:left w:w="0" w:type="dxa"/>
          <w:bottom w:w="0" w:type="dxa"/>
          <w:right w:w="0" w:type="dxa"/>
        </w:tblCellMar>
      </w:tblPr>
      <w:tr>
        <w:trPr>
          <w:trHeight w:val="136"/>
        </w:trPr>
        <w:tc>
          <w:tcPr>
            <w:tcW w:w="1460" w:type="dxa"/>
            <w:vAlign w:val="bottom"/>
          </w:tcPr>
          <w:p>
            <w:pPr>
              <w:spacing w:after="0"/>
              <w:rPr>
                <w:sz w:val="11"/>
                <w:szCs w:val="11"/>
                <w:color w:val="auto"/>
              </w:rPr>
            </w:pPr>
          </w:p>
        </w:tc>
        <w:tc>
          <w:tcPr>
            <w:tcW w:w="4440" w:type="dxa"/>
            <w:vAlign w:val="bottom"/>
            <w:gridSpan w:val="3"/>
          </w:tcPr>
          <w:p>
            <w:pPr>
              <w:ind w:left="340"/>
              <w:spacing w:after="0"/>
              <w:rPr>
                <w:sz w:val="20"/>
                <w:szCs w:val="20"/>
                <w:color w:val="auto"/>
              </w:rPr>
            </w:pPr>
            <w:r>
              <w:rPr>
                <w:rFonts w:ascii="Arial" w:cs="Arial" w:eastAsia="Arial" w:hAnsi="Arial"/>
                <w:sz w:val="11"/>
                <w:szCs w:val="11"/>
                <w:color w:val="auto"/>
                <w:w w:val="95"/>
              </w:rPr>
              <w:t>reporting company” and “emerging growth company” in Rule 12b-2 of the Exchange Act.</w:t>
            </w: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10"/>
        </w:trPr>
        <w:tc>
          <w:tcPr>
            <w:tcW w:w="1460" w:type="dxa"/>
            <w:vAlign w:val="bottom"/>
          </w:tcPr>
          <w:p>
            <w:pPr>
              <w:jc w:val="center"/>
              <w:ind w:right="226"/>
              <w:spacing w:after="0"/>
              <w:rPr>
                <w:sz w:val="20"/>
                <w:szCs w:val="20"/>
                <w:color w:val="auto"/>
              </w:rPr>
            </w:pPr>
            <w:r>
              <w:rPr>
                <w:rFonts w:ascii="Arial" w:cs="Arial" w:eastAsia="Arial" w:hAnsi="Arial"/>
                <w:sz w:val="11"/>
                <w:szCs w:val="11"/>
                <w:color w:val="auto"/>
                <w:w w:val="90"/>
              </w:rPr>
              <w:t>Large accelerated filer</w:t>
            </w:r>
          </w:p>
        </w:tc>
        <w:tc>
          <w:tcPr>
            <w:tcW w:w="96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2040" w:type="dxa"/>
            <w:vAlign w:val="bottom"/>
          </w:tcPr>
          <w:p>
            <w:pPr>
              <w:jc w:val="center"/>
              <w:ind w:left="226"/>
              <w:spacing w:after="0"/>
              <w:rPr>
                <w:sz w:val="20"/>
                <w:szCs w:val="20"/>
                <w:color w:val="auto"/>
              </w:rPr>
            </w:pPr>
            <w:r>
              <w:rPr>
                <w:rFonts w:ascii="Arial" w:cs="Arial" w:eastAsia="Arial" w:hAnsi="Arial"/>
                <w:sz w:val="11"/>
                <w:szCs w:val="11"/>
                <w:color w:val="auto"/>
                <w:w w:val="91"/>
              </w:rPr>
              <w:t>Accelerated filer</w:t>
            </w:r>
          </w:p>
        </w:tc>
        <w:tc>
          <w:tcPr>
            <w:tcW w:w="1440" w:type="dxa"/>
            <w:vAlign w:val="bottom"/>
          </w:tcPr>
          <w:p>
            <w:pPr>
              <w:ind w:left="280"/>
              <w:spacing w:after="0" w:line="111" w:lineRule="exact"/>
              <w:rPr>
                <w:sz w:val="20"/>
                <w:szCs w:val="20"/>
                <w:color w:val="auto"/>
              </w:rPr>
            </w:pPr>
            <w:r>
              <w:rPr>
                <w:rFonts w:ascii="MS PGothic" w:cs="MS PGothic" w:eastAsia="MS PGothic" w:hAnsi="MS PGothic"/>
                <w:sz w:val="11"/>
                <w:szCs w:val="11"/>
                <w:color w:val="auto"/>
              </w:rPr>
              <w:t>☐</w:t>
            </w:r>
          </w:p>
        </w:tc>
        <w:tc>
          <w:tcPr>
            <w:tcW w:w="1500" w:type="dxa"/>
            <w:vAlign w:val="bottom"/>
          </w:tcPr>
          <w:p>
            <w:pPr>
              <w:ind w:left="220"/>
              <w:spacing w:after="0"/>
              <w:rPr>
                <w:sz w:val="20"/>
                <w:szCs w:val="20"/>
                <w:color w:val="auto"/>
              </w:rPr>
            </w:pPr>
            <w:r>
              <w:rPr>
                <w:rFonts w:ascii="Arial" w:cs="Arial" w:eastAsia="Arial" w:hAnsi="Arial"/>
                <w:sz w:val="11"/>
                <w:szCs w:val="11"/>
                <w:color w:val="auto"/>
              </w:rPr>
              <w:t>Non-accelerated filer</w:t>
            </w:r>
          </w:p>
        </w:tc>
        <w:tc>
          <w:tcPr>
            <w:tcW w:w="460" w:type="dxa"/>
            <w:vAlign w:val="bottom"/>
          </w:tcPr>
          <w:p>
            <w:pPr>
              <w:ind w:left="3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7"/>
        </w:trPr>
        <w:tc>
          <w:tcPr>
            <w:tcW w:w="1460" w:type="dxa"/>
            <w:vAlign w:val="bottom"/>
          </w:tcPr>
          <w:p>
            <w:pPr>
              <w:jc w:val="center"/>
              <w:ind w:right="226"/>
              <w:spacing w:after="0"/>
              <w:rPr>
                <w:sz w:val="20"/>
                <w:szCs w:val="20"/>
                <w:color w:val="auto"/>
              </w:rPr>
            </w:pPr>
            <w:r>
              <w:rPr>
                <w:rFonts w:ascii="Arial" w:cs="Arial" w:eastAsia="Arial" w:hAnsi="Arial"/>
                <w:sz w:val="11"/>
                <w:szCs w:val="11"/>
                <w:color w:val="auto"/>
                <w:w w:val="89"/>
              </w:rPr>
              <w:t>Smaller reporting company</w:t>
            </w:r>
          </w:p>
        </w:tc>
        <w:tc>
          <w:tcPr>
            <w:tcW w:w="96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2040" w:type="dxa"/>
            <w:vAlign w:val="bottom"/>
          </w:tcPr>
          <w:p>
            <w:pPr>
              <w:jc w:val="center"/>
              <w:ind w:left="226"/>
              <w:spacing w:after="0"/>
              <w:rPr>
                <w:sz w:val="20"/>
                <w:szCs w:val="20"/>
                <w:color w:val="auto"/>
              </w:rPr>
            </w:pPr>
            <w:r>
              <w:rPr>
                <w:rFonts w:ascii="Arial" w:cs="Arial" w:eastAsia="Arial" w:hAnsi="Arial"/>
                <w:sz w:val="11"/>
                <w:szCs w:val="11"/>
                <w:color w:val="auto"/>
                <w:w w:val="88"/>
              </w:rPr>
              <w:t>Emerging growth company</w:t>
            </w:r>
          </w:p>
        </w:tc>
        <w:tc>
          <w:tcPr>
            <w:tcW w:w="1440" w:type="dxa"/>
            <w:vAlign w:val="bottom"/>
          </w:tcPr>
          <w:p>
            <w:pPr>
              <w:ind w:left="280"/>
              <w:spacing w:after="0" w:line="111" w:lineRule="exact"/>
              <w:rPr>
                <w:sz w:val="20"/>
                <w:szCs w:val="20"/>
                <w:color w:val="auto"/>
              </w:rPr>
            </w:pPr>
            <w:r>
              <w:rPr>
                <w:rFonts w:ascii="MS PGothic" w:cs="MS PGothic" w:eastAsia="MS PGothic" w:hAnsi="MS PGothic"/>
                <w:sz w:val="11"/>
                <w:szCs w:val="11"/>
                <w:color w:val="auto"/>
              </w:rPr>
              <w:t>☒</w:t>
            </w: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127" w:lineRule="exact"/>
        <w:rPr>
          <w:sz w:val="24"/>
          <w:szCs w:val="24"/>
          <w:color w:val="auto"/>
        </w:rPr>
      </w:pPr>
    </w:p>
    <w:p>
      <w:pPr>
        <w:jc w:val="center"/>
        <w:spacing w:after="0" w:line="19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The number of shares outstanding of the registrant’s Common Stock was 33,489,778 as of October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352425</wp:posOffset>
            </wp:positionV>
            <wp:extent cx="719201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TABLE OF CONTENTS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1"/>
                <w:szCs w:val="11"/>
                <w:b w:val="1"/>
                <w:bCs w:val="1"/>
                <w:color w:val="auto"/>
              </w:rPr>
              <w:t>Page</w:t>
            </w:r>
          </w:p>
        </w:tc>
      </w:tr>
      <w:tr>
        <w:trPr>
          <w:trHeight w:val="170"/>
        </w:trPr>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10"/>
          </w:tcPr>
          <w:p>
            <w:pPr>
              <w:jc w:val="center"/>
              <w:ind w:right="3280"/>
              <w:spacing w:after="0"/>
              <w:rPr>
                <w:sz w:val="20"/>
                <w:szCs w:val="20"/>
                <w:color w:val="auto"/>
              </w:rPr>
            </w:pPr>
            <w:r>
              <w:rPr>
                <w:rFonts w:ascii="Arial" w:cs="Arial" w:eastAsia="Arial" w:hAnsi="Arial"/>
                <w:sz w:val="13"/>
                <w:szCs w:val="13"/>
                <w:b w:val="1"/>
                <w:bCs w:val="1"/>
                <w:color w:val="auto"/>
              </w:rPr>
              <w:t>PART I-FINANCIAL INFORMATION</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80" w:type="dxa"/>
            <w:vAlign w:val="bottom"/>
            <w:tcBorders>
              <w:bottom w:val="single" w:sz="8" w:color="0000FF"/>
            </w:tcBorders>
          </w:tcPr>
          <w:p>
            <w:pPr>
              <w:spacing w:after="0" w:line="143" w:lineRule="exact"/>
              <w:rPr>
                <w:rFonts w:ascii="Arial" w:cs="Arial" w:eastAsia="Arial" w:hAnsi="Arial"/>
                <w:sz w:val="13"/>
                <w:szCs w:val="13"/>
                <w:color w:val="0000FF"/>
                <w:w w:val="90"/>
              </w:rPr>
            </w:pPr>
            <w:hyperlink w:anchor="page4">
              <w:r>
                <w:rPr>
                  <w:rFonts w:ascii="Arial" w:cs="Arial" w:eastAsia="Arial" w:hAnsi="Arial"/>
                  <w:sz w:val="13"/>
                  <w:szCs w:val="13"/>
                  <w:color w:val="0000FF"/>
                  <w:w w:val="90"/>
                </w:rPr>
                <w:t>Item 1.</w:t>
              </w:r>
            </w:hyperlink>
          </w:p>
        </w:tc>
        <w:tc>
          <w:tcPr>
            <w:tcW w:w="860" w:type="dxa"/>
            <w:vAlign w:val="bottom"/>
            <w:gridSpan w:val="3"/>
          </w:tcPr>
          <w:p>
            <w:pPr>
              <w:spacing w:after="0"/>
              <w:rPr>
                <w:sz w:val="12"/>
                <w:szCs w:val="12"/>
                <w:color w:val="auto"/>
              </w:rPr>
            </w:pPr>
          </w:p>
        </w:tc>
        <w:tc>
          <w:tcPr>
            <w:tcW w:w="1140" w:type="dxa"/>
            <w:vAlign w:val="bottom"/>
            <w:tcBorders>
              <w:bottom w:val="single" w:sz="8" w:color="0000FF"/>
            </w:tcBorders>
            <w:gridSpan w:val="5"/>
          </w:tcPr>
          <w:p>
            <w:pPr>
              <w:spacing w:after="0" w:line="143" w:lineRule="exact"/>
              <w:rPr>
                <w:rFonts w:ascii="Arial" w:cs="Arial" w:eastAsia="Arial" w:hAnsi="Arial"/>
                <w:sz w:val="13"/>
                <w:szCs w:val="13"/>
                <w:color w:val="0000FF"/>
                <w:w w:val="92"/>
              </w:rPr>
            </w:pPr>
            <w:hyperlink w:anchor="page4">
              <w:r>
                <w:rPr>
                  <w:rFonts w:ascii="Arial" w:cs="Arial" w:eastAsia="Arial" w:hAnsi="Arial"/>
                  <w:sz w:val="13"/>
                  <w:szCs w:val="13"/>
                  <w:color w:val="0000FF"/>
                  <w:w w:val="92"/>
                </w:rPr>
                <w:t>Financial Statements</w:t>
              </w:r>
            </w:hyperlink>
          </w:p>
        </w:tc>
        <w:tc>
          <w:tcPr>
            <w:tcW w:w="8380" w:type="dxa"/>
            <w:vAlign w:val="bottom"/>
            <w:gridSpan w:val="19"/>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0000FF"/>
            </w:tcBorders>
          </w:tcPr>
          <w:p>
            <w:pPr>
              <w:jc w:val="right"/>
              <w:spacing w:after="0" w:line="143" w:lineRule="exact"/>
              <w:rPr>
                <w:rFonts w:ascii="Arial" w:cs="Arial" w:eastAsia="Arial" w:hAnsi="Arial"/>
                <w:sz w:val="13"/>
                <w:szCs w:val="13"/>
                <w:color w:val="0000FF"/>
                <w:w w:val="82"/>
              </w:rPr>
            </w:pPr>
            <w:hyperlink w:anchor="page4">
              <w:r>
                <w:rPr>
                  <w:rFonts w:ascii="Arial" w:cs="Arial" w:eastAsia="Arial" w:hAnsi="Arial"/>
                  <w:sz w:val="13"/>
                  <w:szCs w:val="13"/>
                  <w:color w:val="0000FF"/>
                  <w:w w:val="82"/>
                </w:rPr>
                <w:t>4</w:t>
              </w:r>
            </w:hyperlink>
          </w:p>
        </w:tc>
      </w:tr>
      <w:tr>
        <w:trPr>
          <w:trHeight w:val="152"/>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60" w:type="dxa"/>
            <w:vAlign w:val="bottom"/>
            <w:gridSpan w:val="23"/>
          </w:tcPr>
          <w:p>
            <w:pPr>
              <w:spacing w:after="0"/>
              <w:rPr>
                <w:rFonts w:ascii="Arial" w:cs="Arial" w:eastAsia="Arial" w:hAnsi="Arial"/>
                <w:sz w:val="13"/>
                <w:szCs w:val="13"/>
                <w:color w:val="0000FF"/>
              </w:rPr>
            </w:pPr>
            <w:hyperlink w:anchor="page5">
              <w:r>
                <w:rPr>
                  <w:rFonts w:ascii="Arial" w:cs="Arial" w:eastAsia="Arial" w:hAnsi="Arial"/>
                  <w:sz w:val="13"/>
                  <w:szCs w:val="13"/>
                  <w:color w:val="0000FF"/>
                </w:rPr>
                <w:t xml:space="preserve">Condensed Consolidated Balance Sheets </w:t>
              </w:r>
            </w:hyperlink>
            <w:hyperlink w:anchor="page4">
              <w:r>
                <w:rPr>
                  <w:rFonts w:ascii="Arial" w:cs="Arial" w:eastAsia="Arial" w:hAnsi="Arial"/>
                  <w:sz w:val="13"/>
                  <w:szCs w:val="13"/>
                  <w:color w:val="0000FF"/>
                </w:rPr>
                <w:t>(Unaudited)</w:t>
              </w:r>
            </w:hyperlink>
          </w:p>
        </w:tc>
        <w:tc>
          <w:tcPr>
            <w:tcW w:w="500" w:type="dxa"/>
            <w:vAlign w:val="bottom"/>
            <w:gridSpan w:val="2"/>
          </w:tcPr>
          <w:p>
            <w:pPr>
              <w:jc w:val="right"/>
              <w:spacing w:after="0"/>
              <w:rPr>
                <w:rFonts w:ascii="Arial" w:cs="Arial" w:eastAsia="Arial" w:hAnsi="Arial"/>
                <w:sz w:val="13"/>
                <w:szCs w:val="13"/>
                <w:color w:val="0000FF"/>
              </w:rPr>
            </w:pPr>
            <w:hyperlink w:anchor="page5">
              <w:r>
                <w:rPr>
                  <w:rFonts w:ascii="Arial" w:cs="Arial" w:eastAsia="Arial" w:hAnsi="Arial"/>
                  <w:sz w:val="13"/>
                  <w:szCs w:val="13"/>
                  <w:color w:val="0000FF"/>
                </w:rPr>
                <w:t>4</w:t>
              </w:r>
            </w:hyperlink>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60" w:type="dxa"/>
            <w:vAlign w:val="bottom"/>
            <w:gridSpan w:val="23"/>
          </w:tcPr>
          <w:p>
            <w:pPr>
              <w:spacing w:after="0"/>
              <w:rPr>
                <w:rFonts w:ascii="Arial" w:cs="Arial" w:eastAsia="Arial" w:hAnsi="Arial"/>
                <w:sz w:val="13"/>
                <w:szCs w:val="13"/>
                <w:color w:val="0000FF"/>
              </w:rPr>
            </w:pPr>
            <w:hyperlink w:anchor="page5">
              <w:r>
                <w:rPr>
                  <w:rFonts w:ascii="Arial" w:cs="Arial" w:eastAsia="Arial" w:hAnsi="Arial"/>
                  <w:sz w:val="13"/>
                  <w:szCs w:val="13"/>
                  <w:color w:val="0000FF"/>
                </w:rPr>
                <w:t xml:space="preserve">Condensed Consolidated Statements of Operations and Comprehensive Loss </w:t>
              </w:r>
            </w:hyperlink>
            <w:hyperlink w:anchor="page4">
              <w:r>
                <w:rPr>
                  <w:rFonts w:ascii="Arial" w:cs="Arial" w:eastAsia="Arial" w:hAnsi="Arial"/>
                  <w:sz w:val="13"/>
                  <w:szCs w:val="13"/>
                  <w:color w:val="0000FF"/>
                </w:rPr>
                <w:t>(Unaudited)</w:t>
              </w:r>
            </w:hyperlink>
          </w:p>
        </w:tc>
        <w:tc>
          <w:tcPr>
            <w:tcW w:w="500" w:type="dxa"/>
            <w:vAlign w:val="bottom"/>
            <w:gridSpan w:val="2"/>
          </w:tcPr>
          <w:p>
            <w:pPr>
              <w:jc w:val="right"/>
              <w:spacing w:after="0"/>
              <w:rPr>
                <w:rFonts w:ascii="Arial" w:cs="Arial" w:eastAsia="Arial" w:hAnsi="Arial"/>
                <w:sz w:val="13"/>
                <w:szCs w:val="13"/>
                <w:color w:val="0000FF"/>
              </w:rPr>
            </w:pPr>
            <w:hyperlink w:anchor="page5">
              <w:r>
                <w:rPr>
                  <w:rFonts w:ascii="Arial" w:cs="Arial" w:eastAsia="Arial" w:hAnsi="Arial"/>
                  <w:sz w:val="13"/>
                  <w:szCs w:val="13"/>
                  <w:color w:val="0000FF"/>
                </w:rPr>
                <w:t>5</w:t>
              </w:r>
            </w:hyperlink>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60" w:type="dxa"/>
            <w:vAlign w:val="bottom"/>
            <w:gridSpan w:val="23"/>
          </w:tcPr>
          <w:p>
            <w:pPr>
              <w:spacing w:after="0"/>
              <w:rPr>
                <w:rFonts w:ascii="Arial" w:cs="Arial" w:eastAsia="Arial" w:hAnsi="Arial"/>
                <w:sz w:val="13"/>
                <w:szCs w:val="13"/>
                <w:color w:val="0000FF"/>
              </w:rPr>
            </w:pPr>
            <w:hyperlink w:anchor="page6">
              <w:r>
                <w:rPr>
                  <w:rFonts w:ascii="Arial" w:cs="Arial" w:eastAsia="Arial" w:hAnsi="Arial"/>
                  <w:sz w:val="13"/>
                  <w:szCs w:val="13"/>
                  <w:color w:val="0000FF"/>
                </w:rPr>
                <w:t xml:space="preserve">Condensed Consolidated Statements of Changes in Stockholders' Equity </w:t>
              </w:r>
            </w:hyperlink>
            <w:hyperlink w:anchor="page4">
              <w:r>
                <w:rPr>
                  <w:rFonts w:ascii="Arial" w:cs="Arial" w:eastAsia="Arial" w:hAnsi="Arial"/>
                  <w:sz w:val="13"/>
                  <w:szCs w:val="13"/>
                  <w:color w:val="0000FF"/>
                </w:rPr>
                <w:t>(Unaudited)</w:t>
              </w:r>
            </w:hyperlink>
          </w:p>
        </w:tc>
        <w:tc>
          <w:tcPr>
            <w:tcW w:w="500" w:type="dxa"/>
            <w:vAlign w:val="bottom"/>
            <w:gridSpan w:val="2"/>
          </w:tcPr>
          <w:p>
            <w:pPr>
              <w:jc w:val="right"/>
              <w:spacing w:after="0"/>
              <w:rPr>
                <w:rFonts w:ascii="Arial" w:cs="Arial" w:eastAsia="Arial" w:hAnsi="Arial"/>
                <w:sz w:val="13"/>
                <w:szCs w:val="13"/>
                <w:color w:val="0000FF"/>
              </w:rPr>
            </w:pPr>
            <w:hyperlink w:anchor="page6">
              <w:r>
                <w:rPr>
                  <w:rFonts w:ascii="Arial" w:cs="Arial" w:eastAsia="Arial" w:hAnsi="Arial"/>
                  <w:sz w:val="13"/>
                  <w:szCs w:val="13"/>
                  <w:color w:val="0000FF"/>
                </w:rPr>
                <w:t>6</w:t>
              </w:r>
            </w:hyperlink>
          </w:p>
        </w:tc>
      </w:tr>
      <w:tr>
        <w:trPr>
          <w:trHeight w:val="152"/>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00" w:type="dxa"/>
            <w:vAlign w:val="bottom"/>
            <w:tcBorders>
              <w:top w:val="single" w:sz="8" w:color="0000FF"/>
            </w:tcBorders>
            <w:gridSpan w:val="16"/>
          </w:tcPr>
          <w:p>
            <w:pPr>
              <w:spacing w:after="0"/>
              <w:rPr>
                <w:rFonts w:ascii="Arial" w:cs="Arial" w:eastAsia="Arial" w:hAnsi="Arial"/>
                <w:sz w:val="13"/>
                <w:szCs w:val="13"/>
                <w:color w:val="0000FF"/>
              </w:rPr>
            </w:pPr>
            <w:hyperlink w:anchor="page8">
              <w:r>
                <w:rPr>
                  <w:rFonts w:ascii="Arial" w:cs="Arial" w:eastAsia="Arial" w:hAnsi="Arial"/>
                  <w:sz w:val="13"/>
                  <w:szCs w:val="13"/>
                  <w:color w:val="0000FF"/>
                </w:rPr>
                <w:t xml:space="preserve">Condensed Consolidated Statements of Cash Flows </w:t>
              </w:r>
            </w:hyperlink>
            <w:hyperlink w:anchor="page4">
              <w:r>
                <w:rPr>
                  <w:rFonts w:ascii="Arial" w:cs="Arial" w:eastAsia="Arial" w:hAnsi="Arial"/>
                  <w:sz w:val="13"/>
                  <w:szCs w:val="13"/>
                  <w:color w:val="0000FF"/>
                </w:rPr>
                <w:t>(Unaudited)</w:t>
              </w:r>
            </w:hyperlink>
          </w:p>
        </w:tc>
        <w:tc>
          <w:tcPr>
            <w:tcW w:w="40" w:type="dxa"/>
            <w:vAlign w:val="bottom"/>
          </w:tcPr>
          <w:p>
            <w:pPr>
              <w:spacing w:after="0"/>
              <w:rPr>
                <w:sz w:val="13"/>
                <w:szCs w:val="13"/>
                <w:color w:val="auto"/>
              </w:rPr>
            </w:pPr>
          </w:p>
        </w:tc>
        <w:tc>
          <w:tcPr>
            <w:tcW w:w="640" w:type="dxa"/>
            <w:vAlign w:val="bottom"/>
            <w:tcBorders>
              <w:top w:val="single" w:sz="8" w:color="0000FF"/>
            </w:tcBorders>
            <w:gridSpan w:val="3"/>
          </w:tcPr>
          <w:p>
            <w:pPr>
              <w:spacing w:after="0"/>
              <w:rPr>
                <w:sz w:val="13"/>
                <w:szCs w:val="13"/>
                <w:color w:val="auto"/>
              </w:rPr>
            </w:pPr>
          </w:p>
        </w:tc>
        <w:tc>
          <w:tcPr>
            <w:tcW w:w="4680" w:type="dxa"/>
            <w:vAlign w:val="bottom"/>
            <w:gridSpan w:val="3"/>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0000FF"/>
            </w:tcBorders>
          </w:tcPr>
          <w:p>
            <w:pPr>
              <w:jc w:val="right"/>
              <w:spacing w:after="0"/>
              <w:rPr>
                <w:rFonts w:ascii="Arial" w:cs="Arial" w:eastAsia="Arial" w:hAnsi="Arial"/>
                <w:sz w:val="13"/>
                <w:szCs w:val="13"/>
                <w:color w:val="0000FF"/>
                <w:w w:val="82"/>
              </w:rPr>
            </w:pPr>
            <w:hyperlink w:anchor="page8">
              <w:r>
                <w:rPr>
                  <w:rFonts w:ascii="Arial" w:cs="Arial" w:eastAsia="Arial" w:hAnsi="Arial"/>
                  <w:sz w:val="13"/>
                  <w:szCs w:val="13"/>
                  <w:color w:val="0000FF"/>
                  <w:w w:val="82"/>
                </w:rPr>
                <w:t>8</w:t>
              </w:r>
            </w:hyperlink>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60" w:type="dxa"/>
            <w:vAlign w:val="bottom"/>
            <w:gridSpan w:val="23"/>
          </w:tcPr>
          <w:p>
            <w:pPr>
              <w:spacing w:after="0"/>
              <w:rPr>
                <w:rFonts w:ascii="Arial" w:cs="Arial" w:eastAsia="Arial" w:hAnsi="Arial"/>
                <w:sz w:val="13"/>
                <w:szCs w:val="13"/>
                <w:color w:val="0000FF"/>
              </w:rPr>
            </w:pPr>
            <w:hyperlink w:anchor="page9">
              <w:r>
                <w:rPr>
                  <w:rFonts w:ascii="Arial" w:cs="Arial" w:eastAsia="Arial" w:hAnsi="Arial"/>
                  <w:sz w:val="13"/>
                  <w:szCs w:val="13"/>
                  <w:color w:val="0000FF"/>
                </w:rPr>
                <w:t xml:space="preserve">Notes to Condensed Consolidated Financial Statements </w:t>
              </w:r>
            </w:hyperlink>
            <w:hyperlink w:anchor="page4">
              <w:r>
                <w:rPr>
                  <w:rFonts w:ascii="Arial" w:cs="Arial" w:eastAsia="Arial" w:hAnsi="Arial"/>
                  <w:sz w:val="13"/>
                  <w:szCs w:val="13"/>
                  <w:color w:val="0000FF"/>
                </w:rPr>
                <w:t>(Unaudited)</w:t>
              </w:r>
            </w:hyperlink>
          </w:p>
        </w:tc>
        <w:tc>
          <w:tcPr>
            <w:tcW w:w="500" w:type="dxa"/>
            <w:vAlign w:val="bottom"/>
            <w:gridSpan w:val="2"/>
          </w:tcPr>
          <w:p>
            <w:pPr>
              <w:jc w:val="right"/>
              <w:spacing w:after="0"/>
              <w:rPr>
                <w:rFonts w:ascii="Arial" w:cs="Arial" w:eastAsia="Arial" w:hAnsi="Arial"/>
                <w:sz w:val="13"/>
                <w:szCs w:val="13"/>
                <w:color w:val="0000FF"/>
              </w:rPr>
            </w:pPr>
            <w:hyperlink w:anchor="page9">
              <w:r>
                <w:rPr>
                  <w:rFonts w:ascii="Arial" w:cs="Arial" w:eastAsia="Arial" w:hAnsi="Arial"/>
                  <w:sz w:val="13"/>
                  <w:szCs w:val="13"/>
                  <w:color w:val="0000FF"/>
                </w:rPr>
                <w:t>9</w:t>
              </w:r>
            </w:hyperlink>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380" w:type="dxa"/>
            <w:vAlign w:val="bottom"/>
          </w:tcPr>
          <w:p>
            <w:pPr>
              <w:spacing w:after="0"/>
              <w:rPr>
                <w:rFonts w:ascii="Arial" w:cs="Arial" w:eastAsia="Arial" w:hAnsi="Arial"/>
                <w:sz w:val="13"/>
                <w:szCs w:val="13"/>
                <w:color w:val="0000FF"/>
                <w:w w:val="90"/>
              </w:rPr>
            </w:pPr>
            <w:hyperlink w:anchor="page21">
              <w:r>
                <w:rPr>
                  <w:rFonts w:ascii="Arial" w:cs="Arial" w:eastAsia="Arial" w:hAnsi="Arial"/>
                  <w:sz w:val="13"/>
                  <w:szCs w:val="13"/>
                  <w:color w:val="0000FF"/>
                  <w:w w:val="90"/>
                </w:rPr>
                <w:t>Item 2.</w:t>
              </w:r>
            </w:hyperlink>
          </w:p>
        </w:tc>
        <w:tc>
          <w:tcPr>
            <w:tcW w:w="860" w:type="dxa"/>
            <w:vAlign w:val="bottom"/>
            <w:gridSpan w:val="3"/>
          </w:tcPr>
          <w:p>
            <w:pPr>
              <w:spacing w:after="0"/>
              <w:rPr>
                <w:sz w:val="13"/>
                <w:szCs w:val="13"/>
                <w:color w:val="auto"/>
              </w:rPr>
            </w:pPr>
          </w:p>
        </w:tc>
        <w:tc>
          <w:tcPr>
            <w:tcW w:w="4860" w:type="dxa"/>
            <w:vAlign w:val="bottom"/>
            <w:gridSpan w:val="22"/>
          </w:tcPr>
          <w:p>
            <w:pPr>
              <w:spacing w:after="0"/>
              <w:rPr>
                <w:rFonts w:ascii="Arial" w:cs="Arial" w:eastAsia="Arial" w:hAnsi="Arial"/>
                <w:sz w:val="13"/>
                <w:szCs w:val="13"/>
                <w:color w:val="0000FF"/>
                <w:w w:val="94"/>
              </w:rPr>
            </w:pPr>
            <w:hyperlink w:anchor="page21">
              <w:r>
                <w:rPr>
                  <w:rFonts w:ascii="Arial" w:cs="Arial" w:eastAsia="Arial" w:hAnsi="Arial"/>
                  <w:sz w:val="13"/>
                  <w:szCs w:val="13"/>
                  <w:color w:val="0000FF"/>
                  <w:w w:val="94"/>
                </w:rPr>
                <w:t>Management’s Discussion and Analysis of Financial Condition and Results of Operations</w:t>
              </w:r>
            </w:hyperlink>
          </w:p>
        </w:tc>
        <w:tc>
          <w:tcPr>
            <w:tcW w:w="4660" w:type="dxa"/>
            <w:vAlign w:val="bottom"/>
            <w:gridSpan w:val="2"/>
          </w:tcPr>
          <w:p>
            <w:pPr>
              <w:spacing w:after="0"/>
              <w:rPr>
                <w:sz w:val="13"/>
                <w:szCs w:val="13"/>
                <w:color w:val="auto"/>
              </w:rPr>
            </w:pPr>
          </w:p>
        </w:tc>
        <w:tc>
          <w:tcPr>
            <w:tcW w:w="500" w:type="dxa"/>
            <w:vAlign w:val="bottom"/>
            <w:gridSpan w:val="2"/>
          </w:tcPr>
          <w:p>
            <w:pPr>
              <w:jc w:val="right"/>
              <w:spacing w:after="0"/>
              <w:rPr>
                <w:rFonts w:ascii="Arial" w:cs="Arial" w:eastAsia="Arial" w:hAnsi="Arial"/>
                <w:sz w:val="13"/>
                <w:szCs w:val="13"/>
                <w:color w:val="0000FF"/>
              </w:rPr>
            </w:pPr>
            <w:hyperlink w:anchor="page21">
              <w:r>
                <w:rPr>
                  <w:rFonts w:ascii="Arial" w:cs="Arial" w:eastAsia="Arial" w:hAnsi="Arial"/>
                  <w:sz w:val="13"/>
                  <w:szCs w:val="13"/>
                  <w:color w:val="0000FF"/>
                </w:rPr>
                <w:t>21</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380" w:type="dxa"/>
            <w:vAlign w:val="bottom"/>
          </w:tcPr>
          <w:p>
            <w:pPr>
              <w:spacing w:after="0"/>
              <w:rPr>
                <w:rFonts w:ascii="Arial" w:cs="Arial" w:eastAsia="Arial" w:hAnsi="Arial"/>
                <w:sz w:val="13"/>
                <w:szCs w:val="13"/>
                <w:color w:val="0000FF"/>
                <w:w w:val="90"/>
              </w:rPr>
            </w:pPr>
            <w:hyperlink w:anchor="page34">
              <w:r>
                <w:rPr>
                  <w:rFonts w:ascii="Arial" w:cs="Arial" w:eastAsia="Arial" w:hAnsi="Arial"/>
                  <w:sz w:val="13"/>
                  <w:szCs w:val="13"/>
                  <w:color w:val="0000FF"/>
                  <w:w w:val="90"/>
                </w:rPr>
                <w:t>Item 3.</w:t>
              </w:r>
            </w:hyperlink>
          </w:p>
        </w:tc>
        <w:tc>
          <w:tcPr>
            <w:tcW w:w="860" w:type="dxa"/>
            <w:vAlign w:val="bottom"/>
            <w:gridSpan w:val="3"/>
          </w:tcPr>
          <w:p>
            <w:pPr>
              <w:spacing w:after="0"/>
              <w:rPr>
                <w:sz w:val="13"/>
                <w:szCs w:val="13"/>
                <w:color w:val="auto"/>
              </w:rPr>
            </w:pPr>
          </w:p>
        </w:tc>
        <w:tc>
          <w:tcPr>
            <w:tcW w:w="3280" w:type="dxa"/>
            <w:vAlign w:val="bottom"/>
            <w:gridSpan w:val="14"/>
          </w:tcPr>
          <w:p>
            <w:pPr>
              <w:spacing w:after="0"/>
              <w:rPr>
                <w:rFonts w:ascii="Arial" w:cs="Arial" w:eastAsia="Arial" w:hAnsi="Arial"/>
                <w:sz w:val="13"/>
                <w:szCs w:val="13"/>
                <w:color w:val="0000FF"/>
                <w:w w:val="95"/>
              </w:rPr>
            </w:pPr>
            <w:hyperlink w:anchor="page34">
              <w:r>
                <w:rPr>
                  <w:rFonts w:ascii="Arial" w:cs="Arial" w:eastAsia="Arial" w:hAnsi="Arial"/>
                  <w:sz w:val="13"/>
                  <w:szCs w:val="13"/>
                  <w:color w:val="0000FF"/>
                  <w:w w:val="95"/>
                </w:rPr>
                <w:t>Quantitative and Qualitative Disclosures About Market Risk</w:t>
              </w:r>
            </w:hyperlink>
          </w:p>
        </w:tc>
        <w:tc>
          <w:tcPr>
            <w:tcW w:w="1580" w:type="dxa"/>
            <w:vAlign w:val="bottom"/>
            <w:gridSpan w:val="8"/>
          </w:tcPr>
          <w:p>
            <w:pPr>
              <w:spacing w:after="0"/>
              <w:rPr>
                <w:sz w:val="13"/>
                <w:szCs w:val="13"/>
                <w:color w:val="auto"/>
              </w:rPr>
            </w:pPr>
          </w:p>
        </w:tc>
        <w:tc>
          <w:tcPr>
            <w:tcW w:w="4660" w:type="dxa"/>
            <w:vAlign w:val="bottom"/>
            <w:gridSpan w:val="2"/>
          </w:tcPr>
          <w:p>
            <w:pPr>
              <w:spacing w:after="0"/>
              <w:rPr>
                <w:sz w:val="13"/>
                <w:szCs w:val="13"/>
                <w:color w:val="auto"/>
              </w:rPr>
            </w:pPr>
          </w:p>
        </w:tc>
        <w:tc>
          <w:tcPr>
            <w:tcW w:w="500" w:type="dxa"/>
            <w:vAlign w:val="bottom"/>
            <w:gridSpan w:val="2"/>
          </w:tcPr>
          <w:p>
            <w:pPr>
              <w:jc w:val="right"/>
              <w:spacing w:after="0"/>
              <w:rPr>
                <w:rFonts w:ascii="Arial" w:cs="Arial" w:eastAsia="Arial" w:hAnsi="Arial"/>
                <w:sz w:val="13"/>
                <w:szCs w:val="13"/>
                <w:color w:val="0000FF"/>
              </w:rPr>
            </w:pPr>
            <w:hyperlink w:anchor="page34">
              <w:r>
                <w:rPr>
                  <w:rFonts w:ascii="Arial" w:cs="Arial" w:eastAsia="Arial" w:hAnsi="Arial"/>
                  <w:sz w:val="13"/>
                  <w:szCs w:val="13"/>
                  <w:color w:val="0000FF"/>
                </w:rPr>
                <w:t>33</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380" w:type="dxa"/>
            <w:vAlign w:val="bottom"/>
          </w:tcPr>
          <w:p>
            <w:pPr>
              <w:spacing w:after="0"/>
              <w:rPr>
                <w:rFonts w:ascii="Arial" w:cs="Arial" w:eastAsia="Arial" w:hAnsi="Arial"/>
                <w:sz w:val="13"/>
                <w:szCs w:val="13"/>
                <w:color w:val="0000FF"/>
                <w:w w:val="90"/>
              </w:rPr>
            </w:pPr>
            <w:hyperlink w:anchor="page34">
              <w:r>
                <w:rPr>
                  <w:rFonts w:ascii="Arial" w:cs="Arial" w:eastAsia="Arial" w:hAnsi="Arial"/>
                  <w:sz w:val="13"/>
                  <w:szCs w:val="13"/>
                  <w:color w:val="0000FF"/>
                  <w:w w:val="90"/>
                </w:rPr>
                <w:t>Item 4.</w:t>
              </w:r>
            </w:hyperlink>
          </w:p>
        </w:tc>
        <w:tc>
          <w:tcPr>
            <w:tcW w:w="860" w:type="dxa"/>
            <w:vAlign w:val="bottom"/>
            <w:gridSpan w:val="3"/>
          </w:tcPr>
          <w:p>
            <w:pPr>
              <w:spacing w:after="0"/>
              <w:rPr>
                <w:sz w:val="13"/>
                <w:szCs w:val="13"/>
                <w:color w:val="auto"/>
              </w:rPr>
            </w:pPr>
          </w:p>
        </w:tc>
        <w:tc>
          <w:tcPr>
            <w:tcW w:w="3280" w:type="dxa"/>
            <w:vAlign w:val="bottom"/>
            <w:gridSpan w:val="14"/>
          </w:tcPr>
          <w:p>
            <w:pPr>
              <w:spacing w:after="0"/>
              <w:rPr>
                <w:rFonts w:ascii="Arial" w:cs="Arial" w:eastAsia="Arial" w:hAnsi="Arial"/>
                <w:sz w:val="13"/>
                <w:szCs w:val="13"/>
                <w:color w:val="0000FF"/>
              </w:rPr>
            </w:pPr>
            <w:hyperlink w:anchor="page34">
              <w:r>
                <w:rPr>
                  <w:rFonts w:ascii="Arial" w:cs="Arial" w:eastAsia="Arial" w:hAnsi="Arial"/>
                  <w:sz w:val="13"/>
                  <w:szCs w:val="13"/>
                  <w:color w:val="0000FF"/>
                </w:rPr>
                <w:t>Controls and Procedures</w:t>
              </w:r>
            </w:hyperlink>
          </w:p>
        </w:tc>
        <w:tc>
          <w:tcPr>
            <w:tcW w:w="6240" w:type="dxa"/>
            <w:vAlign w:val="bottom"/>
            <w:gridSpan w:val="10"/>
          </w:tcPr>
          <w:p>
            <w:pPr>
              <w:spacing w:after="0"/>
              <w:rPr>
                <w:sz w:val="13"/>
                <w:szCs w:val="13"/>
                <w:color w:val="auto"/>
              </w:rPr>
            </w:pPr>
          </w:p>
        </w:tc>
        <w:tc>
          <w:tcPr>
            <w:tcW w:w="500" w:type="dxa"/>
            <w:vAlign w:val="bottom"/>
            <w:gridSpan w:val="2"/>
          </w:tcPr>
          <w:p>
            <w:pPr>
              <w:jc w:val="right"/>
              <w:spacing w:after="0"/>
              <w:rPr>
                <w:rFonts w:ascii="Arial" w:cs="Arial" w:eastAsia="Arial" w:hAnsi="Arial"/>
                <w:sz w:val="13"/>
                <w:szCs w:val="13"/>
                <w:color w:val="0000FF"/>
              </w:rPr>
            </w:pPr>
            <w:hyperlink w:anchor="page34">
              <w:r>
                <w:rPr>
                  <w:rFonts w:ascii="Arial" w:cs="Arial" w:eastAsia="Arial" w:hAnsi="Arial"/>
                  <w:sz w:val="13"/>
                  <w:szCs w:val="13"/>
                  <w:color w:val="0000FF"/>
                </w:rPr>
                <w:t>33</w:t>
              </w:r>
            </w:hyperlink>
          </w:p>
        </w:tc>
      </w:tr>
      <w:tr>
        <w:trPr>
          <w:trHeight w:val="354"/>
        </w:trPr>
        <w:tc>
          <w:tcPr>
            <w:tcW w:w="3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0" w:type="dxa"/>
            <w:vAlign w:val="bottom"/>
            <w:gridSpan w:val="9"/>
          </w:tcPr>
          <w:p>
            <w:pPr>
              <w:jc w:val="center"/>
              <w:ind w:right="3740"/>
              <w:spacing w:after="0"/>
              <w:rPr>
                <w:sz w:val="20"/>
                <w:szCs w:val="20"/>
                <w:color w:val="auto"/>
              </w:rPr>
            </w:pPr>
            <w:r>
              <w:rPr>
                <w:rFonts w:ascii="Arial" w:cs="Arial" w:eastAsia="Arial" w:hAnsi="Arial"/>
                <w:sz w:val="13"/>
                <w:szCs w:val="13"/>
                <w:b w:val="1"/>
                <w:bCs w:val="1"/>
                <w:color w:val="auto"/>
              </w:rPr>
              <w:t>PART II-OTHER INFORMATION</w:t>
            </w: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42"/>
        </w:trPr>
        <w:tc>
          <w:tcPr>
            <w:tcW w:w="380" w:type="dxa"/>
            <w:vAlign w:val="bottom"/>
          </w:tcPr>
          <w:p>
            <w:pPr>
              <w:spacing w:after="0" w:line="143" w:lineRule="exact"/>
              <w:rPr>
                <w:rFonts w:ascii="Arial" w:cs="Arial" w:eastAsia="Arial" w:hAnsi="Arial"/>
                <w:sz w:val="13"/>
                <w:szCs w:val="13"/>
                <w:color w:val="0000FF"/>
                <w:w w:val="90"/>
              </w:rPr>
            </w:pPr>
            <w:hyperlink w:anchor="page35">
              <w:r>
                <w:rPr>
                  <w:rFonts w:ascii="Arial" w:cs="Arial" w:eastAsia="Arial" w:hAnsi="Arial"/>
                  <w:sz w:val="13"/>
                  <w:szCs w:val="13"/>
                  <w:color w:val="0000FF"/>
                  <w:w w:val="90"/>
                </w:rPr>
                <w:t>Item 1.</w:t>
              </w:r>
            </w:hyperlink>
          </w:p>
        </w:tc>
        <w:tc>
          <w:tcPr>
            <w:tcW w:w="860" w:type="dxa"/>
            <w:vAlign w:val="bottom"/>
            <w:gridSpan w:val="3"/>
          </w:tcPr>
          <w:p>
            <w:pPr>
              <w:spacing w:after="0"/>
              <w:rPr>
                <w:sz w:val="12"/>
                <w:szCs w:val="12"/>
                <w:color w:val="auto"/>
              </w:rPr>
            </w:pPr>
          </w:p>
        </w:tc>
        <w:tc>
          <w:tcPr>
            <w:tcW w:w="1000" w:type="dxa"/>
            <w:vAlign w:val="bottom"/>
            <w:gridSpan w:val="4"/>
          </w:tcPr>
          <w:p>
            <w:pPr>
              <w:spacing w:after="0" w:line="143" w:lineRule="exact"/>
              <w:rPr>
                <w:rFonts w:ascii="Arial" w:cs="Arial" w:eastAsia="Arial" w:hAnsi="Arial"/>
                <w:sz w:val="13"/>
                <w:szCs w:val="13"/>
                <w:color w:val="0000FF"/>
                <w:w w:val="89"/>
              </w:rPr>
            </w:pPr>
            <w:hyperlink w:anchor="page35">
              <w:r>
                <w:rPr>
                  <w:rFonts w:ascii="Arial" w:cs="Arial" w:eastAsia="Arial" w:hAnsi="Arial"/>
                  <w:sz w:val="13"/>
                  <w:szCs w:val="13"/>
                  <w:color w:val="0000FF"/>
                  <w:w w:val="89"/>
                </w:rPr>
                <w:t>Legal Proceedings</w:t>
              </w:r>
            </w:hyperlink>
          </w:p>
        </w:tc>
        <w:tc>
          <w:tcPr>
            <w:tcW w:w="8520" w:type="dxa"/>
            <w:vAlign w:val="bottom"/>
            <w:gridSpan w:val="20"/>
          </w:tcPr>
          <w:p>
            <w:pPr>
              <w:spacing w:after="0"/>
              <w:rPr>
                <w:sz w:val="12"/>
                <w:szCs w:val="12"/>
                <w:color w:val="auto"/>
              </w:rPr>
            </w:pPr>
          </w:p>
        </w:tc>
        <w:tc>
          <w:tcPr>
            <w:tcW w:w="500" w:type="dxa"/>
            <w:vAlign w:val="bottom"/>
            <w:gridSpan w:val="2"/>
          </w:tcPr>
          <w:p>
            <w:pPr>
              <w:jc w:val="right"/>
              <w:spacing w:after="0" w:line="143" w:lineRule="exact"/>
              <w:rPr>
                <w:rFonts w:ascii="Arial" w:cs="Arial" w:eastAsia="Arial" w:hAnsi="Arial"/>
                <w:sz w:val="13"/>
                <w:szCs w:val="13"/>
                <w:color w:val="0000FF"/>
              </w:rPr>
            </w:pPr>
            <w:hyperlink w:anchor="page35">
              <w:r>
                <w:rPr>
                  <w:rFonts w:ascii="Arial" w:cs="Arial" w:eastAsia="Arial" w:hAnsi="Arial"/>
                  <w:sz w:val="13"/>
                  <w:szCs w:val="13"/>
                  <w:color w:val="0000FF"/>
                </w:rPr>
                <w:t>34</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6260" w:type="dxa"/>
            <w:vAlign w:val="bottom"/>
            <w:gridSpan w:val="11"/>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480" w:type="dxa"/>
            <w:vAlign w:val="bottom"/>
            <w:gridSpan w:val="2"/>
          </w:tcPr>
          <w:p>
            <w:pPr>
              <w:spacing w:after="0"/>
              <w:rPr>
                <w:rFonts w:ascii="Arial" w:cs="Arial" w:eastAsia="Arial" w:hAnsi="Arial"/>
                <w:sz w:val="13"/>
                <w:szCs w:val="13"/>
                <w:color w:val="0000FF"/>
                <w:w w:val="94"/>
              </w:rPr>
            </w:pPr>
            <w:hyperlink w:anchor="page36">
              <w:r>
                <w:rPr>
                  <w:rFonts w:ascii="Arial" w:cs="Arial" w:eastAsia="Arial" w:hAnsi="Arial"/>
                  <w:sz w:val="13"/>
                  <w:szCs w:val="13"/>
                  <w:color w:val="0000FF"/>
                  <w:w w:val="94"/>
                </w:rPr>
                <w:t>Item 1A.</w:t>
              </w:r>
            </w:hyperlink>
          </w:p>
        </w:tc>
        <w:tc>
          <w:tcPr>
            <w:tcW w:w="760" w:type="dxa"/>
            <w:vAlign w:val="bottom"/>
            <w:gridSpan w:val="2"/>
          </w:tcPr>
          <w:p>
            <w:pPr>
              <w:spacing w:after="0"/>
              <w:rPr>
                <w:sz w:val="13"/>
                <w:szCs w:val="13"/>
                <w:color w:val="auto"/>
              </w:rPr>
            </w:pPr>
          </w:p>
        </w:tc>
        <w:tc>
          <w:tcPr>
            <w:tcW w:w="9520" w:type="dxa"/>
            <w:vAlign w:val="bottom"/>
            <w:gridSpan w:val="24"/>
          </w:tcPr>
          <w:p>
            <w:pPr>
              <w:spacing w:after="0"/>
              <w:rPr>
                <w:rFonts w:ascii="Arial" w:cs="Arial" w:eastAsia="Arial" w:hAnsi="Arial"/>
                <w:sz w:val="13"/>
                <w:szCs w:val="13"/>
                <w:color w:val="0000FF"/>
              </w:rPr>
            </w:pPr>
            <w:hyperlink w:anchor="page36">
              <w:r>
                <w:rPr>
                  <w:rFonts w:ascii="Arial" w:cs="Arial" w:eastAsia="Arial" w:hAnsi="Arial"/>
                  <w:sz w:val="13"/>
                  <w:szCs w:val="13"/>
                  <w:color w:val="0000FF"/>
                </w:rPr>
                <w:t>Risk Factors</w:t>
              </w:r>
            </w:hyperlink>
          </w:p>
        </w:tc>
        <w:tc>
          <w:tcPr>
            <w:tcW w:w="500" w:type="dxa"/>
            <w:vAlign w:val="bottom"/>
            <w:gridSpan w:val="2"/>
          </w:tcPr>
          <w:p>
            <w:pPr>
              <w:jc w:val="right"/>
              <w:spacing w:after="0"/>
              <w:rPr>
                <w:rFonts w:ascii="Arial" w:cs="Arial" w:eastAsia="Arial" w:hAnsi="Arial"/>
                <w:sz w:val="13"/>
                <w:szCs w:val="13"/>
                <w:color w:val="0000FF"/>
              </w:rPr>
            </w:pPr>
            <w:hyperlink w:anchor="page36">
              <w:r>
                <w:rPr>
                  <w:rFonts w:ascii="Arial" w:cs="Arial" w:eastAsia="Arial" w:hAnsi="Arial"/>
                  <w:sz w:val="13"/>
                  <w:szCs w:val="13"/>
                  <w:color w:val="0000FF"/>
                </w:rPr>
                <w:t>35</w:t>
              </w:r>
            </w:hyperlink>
          </w:p>
        </w:tc>
      </w:tr>
      <w:tr>
        <w:trPr>
          <w:trHeight w:val="20"/>
        </w:trPr>
        <w:tc>
          <w:tcPr>
            <w:tcW w:w="4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6260" w:type="dxa"/>
            <w:vAlign w:val="bottom"/>
            <w:gridSpan w:val="11"/>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380" w:type="dxa"/>
            <w:vAlign w:val="bottom"/>
          </w:tcPr>
          <w:p>
            <w:pPr>
              <w:spacing w:after="0"/>
              <w:rPr>
                <w:rFonts w:ascii="Arial" w:cs="Arial" w:eastAsia="Arial" w:hAnsi="Arial"/>
                <w:sz w:val="13"/>
                <w:szCs w:val="13"/>
                <w:color w:val="0000FF"/>
                <w:w w:val="90"/>
              </w:rPr>
            </w:pPr>
            <w:hyperlink w:anchor="page67">
              <w:r>
                <w:rPr>
                  <w:rFonts w:ascii="Arial" w:cs="Arial" w:eastAsia="Arial" w:hAnsi="Arial"/>
                  <w:sz w:val="13"/>
                  <w:szCs w:val="13"/>
                  <w:color w:val="0000FF"/>
                  <w:w w:val="90"/>
                </w:rPr>
                <w:t>Item 2.</w:t>
              </w:r>
            </w:hyperlink>
          </w:p>
        </w:tc>
        <w:tc>
          <w:tcPr>
            <w:tcW w:w="10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9520" w:type="dxa"/>
            <w:vAlign w:val="bottom"/>
            <w:gridSpan w:val="24"/>
          </w:tcPr>
          <w:p>
            <w:pPr>
              <w:spacing w:after="0"/>
              <w:rPr>
                <w:rFonts w:ascii="Arial" w:cs="Arial" w:eastAsia="Arial" w:hAnsi="Arial"/>
                <w:sz w:val="13"/>
                <w:szCs w:val="13"/>
                <w:color w:val="0000FF"/>
              </w:rPr>
            </w:pPr>
            <w:hyperlink w:anchor="page67">
              <w:r>
                <w:rPr>
                  <w:rFonts w:ascii="Arial" w:cs="Arial" w:eastAsia="Arial" w:hAnsi="Arial"/>
                  <w:sz w:val="13"/>
                  <w:szCs w:val="13"/>
                  <w:color w:val="0000FF"/>
                </w:rPr>
                <w:t>Unregistered Sales of Equity Securities and Use of Proceeds</w:t>
              </w:r>
            </w:hyperlink>
          </w:p>
        </w:tc>
        <w:tc>
          <w:tcPr>
            <w:tcW w:w="500" w:type="dxa"/>
            <w:vAlign w:val="bottom"/>
            <w:gridSpan w:val="2"/>
          </w:tcPr>
          <w:p>
            <w:pPr>
              <w:jc w:val="right"/>
              <w:spacing w:after="0"/>
              <w:rPr>
                <w:rFonts w:ascii="Arial" w:cs="Arial" w:eastAsia="Arial" w:hAnsi="Arial"/>
                <w:sz w:val="13"/>
                <w:szCs w:val="13"/>
                <w:color w:val="0000FF"/>
              </w:rPr>
            </w:pPr>
            <w:hyperlink w:anchor="page67">
              <w:r>
                <w:rPr>
                  <w:rFonts w:ascii="Arial" w:cs="Arial" w:eastAsia="Arial" w:hAnsi="Arial"/>
                  <w:sz w:val="13"/>
                  <w:szCs w:val="13"/>
                  <w:color w:val="0000FF"/>
                </w:rPr>
                <w:t>67</w:t>
              </w:r>
            </w:hyperlink>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6260" w:type="dxa"/>
            <w:vAlign w:val="bottom"/>
            <w:gridSpan w:val="11"/>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380" w:type="dxa"/>
            <w:vAlign w:val="bottom"/>
          </w:tcPr>
          <w:p>
            <w:pPr>
              <w:spacing w:after="0"/>
              <w:rPr>
                <w:rFonts w:ascii="Arial" w:cs="Arial" w:eastAsia="Arial" w:hAnsi="Arial"/>
                <w:sz w:val="13"/>
                <w:szCs w:val="13"/>
                <w:color w:val="0000FF"/>
                <w:w w:val="90"/>
              </w:rPr>
            </w:pPr>
            <w:hyperlink w:anchor="page68">
              <w:r>
                <w:rPr>
                  <w:rFonts w:ascii="Arial" w:cs="Arial" w:eastAsia="Arial" w:hAnsi="Arial"/>
                  <w:sz w:val="13"/>
                  <w:szCs w:val="13"/>
                  <w:color w:val="0000FF"/>
                  <w:w w:val="90"/>
                </w:rPr>
                <w:t>Item 3.</w:t>
              </w:r>
            </w:hyperlink>
          </w:p>
        </w:tc>
        <w:tc>
          <w:tcPr>
            <w:tcW w:w="860" w:type="dxa"/>
            <w:vAlign w:val="bottom"/>
            <w:gridSpan w:val="3"/>
          </w:tcPr>
          <w:p>
            <w:pPr>
              <w:spacing w:after="0"/>
              <w:rPr>
                <w:sz w:val="13"/>
                <w:szCs w:val="13"/>
                <w:color w:val="auto"/>
              </w:rPr>
            </w:pPr>
          </w:p>
        </w:tc>
        <w:tc>
          <w:tcPr>
            <w:tcW w:w="1760" w:type="dxa"/>
            <w:vAlign w:val="bottom"/>
            <w:gridSpan w:val="7"/>
          </w:tcPr>
          <w:p>
            <w:pPr>
              <w:spacing w:after="0"/>
              <w:rPr>
                <w:rFonts w:ascii="Arial" w:cs="Arial" w:eastAsia="Arial" w:hAnsi="Arial"/>
                <w:sz w:val="13"/>
                <w:szCs w:val="13"/>
                <w:color w:val="0000FF"/>
                <w:w w:val="94"/>
              </w:rPr>
            </w:pPr>
            <w:hyperlink w:anchor="page68">
              <w:r>
                <w:rPr>
                  <w:rFonts w:ascii="Arial" w:cs="Arial" w:eastAsia="Arial" w:hAnsi="Arial"/>
                  <w:sz w:val="13"/>
                  <w:szCs w:val="13"/>
                  <w:color w:val="0000FF"/>
                  <w:w w:val="94"/>
                </w:rPr>
                <w:t>Defaults Upon Senior Securities</w:t>
              </w:r>
            </w:hyperlink>
          </w:p>
        </w:tc>
        <w:tc>
          <w:tcPr>
            <w:tcW w:w="1500" w:type="dxa"/>
            <w:vAlign w:val="bottom"/>
            <w:gridSpan w:val="6"/>
          </w:tcPr>
          <w:p>
            <w:pPr>
              <w:spacing w:after="0"/>
              <w:rPr>
                <w:sz w:val="13"/>
                <w:szCs w:val="13"/>
                <w:color w:val="auto"/>
              </w:rPr>
            </w:pPr>
          </w:p>
        </w:tc>
        <w:tc>
          <w:tcPr>
            <w:tcW w:w="6260" w:type="dxa"/>
            <w:vAlign w:val="bottom"/>
            <w:gridSpan w:val="11"/>
          </w:tcPr>
          <w:p>
            <w:pPr>
              <w:spacing w:after="0"/>
              <w:rPr>
                <w:sz w:val="13"/>
                <w:szCs w:val="13"/>
                <w:color w:val="auto"/>
              </w:rPr>
            </w:pPr>
          </w:p>
        </w:tc>
        <w:tc>
          <w:tcPr>
            <w:tcW w:w="500" w:type="dxa"/>
            <w:vAlign w:val="bottom"/>
            <w:gridSpan w:val="2"/>
          </w:tcPr>
          <w:p>
            <w:pPr>
              <w:jc w:val="right"/>
              <w:spacing w:after="0"/>
              <w:rPr>
                <w:rFonts w:ascii="Arial" w:cs="Arial" w:eastAsia="Arial" w:hAnsi="Arial"/>
                <w:sz w:val="13"/>
                <w:szCs w:val="13"/>
                <w:color w:val="0000FF"/>
              </w:rPr>
            </w:pPr>
            <w:hyperlink w:anchor="page68">
              <w:r>
                <w:rPr>
                  <w:rFonts w:ascii="Arial" w:cs="Arial" w:eastAsia="Arial" w:hAnsi="Arial"/>
                  <w:sz w:val="13"/>
                  <w:szCs w:val="13"/>
                  <w:color w:val="0000FF"/>
                </w:rPr>
                <w:t>67</w:t>
              </w:r>
            </w:hyperlink>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7760" w:type="dxa"/>
            <w:vAlign w:val="bottom"/>
            <w:gridSpan w:val="1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380" w:type="dxa"/>
            <w:vAlign w:val="bottom"/>
          </w:tcPr>
          <w:p>
            <w:pPr>
              <w:spacing w:after="0"/>
              <w:rPr>
                <w:rFonts w:ascii="Arial" w:cs="Arial" w:eastAsia="Arial" w:hAnsi="Arial"/>
                <w:sz w:val="13"/>
                <w:szCs w:val="13"/>
                <w:color w:val="0000FF"/>
                <w:w w:val="90"/>
              </w:rPr>
            </w:pPr>
            <w:hyperlink w:anchor="page68">
              <w:r>
                <w:rPr>
                  <w:rFonts w:ascii="Arial" w:cs="Arial" w:eastAsia="Arial" w:hAnsi="Arial"/>
                  <w:sz w:val="13"/>
                  <w:szCs w:val="13"/>
                  <w:color w:val="0000FF"/>
                  <w:w w:val="90"/>
                </w:rPr>
                <w:t>Item 4.</w:t>
              </w:r>
            </w:hyperlink>
          </w:p>
        </w:tc>
        <w:tc>
          <w:tcPr>
            <w:tcW w:w="860" w:type="dxa"/>
            <w:vAlign w:val="bottom"/>
            <w:gridSpan w:val="3"/>
          </w:tcPr>
          <w:p>
            <w:pPr>
              <w:spacing w:after="0"/>
              <w:rPr>
                <w:sz w:val="13"/>
                <w:szCs w:val="13"/>
                <w:color w:val="auto"/>
              </w:rPr>
            </w:pPr>
          </w:p>
        </w:tc>
        <w:tc>
          <w:tcPr>
            <w:tcW w:w="1340" w:type="dxa"/>
            <w:vAlign w:val="bottom"/>
            <w:gridSpan w:val="6"/>
          </w:tcPr>
          <w:p>
            <w:pPr>
              <w:spacing w:after="0"/>
              <w:rPr>
                <w:rFonts w:ascii="Arial" w:cs="Arial" w:eastAsia="Arial" w:hAnsi="Arial"/>
                <w:sz w:val="13"/>
                <w:szCs w:val="13"/>
                <w:color w:val="0000FF"/>
                <w:w w:val="94"/>
              </w:rPr>
            </w:pPr>
            <w:hyperlink w:anchor="page68">
              <w:r>
                <w:rPr>
                  <w:rFonts w:ascii="Arial" w:cs="Arial" w:eastAsia="Arial" w:hAnsi="Arial"/>
                  <w:sz w:val="13"/>
                  <w:szCs w:val="13"/>
                  <w:color w:val="0000FF"/>
                  <w:w w:val="94"/>
                </w:rPr>
                <w:t>Mine Safety Disclosures</w:t>
              </w:r>
            </w:hyperlink>
          </w:p>
        </w:tc>
        <w:tc>
          <w:tcPr>
            <w:tcW w:w="420" w:type="dxa"/>
            <w:vAlign w:val="bottom"/>
          </w:tcPr>
          <w:p>
            <w:pPr>
              <w:spacing w:after="0"/>
              <w:rPr>
                <w:sz w:val="13"/>
                <w:szCs w:val="13"/>
                <w:color w:val="auto"/>
              </w:rPr>
            </w:pPr>
          </w:p>
        </w:tc>
        <w:tc>
          <w:tcPr>
            <w:tcW w:w="7760" w:type="dxa"/>
            <w:vAlign w:val="bottom"/>
            <w:gridSpan w:val="17"/>
          </w:tcPr>
          <w:p>
            <w:pPr>
              <w:spacing w:after="0"/>
              <w:rPr>
                <w:sz w:val="13"/>
                <w:szCs w:val="13"/>
                <w:color w:val="auto"/>
              </w:rPr>
            </w:pPr>
          </w:p>
        </w:tc>
        <w:tc>
          <w:tcPr>
            <w:tcW w:w="500" w:type="dxa"/>
            <w:vAlign w:val="bottom"/>
            <w:gridSpan w:val="2"/>
          </w:tcPr>
          <w:p>
            <w:pPr>
              <w:jc w:val="right"/>
              <w:spacing w:after="0"/>
              <w:rPr>
                <w:rFonts w:ascii="Arial" w:cs="Arial" w:eastAsia="Arial" w:hAnsi="Arial"/>
                <w:sz w:val="13"/>
                <w:szCs w:val="13"/>
                <w:color w:val="0000FF"/>
              </w:rPr>
            </w:pPr>
            <w:hyperlink w:anchor="page68">
              <w:r>
                <w:rPr>
                  <w:rFonts w:ascii="Arial" w:cs="Arial" w:eastAsia="Arial" w:hAnsi="Arial"/>
                  <w:sz w:val="13"/>
                  <w:szCs w:val="13"/>
                  <w:color w:val="0000FF"/>
                </w:rPr>
                <w:t>67</w:t>
              </w:r>
            </w:hyperlink>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180" w:type="dxa"/>
            <w:vAlign w:val="bottom"/>
            <w:gridSpan w:val="18"/>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380" w:type="dxa"/>
            <w:vAlign w:val="bottom"/>
          </w:tcPr>
          <w:p>
            <w:pPr>
              <w:spacing w:after="0"/>
              <w:rPr>
                <w:rFonts w:ascii="Arial" w:cs="Arial" w:eastAsia="Arial" w:hAnsi="Arial"/>
                <w:sz w:val="13"/>
                <w:szCs w:val="13"/>
                <w:color w:val="0000FF"/>
                <w:w w:val="90"/>
              </w:rPr>
            </w:pPr>
            <w:hyperlink w:anchor="page68">
              <w:r>
                <w:rPr>
                  <w:rFonts w:ascii="Arial" w:cs="Arial" w:eastAsia="Arial" w:hAnsi="Arial"/>
                  <w:sz w:val="13"/>
                  <w:szCs w:val="13"/>
                  <w:color w:val="0000FF"/>
                  <w:w w:val="90"/>
                </w:rPr>
                <w:t>Item 5.</w:t>
              </w:r>
            </w:hyperlink>
          </w:p>
        </w:tc>
        <w:tc>
          <w:tcPr>
            <w:tcW w:w="860" w:type="dxa"/>
            <w:vAlign w:val="bottom"/>
            <w:gridSpan w:val="3"/>
          </w:tcPr>
          <w:p>
            <w:pPr>
              <w:spacing w:after="0"/>
              <w:rPr>
                <w:sz w:val="13"/>
                <w:szCs w:val="13"/>
                <w:color w:val="auto"/>
              </w:rPr>
            </w:pPr>
          </w:p>
        </w:tc>
        <w:tc>
          <w:tcPr>
            <w:tcW w:w="1000" w:type="dxa"/>
            <w:vAlign w:val="bottom"/>
            <w:gridSpan w:val="4"/>
          </w:tcPr>
          <w:p>
            <w:pPr>
              <w:spacing w:after="0"/>
              <w:rPr>
                <w:rFonts w:ascii="Arial" w:cs="Arial" w:eastAsia="Arial" w:hAnsi="Arial"/>
                <w:sz w:val="13"/>
                <w:szCs w:val="13"/>
                <w:color w:val="0000FF"/>
                <w:w w:val="94"/>
              </w:rPr>
            </w:pPr>
            <w:hyperlink w:anchor="page68">
              <w:r>
                <w:rPr>
                  <w:rFonts w:ascii="Arial" w:cs="Arial" w:eastAsia="Arial" w:hAnsi="Arial"/>
                  <w:sz w:val="13"/>
                  <w:szCs w:val="13"/>
                  <w:color w:val="0000FF"/>
                  <w:w w:val="94"/>
                </w:rPr>
                <w:t>Other Information</w:t>
              </w:r>
            </w:hyperlink>
          </w:p>
        </w:tc>
        <w:tc>
          <w:tcPr>
            <w:tcW w:w="340" w:type="dxa"/>
            <w:vAlign w:val="bottom"/>
            <w:gridSpan w:val="2"/>
          </w:tcPr>
          <w:p>
            <w:pPr>
              <w:spacing w:after="0"/>
              <w:rPr>
                <w:sz w:val="13"/>
                <w:szCs w:val="13"/>
                <w:color w:val="auto"/>
              </w:rPr>
            </w:pPr>
          </w:p>
        </w:tc>
        <w:tc>
          <w:tcPr>
            <w:tcW w:w="8180" w:type="dxa"/>
            <w:vAlign w:val="bottom"/>
            <w:gridSpan w:val="18"/>
          </w:tcPr>
          <w:p>
            <w:pPr>
              <w:spacing w:after="0"/>
              <w:rPr>
                <w:sz w:val="13"/>
                <w:szCs w:val="13"/>
                <w:color w:val="auto"/>
              </w:rPr>
            </w:pPr>
          </w:p>
        </w:tc>
        <w:tc>
          <w:tcPr>
            <w:tcW w:w="500" w:type="dxa"/>
            <w:vAlign w:val="bottom"/>
            <w:gridSpan w:val="2"/>
          </w:tcPr>
          <w:p>
            <w:pPr>
              <w:jc w:val="right"/>
              <w:spacing w:after="0"/>
              <w:rPr>
                <w:rFonts w:ascii="Arial" w:cs="Arial" w:eastAsia="Arial" w:hAnsi="Arial"/>
                <w:sz w:val="13"/>
                <w:szCs w:val="13"/>
                <w:color w:val="0000FF"/>
              </w:rPr>
            </w:pPr>
            <w:hyperlink w:anchor="page68">
              <w:r>
                <w:rPr>
                  <w:rFonts w:ascii="Arial" w:cs="Arial" w:eastAsia="Arial" w:hAnsi="Arial"/>
                  <w:sz w:val="13"/>
                  <w:szCs w:val="13"/>
                  <w:color w:val="0000FF"/>
                </w:rPr>
                <w:t>67</w:t>
              </w:r>
            </w:hyperlink>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520" w:type="dxa"/>
            <w:vAlign w:val="bottom"/>
            <w:gridSpan w:val="20"/>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2"/>
        </w:trPr>
        <w:tc>
          <w:tcPr>
            <w:tcW w:w="380" w:type="dxa"/>
            <w:vAlign w:val="bottom"/>
          </w:tcPr>
          <w:p>
            <w:pPr>
              <w:spacing w:after="0"/>
              <w:rPr>
                <w:rFonts w:ascii="Arial" w:cs="Arial" w:eastAsia="Arial" w:hAnsi="Arial"/>
                <w:sz w:val="13"/>
                <w:szCs w:val="13"/>
                <w:color w:val="0000FF"/>
                <w:w w:val="90"/>
              </w:rPr>
            </w:pPr>
            <w:hyperlink w:anchor="page68">
              <w:r>
                <w:rPr>
                  <w:rFonts w:ascii="Arial" w:cs="Arial" w:eastAsia="Arial" w:hAnsi="Arial"/>
                  <w:sz w:val="13"/>
                  <w:szCs w:val="13"/>
                  <w:color w:val="0000FF"/>
                  <w:w w:val="90"/>
                </w:rPr>
                <w:t>Item 6.</w:t>
              </w:r>
            </w:hyperlink>
          </w:p>
        </w:tc>
        <w:tc>
          <w:tcPr>
            <w:tcW w:w="860" w:type="dxa"/>
            <w:vAlign w:val="bottom"/>
            <w:gridSpan w:val="3"/>
          </w:tcPr>
          <w:p>
            <w:pPr>
              <w:spacing w:after="0"/>
              <w:rPr>
                <w:sz w:val="13"/>
                <w:szCs w:val="13"/>
                <w:color w:val="auto"/>
              </w:rPr>
            </w:pPr>
          </w:p>
        </w:tc>
        <w:tc>
          <w:tcPr>
            <w:tcW w:w="460" w:type="dxa"/>
            <w:vAlign w:val="bottom"/>
            <w:gridSpan w:val="2"/>
          </w:tcPr>
          <w:p>
            <w:pPr>
              <w:spacing w:after="0"/>
              <w:rPr>
                <w:rFonts w:ascii="Arial" w:cs="Arial" w:eastAsia="Arial" w:hAnsi="Arial"/>
                <w:sz w:val="13"/>
                <w:szCs w:val="13"/>
                <w:color w:val="0000FF"/>
                <w:w w:val="96"/>
              </w:rPr>
            </w:pPr>
            <w:hyperlink w:anchor="page68">
              <w:r>
                <w:rPr>
                  <w:rFonts w:ascii="Arial" w:cs="Arial" w:eastAsia="Arial" w:hAnsi="Arial"/>
                  <w:sz w:val="13"/>
                  <w:szCs w:val="13"/>
                  <w:color w:val="0000FF"/>
                  <w:w w:val="96"/>
                </w:rPr>
                <w:t>Exhibits</w:t>
              </w:r>
            </w:hyperlink>
          </w:p>
        </w:tc>
        <w:tc>
          <w:tcPr>
            <w:tcW w:w="540" w:type="dxa"/>
            <w:vAlign w:val="bottom"/>
            <w:gridSpan w:val="2"/>
          </w:tcPr>
          <w:p>
            <w:pPr>
              <w:spacing w:after="0"/>
              <w:rPr>
                <w:sz w:val="13"/>
                <w:szCs w:val="13"/>
                <w:color w:val="auto"/>
              </w:rPr>
            </w:pPr>
          </w:p>
        </w:tc>
        <w:tc>
          <w:tcPr>
            <w:tcW w:w="8520" w:type="dxa"/>
            <w:vAlign w:val="bottom"/>
            <w:gridSpan w:val="20"/>
          </w:tcPr>
          <w:p>
            <w:pPr>
              <w:spacing w:after="0"/>
              <w:rPr>
                <w:sz w:val="13"/>
                <w:szCs w:val="13"/>
                <w:color w:val="auto"/>
              </w:rPr>
            </w:pPr>
          </w:p>
        </w:tc>
        <w:tc>
          <w:tcPr>
            <w:tcW w:w="500" w:type="dxa"/>
            <w:vAlign w:val="bottom"/>
            <w:gridSpan w:val="2"/>
          </w:tcPr>
          <w:p>
            <w:pPr>
              <w:jc w:val="right"/>
              <w:spacing w:after="0"/>
              <w:rPr>
                <w:rFonts w:ascii="Arial" w:cs="Arial" w:eastAsia="Arial" w:hAnsi="Arial"/>
                <w:sz w:val="13"/>
                <w:szCs w:val="13"/>
                <w:color w:val="0000FF"/>
              </w:rPr>
            </w:pPr>
            <w:hyperlink w:anchor="page68">
              <w:r>
                <w:rPr>
                  <w:rFonts w:ascii="Arial" w:cs="Arial" w:eastAsia="Arial" w:hAnsi="Arial"/>
                  <w:sz w:val="13"/>
                  <w:szCs w:val="13"/>
                  <w:color w:val="0000FF"/>
                </w:rPr>
                <w:t>68</w:t>
              </w:r>
            </w:hyperlink>
          </w:p>
        </w:tc>
      </w:tr>
      <w:tr>
        <w:trPr>
          <w:trHeight w:val="20"/>
        </w:trPr>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44"/>
        </w:trPr>
        <w:tc>
          <w:tcPr>
            <w:tcW w:w="820" w:type="dxa"/>
            <w:vAlign w:val="bottom"/>
            <w:gridSpan w:val="3"/>
          </w:tcPr>
          <w:p>
            <w:pPr>
              <w:spacing w:after="0"/>
              <w:rPr>
                <w:rFonts w:ascii="Arial" w:cs="Arial" w:eastAsia="Arial" w:hAnsi="Arial"/>
                <w:sz w:val="13"/>
                <w:szCs w:val="13"/>
                <w:color w:val="0000FF"/>
                <w:w w:val="94"/>
              </w:rPr>
            </w:pPr>
            <w:hyperlink w:anchor="page69">
              <w:r>
                <w:rPr>
                  <w:rFonts w:ascii="Arial" w:cs="Arial" w:eastAsia="Arial" w:hAnsi="Arial"/>
                  <w:sz w:val="13"/>
                  <w:szCs w:val="13"/>
                  <w:color w:val="0000FF"/>
                  <w:w w:val="94"/>
                </w:rPr>
                <w:t>SIGNATURES</w:t>
              </w:r>
            </w:hyperlink>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00" w:type="dxa"/>
            <w:vAlign w:val="bottom"/>
            <w:gridSpan w:val="2"/>
          </w:tcPr>
          <w:p>
            <w:pPr>
              <w:jc w:val="right"/>
              <w:spacing w:after="0"/>
              <w:rPr>
                <w:rFonts w:ascii="Arial" w:cs="Arial" w:eastAsia="Arial" w:hAnsi="Arial"/>
                <w:sz w:val="13"/>
                <w:szCs w:val="13"/>
                <w:color w:val="0000FF"/>
              </w:rPr>
            </w:pPr>
            <w:hyperlink w:anchor="page69">
              <w:r>
                <w:rPr>
                  <w:rFonts w:ascii="Arial" w:cs="Arial" w:eastAsia="Arial" w:hAnsi="Arial"/>
                  <w:sz w:val="13"/>
                  <w:szCs w:val="13"/>
                  <w:color w:val="0000FF"/>
                </w:rPr>
                <w:t>69</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5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97" w:lineRule="exact"/>
        <w:rPr>
          <w:sz w:val="20"/>
          <w:szCs w:val="20"/>
          <w:color w:val="auto"/>
        </w:rPr>
      </w:pPr>
    </w:p>
    <w:p>
      <w:pPr>
        <w:jc w:val="both"/>
        <w:ind w:firstLine="364"/>
        <w:spacing w:after="0" w:line="278" w:lineRule="auto"/>
        <w:rPr>
          <w:sz w:val="20"/>
          <w:szCs w:val="20"/>
          <w:color w:val="auto"/>
        </w:rPr>
      </w:pPr>
      <w:r>
        <w:rPr>
          <w:rFonts w:ascii="Arial" w:cs="Arial" w:eastAsia="Arial" w:hAnsi="Arial"/>
          <w:sz w:val="13"/>
          <w:szCs w:val="13"/>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spacing w:after="0" w:line="149"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3"/>
          <w:szCs w:val="13"/>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37" w:lineRule="exact"/>
        <w:rPr>
          <w:sz w:val="20"/>
          <w:szCs w:val="20"/>
          <w:color w:val="auto"/>
        </w:rPr>
      </w:pPr>
    </w:p>
    <w:p>
      <w:pPr>
        <w:jc w:val="both"/>
        <w:ind w:firstLine="364"/>
        <w:spacing w:after="0" w:line="269" w:lineRule="auto"/>
        <w:rPr>
          <w:sz w:val="20"/>
          <w:szCs w:val="20"/>
          <w:color w:val="auto"/>
        </w:rPr>
      </w:pPr>
      <w:r>
        <w:rPr>
          <w:rFonts w:ascii="Arial" w:cs="Arial" w:eastAsia="Arial" w:hAnsi="Arial"/>
          <w:sz w:val="13"/>
          <w:szCs w:val="13"/>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154" w:lineRule="exact"/>
        <w:rPr>
          <w:sz w:val="20"/>
          <w:szCs w:val="20"/>
          <w:color w:val="auto"/>
        </w:rPr>
      </w:pPr>
    </w:p>
    <w:p>
      <w:pPr>
        <w:jc w:val="both"/>
        <w:ind w:left="480" w:hanging="236"/>
        <w:spacing w:after="0" w:line="278" w:lineRule="auto"/>
        <w:tabs>
          <w:tab w:leader="none" w:pos="477"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the COVID-19 pandemic and governmental actions taken to combat the COVID-19 pandemic will have on us, including our operations, financial results, liquidity and capital resources, the existence and duration of state and local orders temporarily prohibiting elective procedures including procedures using our products, the ability and desire of patients and physicians to undergo and perform such procedures, the duration and any potential resurgence of the COVID-19 pandemic, and whether the COVID-19 pandemic will recur in the future;</w:t>
      </w:r>
    </w:p>
    <w:p>
      <w:pPr>
        <w:spacing w:after="0" w:line="87"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a healthy workforce in light of the ongoing COVID-19 pandemic;</w:t>
      </w:r>
    </w:p>
    <w:p>
      <w:pPr>
        <w:spacing w:after="0" w:line="164"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source products and materials included in our surgical systems at prices and on the basis of lead times required to grow and sustain our business;</w:t>
      </w:r>
    </w:p>
    <w:p>
      <w:pPr>
        <w:spacing w:after="0" w:line="174"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 that a significant portion of our revenues will be derived from sales of the iFuse Implant System, or iFuse;</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develop additional revenue opportunities, including new indications for use and new devices;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retain and grow our sales team based on the demand for our products;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identify, train, and retain surgeons to perform procedures using our products;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obtain and maintain favorable coverage and reimbursement determinations from third-party payors;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estimates of our market opportunity;</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regarding the scope of protection from intellectual property rights covering our products;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developments or disputes concerning our intellectual property or other proprietary rights;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timing of and results from clinical and other trials;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marketing clearances and authorization from the FDA and regulators in other jurisdictions;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timing of regulatory filings and feedback;</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competition in the markets we serve;</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of the reliability and performance of our products;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of the benefits to patients, providers, and payors of our products;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a limited number of suppliers, including sole source suppliers, which may impact the availability of instruments and materials;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sustain or increase demand for our products;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estimates regarding our costs and risks associated with our international operations and expansion;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3" w:name="page4"/>
    <w:bookmarkEnd w:id="3"/>
    <w:p>
      <w:pPr>
        <w:ind w:left="480" w:hanging="236"/>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expectations regarding our ability to retain and recruit key personnel;</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expectations regarding acquisitions and strategic operations;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fund our working capital requirements;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compliance with, and the cost of, federal, state, and foreign regulatory requirements;</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factors that may impact our financial results; and</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anticipated trends and challenges in our business and the markets in which we operate.</w:t>
      </w:r>
    </w:p>
    <w:p>
      <w:pPr>
        <w:spacing w:after="0" w:line="195"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2"/>
          <w:szCs w:val="12"/>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145"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3"/>
          <w:szCs w:val="13"/>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PART I-FINANCIAL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Financial Statements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(Unaudited)</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8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Arial" w:cs="Arial" w:eastAsia="Arial" w:hAnsi="Arial"/>
                <w:sz w:val="12"/>
                <w:szCs w:val="12"/>
                <w:b w:val="1"/>
                <w:bCs w:val="1"/>
                <w:color w:val="auto"/>
              </w:rPr>
              <w:t>September 30, 2021</w:t>
            </w:r>
          </w:p>
        </w:tc>
        <w:tc>
          <w:tcPr>
            <w:tcW w:w="140" w:type="dxa"/>
            <w:vAlign w:val="bottom"/>
          </w:tcPr>
          <w:p>
            <w:pPr>
              <w:spacing w:after="0"/>
              <w:rPr>
                <w:sz w:val="13"/>
                <w:szCs w:val="13"/>
                <w:color w:val="auto"/>
              </w:rPr>
            </w:pPr>
          </w:p>
        </w:tc>
        <w:tc>
          <w:tcPr>
            <w:tcW w:w="1220" w:type="dxa"/>
            <w:vAlign w:val="bottom"/>
          </w:tcPr>
          <w:p>
            <w:pPr>
              <w:jc w:val="right"/>
              <w:ind w:right="113"/>
              <w:spacing w:after="0"/>
              <w:rPr>
                <w:sz w:val="20"/>
                <w:szCs w:val="20"/>
                <w:color w:val="auto"/>
              </w:rPr>
            </w:pPr>
            <w:r>
              <w:rPr>
                <w:rFonts w:ascii="Arial" w:cs="Arial" w:eastAsia="Arial" w:hAnsi="Arial"/>
                <w:sz w:val="12"/>
                <w:szCs w:val="12"/>
                <w:b w:val="1"/>
                <w:bCs w:val="1"/>
                <w:color w:val="auto"/>
                <w:w w:val="94"/>
              </w:rPr>
              <w:t>December 31, 2020</w:t>
            </w:r>
          </w:p>
        </w:tc>
      </w:tr>
      <w:tr>
        <w:trPr>
          <w:trHeight w:val="154"/>
        </w:trPr>
        <w:tc>
          <w:tcPr>
            <w:tcW w:w="8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ASSETS</w:t>
            </w: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172"/>
        </w:trPr>
        <w:tc>
          <w:tcPr>
            <w:tcW w:w="83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8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53,581</w:t>
            </w:r>
          </w:p>
        </w:tc>
      </w:tr>
      <w:tr>
        <w:trPr>
          <w:trHeight w:val="172"/>
        </w:trPr>
        <w:tc>
          <w:tcPr>
            <w:tcW w:w="8380" w:type="dxa"/>
            <w:vAlign w:val="bottom"/>
          </w:tcPr>
          <w:p>
            <w:pPr>
              <w:ind w:left="260"/>
              <w:spacing w:after="0"/>
              <w:rPr>
                <w:sz w:val="20"/>
                <w:szCs w:val="20"/>
                <w:color w:val="auto"/>
              </w:rPr>
            </w:pPr>
            <w:r>
              <w:rPr>
                <w:rFonts w:ascii="Arial" w:cs="Arial" w:eastAsia="Arial" w:hAnsi="Arial"/>
                <w:sz w:val="13"/>
                <w:szCs w:val="13"/>
                <w:color w:val="auto"/>
              </w:rPr>
              <w:t>Short-term investments</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100,988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142,851</w:t>
            </w:r>
          </w:p>
        </w:tc>
      </w:tr>
      <w:tr>
        <w:trPr>
          <w:trHeight w:val="172"/>
        </w:trPr>
        <w:tc>
          <w:tcPr>
            <w:tcW w:w="8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receivable, net of allowance for doubtful accounts of $264 and $263, respectively</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13,611</w:t>
            </w:r>
          </w:p>
        </w:tc>
      </w:tr>
      <w:tr>
        <w:trPr>
          <w:trHeight w:val="172"/>
        </w:trPr>
        <w:tc>
          <w:tcPr>
            <w:tcW w:w="8380" w:type="dxa"/>
            <w:vAlign w:val="bottom"/>
          </w:tcPr>
          <w:p>
            <w:pPr>
              <w:ind w:left="260"/>
              <w:spacing w:after="0"/>
              <w:rPr>
                <w:sz w:val="20"/>
                <w:szCs w:val="20"/>
                <w:color w:val="auto"/>
              </w:rPr>
            </w:pPr>
            <w:r>
              <w:rPr>
                <w:rFonts w:ascii="Arial" w:cs="Arial" w:eastAsia="Arial" w:hAnsi="Arial"/>
                <w:sz w:val="13"/>
                <w:szCs w:val="13"/>
                <w:color w:val="auto"/>
              </w:rPr>
              <w:t>Inventory</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10,246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5,633</w:t>
            </w:r>
          </w:p>
        </w:tc>
      </w:tr>
      <w:tr>
        <w:trPr>
          <w:trHeight w:val="172"/>
        </w:trPr>
        <w:tc>
          <w:tcPr>
            <w:tcW w:w="8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2,565</w:t>
            </w:r>
          </w:p>
        </w:tc>
      </w:tr>
      <w:tr>
        <w:trPr>
          <w:trHeight w:val="162"/>
        </w:trPr>
        <w:tc>
          <w:tcPr>
            <w:tcW w:w="838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185,648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218,241</w:t>
            </w:r>
          </w:p>
        </w:tc>
      </w:tr>
      <w:tr>
        <w:trPr>
          <w:trHeight w:val="172"/>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4,527</w:t>
            </w:r>
          </w:p>
        </w:tc>
      </w:tr>
      <w:tr>
        <w:trPr>
          <w:trHeight w:val="172"/>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assets</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w:t>
            </w:r>
          </w:p>
        </w:tc>
      </w:tr>
      <w:tr>
        <w:trPr>
          <w:trHeight w:val="187"/>
        </w:trPr>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193,966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223,142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33"/>
        </w:trPr>
        <w:tc>
          <w:tcPr>
            <w:tcW w:w="8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72"/>
        </w:trPr>
        <w:tc>
          <w:tcPr>
            <w:tcW w:w="8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LIABILITIES AND STOCKHOLDERS’ EQUITY</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2"/>
        </w:trPr>
        <w:tc>
          <w:tcPr>
            <w:tcW w:w="8380" w:type="dxa"/>
            <w:vAlign w:val="bottom"/>
          </w:tcPr>
          <w:p>
            <w:pPr>
              <w:ind w:left="40"/>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8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r>
      <w:tr>
        <w:trPr>
          <w:trHeight w:val="172"/>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Accrued liabilities and other</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10,425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10,199</w:t>
            </w:r>
          </w:p>
        </w:tc>
      </w:tr>
      <w:tr>
        <w:trPr>
          <w:trHeight w:val="162"/>
        </w:trPr>
        <w:tc>
          <w:tcPr>
            <w:tcW w:w="83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13,470</w:t>
            </w:r>
          </w:p>
        </w:tc>
      </w:tr>
      <w:tr>
        <w:trPr>
          <w:trHeight w:val="172"/>
        </w:trPr>
        <w:tc>
          <w:tcPr>
            <w:tcW w:w="8380" w:type="dxa"/>
            <w:vAlign w:val="bottom"/>
          </w:tcPr>
          <w:p>
            <w:pPr>
              <w:ind w:left="20"/>
              <w:spacing w:after="0"/>
              <w:rPr>
                <w:sz w:val="20"/>
                <w:szCs w:val="20"/>
                <w:color w:val="auto"/>
              </w:rPr>
            </w:pPr>
            <w:r>
              <w:rPr>
                <w:rFonts w:ascii="Arial" w:cs="Arial" w:eastAsia="Arial" w:hAnsi="Arial"/>
                <w:sz w:val="13"/>
                <w:szCs w:val="13"/>
                <w:color w:val="auto"/>
              </w:rPr>
              <w:t>Long-term borrowings</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34,922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39,455</w:t>
            </w:r>
          </w:p>
        </w:tc>
      </w:tr>
      <w:tr>
        <w:trPr>
          <w:trHeight w:val="172"/>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854</w:t>
            </w:r>
          </w:p>
        </w:tc>
      </w:tr>
      <w:tr>
        <w:trPr>
          <w:trHeight w:val="162"/>
        </w:trPr>
        <w:tc>
          <w:tcPr>
            <w:tcW w:w="83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TOTAL LIABILITIES</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50,348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53,779</w:t>
            </w:r>
          </w:p>
        </w:tc>
      </w:tr>
      <w:tr>
        <w:trPr>
          <w:trHeight w:val="172"/>
        </w:trPr>
        <w:tc>
          <w:tcPr>
            <w:tcW w:w="8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2"/>
        </w:trPr>
        <w:tc>
          <w:tcPr>
            <w:tcW w:w="8380" w:type="dxa"/>
            <w:vAlign w:val="bottom"/>
          </w:tcPr>
          <w:p>
            <w:pPr>
              <w:ind w:left="40"/>
              <w:spacing w:after="0"/>
              <w:rPr>
                <w:sz w:val="20"/>
                <w:szCs w:val="20"/>
                <w:color w:val="auto"/>
              </w:rPr>
            </w:pPr>
            <w:r>
              <w:rPr>
                <w:rFonts w:ascii="Arial" w:cs="Arial" w:eastAsia="Arial" w:hAnsi="Arial"/>
                <w:sz w:val="13"/>
                <w:szCs w:val="13"/>
                <w:color w:val="auto"/>
              </w:rPr>
              <w:t>Commitments and contingencies (Note 6)</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8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2"/>
        </w:trPr>
        <w:tc>
          <w:tcPr>
            <w:tcW w:w="8380" w:type="dxa"/>
            <w:vAlign w:val="bottom"/>
          </w:tcPr>
          <w:p>
            <w:pPr>
              <w:ind w:left="40"/>
              <w:spacing w:after="0"/>
              <w:rPr>
                <w:sz w:val="20"/>
                <w:szCs w:val="20"/>
                <w:color w:val="auto"/>
              </w:rPr>
            </w:pPr>
            <w:r>
              <w:rPr>
                <w:rFonts w:ascii="Arial" w:cs="Arial" w:eastAsia="Arial" w:hAnsi="Arial"/>
                <w:sz w:val="13"/>
                <w:szCs w:val="13"/>
                <w:color w:val="auto"/>
              </w:rPr>
              <w:t>STOCKHOLDERS’ EQUITY</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stock, $0.0001 par value; 5,000,000 shares authorized; no shares issued and outstanding</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380" w:type="dxa"/>
            <w:vAlign w:val="bottom"/>
          </w:tcPr>
          <w:p>
            <w:pPr>
              <w:ind w:left="20"/>
              <w:spacing w:after="0"/>
              <w:rPr>
                <w:sz w:val="20"/>
                <w:szCs w:val="20"/>
                <w:color w:val="auto"/>
              </w:rPr>
            </w:pPr>
            <w:r>
              <w:rPr>
                <w:rFonts w:ascii="Arial" w:cs="Arial" w:eastAsia="Arial" w:hAnsi="Arial"/>
                <w:sz w:val="13"/>
                <w:szCs w:val="13"/>
                <w:color w:val="auto"/>
              </w:rPr>
              <w:t>Common stock, $0.0001 par value; 100,000,000 shares authorized; 33,450,995 and 32,583,220 shares issued and outstanding, respectively</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2"/>
        </w:trPr>
        <w:tc>
          <w:tcPr>
            <w:tcW w:w="8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424,561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408,113</w:t>
            </w:r>
          </w:p>
        </w:tc>
      </w:tr>
      <w:tr>
        <w:trPr>
          <w:trHeight w:val="172"/>
        </w:trPr>
        <w:tc>
          <w:tcPr>
            <w:tcW w:w="8380" w:type="dxa"/>
            <w:vAlign w:val="bottom"/>
          </w:tcPr>
          <w:p>
            <w:pPr>
              <w:ind w:left="40"/>
              <w:spacing w:after="0"/>
              <w:rPr>
                <w:sz w:val="20"/>
                <w:szCs w:val="20"/>
                <w:color w:val="auto"/>
              </w:rPr>
            </w:pPr>
            <w:r>
              <w:rPr>
                <w:rFonts w:ascii="Arial" w:cs="Arial" w:eastAsia="Arial" w:hAnsi="Arial"/>
                <w:sz w:val="13"/>
                <w:szCs w:val="13"/>
                <w:color w:val="auto"/>
              </w:rPr>
              <w:t>Accumulated other comprehensive income</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524</w:t>
            </w:r>
          </w:p>
        </w:tc>
      </w:tr>
      <w:tr>
        <w:trPr>
          <w:trHeight w:val="172"/>
        </w:trPr>
        <w:tc>
          <w:tcPr>
            <w:tcW w:w="8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Accumulated deficit</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(281,372)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(239,277)</w:t>
            </w:r>
          </w:p>
        </w:tc>
      </w:tr>
      <w:tr>
        <w:trPr>
          <w:trHeight w:val="162"/>
        </w:trPr>
        <w:tc>
          <w:tcPr>
            <w:tcW w:w="838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143,618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169,363</w:t>
            </w:r>
          </w:p>
        </w:tc>
      </w:tr>
      <w:tr>
        <w:trPr>
          <w:trHeight w:val="187"/>
        </w:trPr>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193,966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223,142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9201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613"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OPERATIONS AND COMPREHENSIVE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00" w:type="dxa"/>
            <w:vAlign w:val="bottom"/>
          </w:tcPr>
          <w:p>
            <w:pPr>
              <w:spacing w:after="0"/>
              <w:rPr>
                <w:sz w:val="12"/>
                <w:szCs w:val="12"/>
                <w:color w:val="auto"/>
              </w:rPr>
            </w:pPr>
          </w:p>
        </w:tc>
      </w:tr>
      <w:tr>
        <w:trPr>
          <w:trHeight w:val="160"/>
        </w:trPr>
        <w:tc>
          <w:tcPr>
            <w:tcW w:w="57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2"/>
                <w:szCs w:val="12"/>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2"/>
                <w:szCs w:val="12"/>
                <w:b w:val="1"/>
                <w:bCs w:val="1"/>
                <w:color w:val="auto"/>
              </w:rPr>
              <w:t>September 30,</w:t>
            </w:r>
          </w:p>
        </w:tc>
        <w:tc>
          <w:tcPr>
            <w:tcW w:w="800" w:type="dxa"/>
            <w:vAlign w:val="bottom"/>
            <w:tcBorders>
              <w:bottom w:val="single" w:sz="8" w:color="auto"/>
            </w:tcBorders>
          </w:tcPr>
          <w:p>
            <w:pPr>
              <w:spacing w:after="0"/>
              <w:rPr>
                <w:sz w:val="13"/>
                <w:szCs w:val="13"/>
                <w:color w:val="auto"/>
              </w:rPr>
            </w:pPr>
          </w:p>
        </w:tc>
      </w:tr>
      <w:tr>
        <w:trPr>
          <w:trHeight w:val="152"/>
        </w:trPr>
        <w:tc>
          <w:tcPr>
            <w:tcW w:w="57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w w:val="89"/>
              </w:rPr>
              <w:t>2020</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53"/>
              <w:spacing w:after="0"/>
              <w:rPr>
                <w:sz w:val="20"/>
                <w:szCs w:val="20"/>
                <w:color w:val="auto"/>
              </w:rPr>
            </w:pPr>
            <w:r>
              <w:rPr>
                <w:rFonts w:ascii="Arial" w:cs="Arial" w:eastAsia="Arial" w:hAnsi="Arial"/>
                <w:sz w:val="12"/>
                <w:szCs w:val="12"/>
                <w:b w:val="1"/>
                <w:bCs w:val="1"/>
                <w:color w:val="auto"/>
                <w:w w:val="97"/>
              </w:rPr>
              <w:t>2020</w:t>
            </w:r>
          </w:p>
        </w:tc>
      </w:tr>
      <w:tr>
        <w:trPr>
          <w:trHeight w:val="164"/>
        </w:trPr>
        <w:tc>
          <w:tcPr>
            <w:tcW w:w="5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Revenue</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22,286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20,373</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64,922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51,243</w:t>
            </w:r>
          </w:p>
        </w:tc>
      </w:tr>
      <w:tr>
        <w:trPr>
          <w:trHeight w:val="172"/>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Cost of goods sold</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2,478</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2,578</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7,053</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6,627</w:t>
            </w:r>
          </w:p>
        </w:tc>
      </w:tr>
      <w:tr>
        <w:trPr>
          <w:trHeight w:val="162"/>
        </w:trPr>
        <w:tc>
          <w:tcPr>
            <w:tcW w:w="5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Gross profit</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19,808</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17,795</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57,869</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44,616</w:t>
            </w:r>
          </w:p>
        </w:tc>
      </w:tr>
      <w:tr>
        <w:trPr>
          <w:trHeight w:val="152"/>
        </w:trPr>
        <w:tc>
          <w:tcPr>
            <w:tcW w:w="5780" w:type="dxa"/>
            <w:vAlign w:val="bottom"/>
          </w:tcPr>
          <w:p>
            <w:pPr>
              <w:ind w:left="40"/>
              <w:spacing w:after="0"/>
              <w:rPr>
                <w:sz w:val="20"/>
                <w:szCs w:val="20"/>
                <w:color w:val="auto"/>
              </w:rPr>
            </w:pPr>
            <w:r>
              <w:rPr>
                <w:rFonts w:ascii="Arial" w:cs="Arial" w:eastAsia="Arial" w:hAnsi="Arial"/>
                <w:sz w:val="13"/>
                <w:szCs w:val="13"/>
                <w:color w:val="auto"/>
              </w:rPr>
              <w:t>Operating expenses: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2"/>
        </w:trPr>
        <w:tc>
          <w:tcPr>
            <w:tcW w:w="5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Sales and marketing</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18,772</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67,531</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53,808</w:t>
            </w:r>
          </w:p>
        </w:tc>
      </w:tr>
      <w:tr>
        <w:trPr>
          <w:trHeight w:val="172"/>
        </w:trPr>
        <w:tc>
          <w:tcPr>
            <w:tcW w:w="5780" w:type="dxa"/>
            <w:vAlign w:val="bottom"/>
          </w:tcPr>
          <w:p>
            <w:pPr>
              <w:ind w:left="340"/>
              <w:spacing w:after="0"/>
              <w:rPr>
                <w:sz w:val="20"/>
                <w:szCs w:val="20"/>
                <w:color w:val="auto"/>
              </w:rPr>
            </w:pPr>
            <w:r>
              <w:rPr>
                <w:rFonts w:ascii="Arial" w:cs="Arial" w:eastAsia="Arial" w:hAnsi="Arial"/>
                <w:sz w:val="13"/>
                <w:szCs w:val="13"/>
                <w:color w:val="auto"/>
              </w:rPr>
              <w:t>Research and development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3,288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2,778</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9,392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7,033</w:t>
            </w:r>
          </w:p>
        </w:tc>
      </w:tr>
      <w:tr>
        <w:trPr>
          <w:trHeight w:val="172"/>
        </w:trPr>
        <w:tc>
          <w:tcPr>
            <w:tcW w:w="5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General and administrative</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6,194</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4,920</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18,685</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14,471</w:t>
            </w:r>
          </w:p>
        </w:tc>
      </w:tr>
      <w:tr>
        <w:trPr>
          <w:trHeight w:val="162"/>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operating expenses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33,007</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26,470</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95,608</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75,312</w:t>
            </w:r>
          </w:p>
        </w:tc>
      </w:tr>
      <w:tr>
        <w:trPr>
          <w:trHeight w:val="162"/>
        </w:trPr>
        <w:tc>
          <w:tcPr>
            <w:tcW w:w="5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Loss from operations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(13,199)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(8,675)</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(37,739)</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(30,696)</w:t>
            </w:r>
          </w:p>
        </w:tc>
      </w:tr>
      <w:tr>
        <w:trPr>
          <w:trHeight w:val="172"/>
        </w:trPr>
        <w:tc>
          <w:tcPr>
            <w:tcW w:w="5780" w:type="dxa"/>
            <w:vAlign w:val="bottom"/>
          </w:tcPr>
          <w:p>
            <w:pPr>
              <w:ind w:left="40"/>
              <w:spacing w:after="0"/>
              <w:rPr>
                <w:sz w:val="20"/>
                <w:szCs w:val="20"/>
                <w:color w:val="auto"/>
              </w:rPr>
            </w:pPr>
            <w:r>
              <w:rPr>
                <w:rFonts w:ascii="Arial" w:cs="Arial" w:eastAsia="Arial" w:hAnsi="Arial"/>
                <w:sz w:val="13"/>
                <w:szCs w:val="13"/>
                <w:color w:val="auto"/>
              </w:rPr>
              <w:t>Interest and other income (expense), net: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Interest income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w:t>
            </w:r>
          </w:p>
        </w:tc>
      </w:tr>
      <w:tr>
        <w:trPr>
          <w:trHeight w:val="172"/>
        </w:trPr>
        <w:tc>
          <w:tcPr>
            <w:tcW w:w="5780" w:type="dxa"/>
            <w:vAlign w:val="bottom"/>
          </w:tcPr>
          <w:p>
            <w:pPr>
              <w:ind w:left="340"/>
              <w:spacing w:after="0"/>
              <w:rPr>
                <w:sz w:val="20"/>
                <w:szCs w:val="20"/>
                <w:color w:val="auto"/>
              </w:rPr>
            </w:pPr>
            <w:r>
              <w:rPr>
                <w:rFonts w:ascii="Arial" w:cs="Arial" w:eastAsia="Arial" w:hAnsi="Arial"/>
                <w:sz w:val="13"/>
                <w:szCs w:val="13"/>
                <w:color w:val="auto"/>
              </w:rPr>
              <w:t>Interest expense</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(2,658)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(1,102)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(4,797)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(5,016)</w:t>
            </w:r>
          </w:p>
        </w:tc>
      </w:tr>
      <w:tr>
        <w:trPr>
          <w:trHeight w:val="172"/>
        </w:trPr>
        <w:tc>
          <w:tcPr>
            <w:tcW w:w="5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income (expense), net</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2"/>
        </w:trPr>
        <w:tc>
          <w:tcPr>
            <w:tcW w:w="5780" w:type="dxa"/>
            <w:vAlign w:val="bottom"/>
          </w:tcPr>
          <w:p>
            <w:pPr>
              <w:ind w:left="40"/>
              <w:spacing w:after="0"/>
              <w:rPr>
                <w:sz w:val="20"/>
                <w:szCs w:val="20"/>
                <w:color w:val="auto"/>
              </w:rPr>
            </w:pPr>
            <w:r>
              <w:rPr>
                <w:rFonts w:ascii="Arial" w:cs="Arial" w:eastAsia="Arial" w:hAnsi="Arial"/>
                <w:sz w:val="13"/>
                <w:szCs w:val="13"/>
                <w:color w:val="auto"/>
              </w:rPr>
              <w:t>Net loss</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(15,872)</w:t>
            </w:r>
          </w:p>
        </w:tc>
        <w:tc>
          <w:tcPr>
            <w:tcW w:w="100" w:type="dxa"/>
            <w:vAlign w:val="bottom"/>
          </w:tcPr>
          <w:p>
            <w:pPr>
              <w:spacing w:after="0"/>
              <w:rPr>
                <w:sz w:val="14"/>
                <w:szCs w:val="14"/>
                <w:color w:val="auto"/>
              </w:rPr>
            </w:pPr>
          </w:p>
        </w:tc>
        <w:tc>
          <w:tcPr>
            <w:tcW w:w="520" w:type="dxa"/>
            <w:vAlign w:val="bottom"/>
          </w:tcPr>
          <w:p>
            <w:pPr>
              <w:jc w:val="right"/>
              <w:ind w:right="37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(9,474)</w:t>
            </w:r>
          </w:p>
        </w:tc>
        <w:tc>
          <w:tcPr>
            <w:tcW w:w="60" w:type="dxa"/>
            <w:vAlign w:val="bottom"/>
          </w:tcPr>
          <w:p>
            <w:pPr>
              <w:spacing w:after="0"/>
              <w:rPr>
                <w:sz w:val="14"/>
                <w:szCs w:val="14"/>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(42,095)</w:t>
            </w:r>
          </w:p>
        </w:tc>
        <w:tc>
          <w:tcPr>
            <w:tcW w:w="80" w:type="dxa"/>
            <w:vAlign w:val="bottom"/>
          </w:tcPr>
          <w:p>
            <w:pPr>
              <w:spacing w:after="0"/>
              <w:rPr>
                <w:sz w:val="14"/>
                <w:szCs w:val="14"/>
                <w:color w:val="auto"/>
              </w:rPr>
            </w:pPr>
          </w:p>
        </w:tc>
        <w:tc>
          <w:tcPr>
            <w:tcW w:w="500" w:type="dxa"/>
            <w:vAlign w:val="bottom"/>
          </w:tcPr>
          <w:p>
            <w:pPr>
              <w:jc w:val="right"/>
              <w:ind w:right="35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(34,718)</w:t>
            </w:r>
          </w:p>
        </w:tc>
      </w:tr>
      <w:tr>
        <w:trPr>
          <w:trHeight w:val="172"/>
        </w:trPr>
        <w:tc>
          <w:tcPr>
            <w:tcW w:w="5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 (loss):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2"/>
        </w:trPr>
        <w:tc>
          <w:tcPr>
            <w:tcW w:w="5780" w:type="dxa"/>
            <w:vAlign w:val="bottom"/>
          </w:tcPr>
          <w:p>
            <w:pPr>
              <w:ind w:left="380"/>
              <w:spacing w:after="0"/>
              <w:rPr>
                <w:sz w:val="20"/>
                <w:szCs w:val="20"/>
                <w:color w:val="auto"/>
              </w:rPr>
            </w:pPr>
            <w:r>
              <w:rPr>
                <w:rFonts w:ascii="Arial" w:cs="Arial" w:eastAsia="Arial" w:hAnsi="Arial"/>
                <w:sz w:val="13"/>
                <w:szCs w:val="13"/>
                <w:color w:val="auto"/>
              </w:rPr>
              <w:t>Changes in foreign currency translation</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72"/>
        </w:trPr>
        <w:tc>
          <w:tcPr>
            <w:tcW w:w="57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Unrealized gain (loss) on marketable securities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2"/>
        </w:trPr>
        <w:tc>
          <w:tcPr>
            <w:tcW w:w="5780" w:type="dxa"/>
            <w:vAlign w:val="bottom"/>
          </w:tcPr>
          <w:p>
            <w:pPr>
              <w:ind w:left="40"/>
              <w:spacing w:after="0"/>
              <w:rPr>
                <w:sz w:val="20"/>
                <w:szCs w:val="20"/>
                <w:color w:val="auto"/>
              </w:rPr>
            </w:pPr>
            <w:r>
              <w:rPr>
                <w:rFonts w:ascii="Arial" w:cs="Arial" w:eastAsia="Arial" w:hAnsi="Arial"/>
                <w:sz w:val="13"/>
                <w:szCs w:val="13"/>
                <w:color w:val="auto"/>
              </w:rPr>
              <w:t>Comprehensive loss</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(15,906)</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(9,654)</w:t>
            </w:r>
          </w:p>
        </w:tc>
        <w:tc>
          <w:tcPr>
            <w:tcW w:w="6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(42,193)</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(34,752)</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5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2"/>
        </w:trPr>
        <w:tc>
          <w:tcPr>
            <w:tcW w:w="5780" w:type="dxa"/>
            <w:vAlign w:val="bottom"/>
          </w:tcPr>
          <w:p>
            <w:pPr>
              <w:ind w:left="40"/>
              <w:spacing w:after="0"/>
              <w:rPr>
                <w:sz w:val="20"/>
                <w:szCs w:val="20"/>
                <w:color w:val="auto"/>
              </w:rPr>
            </w:pPr>
            <w:r>
              <w:rPr>
                <w:rFonts w:ascii="Arial" w:cs="Arial" w:eastAsia="Arial" w:hAnsi="Arial"/>
                <w:sz w:val="13"/>
                <w:szCs w:val="13"/>
                <w:color w:val="auto"/>
              </w:rPr>
              <w:t>Net loss per share, basic and diluted</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(0.48)</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(0.33)</w:t>
            </w:r>
          </w:p>
        </w:tc>
        <w:tc>
          <w:tcPr>
            <w:tcW w:w="6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5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2"/>
        </w:trPr>
        <w:tc>
          <w:tcPr>
            <w:tcW w:w="5780" w:type="dxa"/>
            <w:vAlign w:val="bottom"/>
          </w:tcPr>
          <w:p>
            <w:pPr>
              <w:ind w:left="40"/>
              <w:spacing w:after="0"/>
              <w:rPr>
                <w:sz w:val="20"/>
                <w:szCs w:val="20"/>
                <w:color w:val="auto"/>
              </w:rPr>
            </w:pPr>
            <w:r>
              <w:rPr>
                <w:rFonts w:ascii="Arial" w:cs="Arial" w:eastAsia="Arial" w:hAnsi="Arial"/>
                <w:sz w:val="13"/>
                <w:szCs w:val="13"/>
                <w:color w:val="auto"/>
                <w:w w:val="99"/>
              </w:rPr>
              <w:t>Weighted-average number of common shares used to compute basic and diluted net loss per share</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33,340,093</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28,713,418</w:t>
            </w: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33,005,904</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28,155,561</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6" w:name="page7"/>
    <w:bookmarkEnd w:id="6"/>
    <w:p>
      <w:pPr>
        <w:ind w:left="5160"/>
        <w:spacing w:after="0"/>
        <w:rPr>
          <w:sz w:val="20"/>
          <w:szCs w:val="20"/>
          <w:color w:val="auto"/>
        </w:rPr>
      </w:pPr>
      <w:r>
        <w:rPr>
          <w:rFonts w:ascii="Arial" w:cs="Arial" w:eastAsia="Arial" w:hAnsi="Arial"/>
          <w:sz w:val="13"/>
          <w:szCs w:val="13"/>
          <w:b w:val="1"/>
          <w:bCs w:val="1"/>
          <w:color w:val="auto"/>
        </w:rPr>
        <w:t>SI-BONE, INC.</w:t>
      </w:r>
    </w:p>
    <w:p>
      <w:pPr>
        <w:spacing w:after="0" w:line="83" w:lineRule="exact"/>
        <w:rPr>
          <w:sz w:val="20"/>
          <w:szCs w:val="20"/>
          <w:color w:val="auto"/>
        </w:rPr>
      </w:pPr>
    </w:p>
    <w:p>
      <w:pPr>
        <w:ind w:left="2720"/>
        <w:spacing w:after="0"/>
        <w:rPr>
          <w:sz w:val="20"/>
          <w:szCs w:val="20"/>
          <w:color w:val="auto"/>
        </w:rPr>
      </w:pPr>
      <w:r>
        <w:rPr>
          <w:rFonts w:ascii="Arial" w:cs="Arial" w:eastAsia="Arial" w:hAnsi="Arial"/>
          <w:sz w:val="13"/>
          <w:szCs w:val="13"/>
          <w:b w:val="1"/>
          <w:bCs w:val="1"/>
          <w:color w:val="auto"/>
        </w:rPr>
        <w:t>CONDENSED CONSOLIDATED STATEMENTS OF CHANGES IN STOCKHOLDERS' EQUITY</w:t>
      </w:r>
    </w:p>
    <w:p>
      <w:pPr>
        <w:spacing w:after="0" w:line="83"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(In thousands, except share amounts)</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spacing w:after="0"/>
              <w:rPr>
                <w:sz w:val="13"/>
                <w:szCs w:val="13"/>
                <w:color w:val="auto"/>
              </w:rPr>
            </w:pPr>
          </w:p>
        </w:tc>
        <w:tc>
          <w:tcPr>
            <w:tcW w:w="1640" w:type="dxa"/>
            <w:vAlign w:val="bottom"/>
            <w:gridSpan w:val="3"/>
            <w:vMerge w:val="restart"/>
          </w:tcPr>
          <w:p>
            <w:pPr>
              <w:jc w:val="right"/>
              <w:ind w:right="255"/>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33"/>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64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22" w:lineRule="exact"/>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860" w:type="dxa"/>
            <w:vAlign w:val="bottom"/>
          </w:tcPr>
          <w:p>
            <w:pPr>
              <w:jc w:val="center"/>
              <w:ind w:right="33"/>
              <w:spacing w:after="0" w:line="122"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70"/>
        </w:trPr>
        <w:tc>
          <w:tcPr>
            <w:tcW w:w="5220" w:type="dxa"/>
            <w:vAlign w:val="bottom"/>
          </w:tcPr>
          <w:p>
            <w:pPr>
              <w:spacing w:after="0"/>
              <w:rPr>
                <w:sz w:val="14"/>
                <w:szCs w:val="14"/>
                <w:color w:val="auto"/>
              </w:rPr>
            </w:pPr>
          </w:p>
        </w:tc>
        <w:tc>
          <w:tcPr>
            <w:tcW w:w="960" w:type="dxa"/>
            <w:vAlign w:val="bottom"/>
            <w:gridSpan w:val="2"/>
          </w:tcPr>
          <w:p>
            <w:pPr>
              <w:ind w:left="2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Income</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Pr>
          <w:p>
            <w:pPr>
              <w:spacing w:after="0"/>
              <w:rPr>
                <w:sz w:val="14"/>
                <w:szCs w:val="14"/>
                <w:color w:val="auto"/>
              </w:rPr>
            </w:pPr>
          </w:p>
        </w:tc>
        <w:tc>
          <w:tcPr>
            <w:tcW w:w="860" w:type="dxa"/>
            <w:vAlign w:val="bottom"/>
          </w:tcPr>
          <w:p>
            <w:pPr>
              <w:jc w:val="center"/>
              <w:ind w:right="3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64"/>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as of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32,583,220</w:t>
            </w: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408,113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(239,277)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169,363</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Issuance of common stock upon exercise of stock options, net of shares withheld</w:t>
            </w:r>
          </w:p>
        </w:tc>
        <w:tc>
          <w:tcPr>
            <w:tcW w:w="900" w:type="dxa"/>
            <w:vAlign w:val="bottom"/>
          </w:tcPr>
          <w:p>
            <w:pPr>
              <w:jc w:val="right"/>
              <w:spacing w:after="0"/>
              <w:rPr>
                <w:sz w:val="20"/>
                <w:szCs w:val="20"/>
                <w:color w:val="auto"/>
              </w:rPr>
            </w:pPr>
            <w:r>
              <w:rPr>
                <w:rFonts w:ascii="Arial" w:cs="Arial" w:eastAsia="Arial" w:hAnsi="Arial"/>
                <w:sz w:val="13"/>
                <w:szCs w:val="13"/>
                <w:color w:val="auto"/>
              </w:rPr>
              <w:t>93,975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131,339</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4,030</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gain on marketable securities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(12,242)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(12,242)</w:t>
            </w:r>
          </w:p>
        </w:tc>
        <w:tc>
          <w:tcPr>
            <w:tcW w:w="0" w:type="dxa"/>
            <w:vAlign w:val="bottom"/>
          </w:tcPr>
          <w:p>
            <w:pPr>
              <w:spacing w:after="0"/>
              <w:rPr>
                <w:sz w:val="1"/>
                <w:szCs w:val="1"/>
                <w:color w:val="auto"/>
              </w:rPr>
            </w:pPr>
          </w:p>
        </w:tc>
      </w:tr>
      <w:tr>
        <w:trPr>
          <w:trHeight w:val="162"/>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as of March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32,808,534</w:t>
            </w: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412,753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(251,519)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161,667</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Issuance of common stock upon exercise of stock options, net of shares withheld</w:t>
            </w:r>
          </w:p>
        </w:tc>
        <w:tc>
          <w:tcPr>
            <w:tcW w:w="900" w:type="dxa"/>
            <w:vAlign w:val="bottom"/>
          </w:tcPr>
          <w:p>
            <w:pPr>
              <w:jc w:val="right"/>
              <w:spacing w:after="0"/>
              <w:rPr>
                <w:sz w:val="20"/>
                <w:szCs w:val="20"/>
                <w:color w:val="auto"/>
              </w:rPr>
            </w:pPr>
            <w:r>
              <w:rPr>
                <w:rFonts w:ascii="Arial" w:cs="Arial" w:eastAsia="Arial" w:hAnsi="Arial"/>
                <w:sz w:val="13"/>
                <w:szCs w:val="13"/>
                <w:color w:val="auto"/>
              </w:rPr>
              <w:t>140,917</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related to employee 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104,861</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Arial" w:cs="Arial" w:eastAsia="Arial" w:hAnsi="Arial"/>
                <w:sz w:val="13"/>
                <w:szCs w:val="13"/>
                <w:color w:val="auto"/>
              </w:rPr>
              <w:t>181,958</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4,257</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Net unrealized loss on marketable securities</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(13,981)</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3"/>
                <w:szCs w:val="13"/>
                <w:b w:val="1"/>
                <w:bCs w:val="1"/>
                <w:color w:val="auto"/>
              </w:rPr>
              <w:t>Balance as of June 30, 2021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33,236,270</w:t>
            </w: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419,235</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460</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(265,500)</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154,198</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upon exercise of stock options, net of shares withheld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82,109</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Arial" w:cs="Arial" w:eastAsia="Arial" w:hAnsi="Arial"/>
                <w:sz w:val="13"/>
                <w:szCs w:val="13"/>
                <w:color w:val="auto"/>
              </w:rPr>
              <w:t>132,616</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4,241</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Unrealized gain of marketable securities</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(15,872)</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3"/>
                <w:szCs w:val="13"/>
                <w:b w:val="1"/>
                <w:bCs w:val="1"/>
                <w:color w:val="auto"/>
              </w:rPr>
              <w:t>Balance as of September 30, 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33,450,995</w:t>
            </w:r>
          </w:p>
        </w:tc>
        <w:tc>
          <w:tcPr>
            <w:tcW w:w="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424,561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426</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(281,372)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143,618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53340</wp:posOffset>
            </wp:positionV>
            <wp:extent cx="719201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20"/>
          </w:cols>
          <w:pgMar w:left="340" w:top="65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2"/>
        </w:trPr>
        <w:tc>
          <w:tcPr>
            <w:tcW w:w="5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spacing w:after="0"/>
              <w:rPr>
                <w:sz w:val="13"/>
                <w:szCs w:val="13"/>
                <w:color w:val="auto"/>
              </w:rPr>
            </w:pPr>
          </w:p>
        </w:tc>
        <w:tc>
          <w:tcPr>
            <w:tcW w:w="1640" w:type="dxa"/>
            <w:vAlign w:val="bottom"/>
            <w:gridSpan w:val="3"/>
            <w:vMerge w:val="restart"/>
          </w:tcPr>
          <w:p>
            <w:pPr>
              <w:jc w:val="right"/>
              <w:ind w:right="256"/>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33"/>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64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2"/>
                <w:szCs w:val="12"/>
                <w:color w:val="auto"/>
              </w:rPr>
            </w:pPr>
          </w:p>
        </w:tc>
        <w:tc>
          <w:tcPr>
            <w:tcW w:w="88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2"/>
                <w:szCs w:val="12"/>
                <w:color w:val="auto"/>
              </w:rPr>
            </w:pPr>
          </w:p>
        </w:tc>
        <w:tc>
          <w:tcPr>
            <w:tcW w:w="860" w:type="dxa"/>
            <w:vAlign w:val="bottom"/>
          </w:tcPr>
          <w:p>
            <w:pPr>
              <w:jc w:val="center"/>
              <w:ind w:right="33"/>
              <w:spacing w:after="0" w:line="122"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70"/>
        </w:trPr>
        <w:tc>
          <w:tcPr>
            <w:tcW w:w="5220" w:type="dxa"/>
            <w:vAlign w:val="bottom"/>
          </w:tcPr>
          <w:p>
            <w:pPr>
              <w:spacing w:after="0"/>
              <w:rPr>
                <w:sz w:val="14"/>
                <w:szCs w:val="14"/>
                <w:color w:val="auto"/>
              </w:rPr>
            </w:pPr>
          </w:p>
        </w:tc>
        <w:tc>
          <w:tcPr>
            <w:tcW w:w="960" w:type="dxa"/>
            <w:vAlign w:val="bottom"/>
            <w:gridSpan w:val="2"/>
          </w:tcPr>
          <w:p>
            <w:pPr>
              <w:ind w:left="2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Income</w:t>
            </w:r>
          </w:p>
        </w:tc>
        <w:tc>
          <w:tcPr>
            <w:tcW w:w="8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4"/>
                <w:szCs w:val="14"/>
                <w:color w:val="auto"/>
              </w:rPr>
            </w:pPr>
          </w:p>
        </w:tc>
        <w:tc>
          <w:tcPr>
            <w:tcW w:w="860" w:type="dxa"/>
            <w:vAlign w:val="bottom"/>
          </w:tcPr>
          <w:p>
            <w:pPr>
              <w:jc w:val="center"/>
              <w:ind w:right="3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64"/>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as of 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25,163,803</w:t>
            </w: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258,121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(195,580)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63,008</w:t>
            </w:r>
          </w:p>
        </w:tc>
        <w:tc>
          <w:tcPr>
            <w:tcW w:w="0" w:type="dxa"/>
            <w:vAlign w:val="bottom"/>
          </w:tcPr>
          <w:p>
            <w:pPr>
              <w:spacing w:after="0"/>
              <w:rPr>
                <w:sz w:val="1"/>
                <w:szCs w:val="1"/>
                <w:color w:val="auto"/>
              </w:rPr>
            </w:pPr>
          </w:p>
        </w:tc>
      </w:tr>
      <w:tr>
        <w:trPr>
          <w:trHeight w:val="132"/>
        </w:trPr>
        <w:tc>
          <w:tcPr>
            <w:tcW w:w="5220" w:type="dxa"/>
            <w:vAlign w:val="bottom"/>
          </w:tcPr>
          <w:p>
            <w:pPr>
              <w:spacing w:after="0" w:line="132" w:lineRule="exact"/>
              <w:rPr>
                <w:sz w:val="20"/>
                <w:szCs w:val="20"/>
                <w:color w:val="auto"/>
              </w:rPr>
            </w:pPr>
            <w:r>
              <w:rPr>
                <w:rFonts w:ascii="Arial" w:cs="Arial" w:eastAsia="Arial" w:hAnsi="Arial"/>
                <w:sz w:val="13"/>
                <w:szCs w:val="13"/>
                <w:color w:val="auto"/>
                <w:w w:val="99"/>
              </w:rPr>
              <w:t>Issuance of common stock from public offering, net of underwriting discounts, commissions</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3,135,053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62,978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62,978</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and offering costs</w:t>
            </w: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upon exercise of stock options, net of shares withheld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43,334</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Arial" w:cs="Arial" w:eastAsia="Arial" w:hAnsi="Arial"/>
                <w:sz w:val="13"/>
                <w:szCs w:val="13"/>
                <w:color w:val="auto"/>
              </w:rPr>
              <w:t>63,938</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Net unrealized gain on marketable securities</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(12,772)</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3"/>
                <w:szCs w:val="13"/>
                <w:b w:val="1"/>
                <w:bCs w:val="1"/>
                <w:color w:val="auto"/>
              </w:rPr>
              <w:t>Balance as of March 31, 2020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28,406,128</w:t>
            </w: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323,922</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697</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(208,352)</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116,270</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upon exercise of stock options, net of shares withheld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46,608</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Issuance of common stock related to employee stock purchase plan</w:t>
            </w:r>
          </w:p>
        </w:tc>
        <w:tc>
          <w:tcPr>
            <w:tcW w:w="900" w:type="dxa"/>
            <w:vAlign w:val="bottom"/>
          </w:tcPr>
          <w:p>
            <w:pPr>
              <w:jc w:val="right"/>
              <w:spacing w:after="0"/>
              <w:rPr>
                <w:sz w:val="20"/>
                <w:szCs w:val="20"/>
                <w:color w:val="auto"/>
              </w:rPr>
            </w:pPr>
            <w:r>
              <w:rPr>
                <w:rFonts w:ascii="Arial" w:cs="Arial" w:eastAsia="Arial" w:hAnsi="Arial"/>
                <w:sz w:val="13"/>
                <w:szCs w:val="13"/>
                <w:color w:val="auto"/>
              </w:rPr>
              <w:t>74,685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991</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85,030</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2,955</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loss on marketable securities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(12,472)</w:t>
            </w:r>
          </w:p>
        </w:tc>
        <w:tc>
          <w:tcPr>
            <w:tcW w:w="0" w:type="dxa"/>
            <w:vAlign w:val="bottom"/>
          </w:tcPr>
          <w:p>
            <w:pPr>
              <w:spacing w:after="0"/>
              <w:rPr>
                <w:sz w:val="1"/>
                <w:szCs w:val="1"/>
                <w:color w:val="auto"/>
              </w:rPr>
            </w:pPr>
          </w:p>
        </w:tc>
      </w:tr>
      <w:tr>
        <w:trPr>
          <w:trHeight w:val="162"/>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as of June 30,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28,612,451</w:t>
            </w: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328,079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(220,824)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107,868</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Issuance of common stock upon exercise of stock options, net of shares withheld</w:t>
            </w:r>
          </w:p>
        </w:tc>
        <w:tc>
          <w:tcPr>
            <w:tcW w:w="900" w:type="dxa"/>
            <w:vAlign w:val="bottom"/>
          </w:tcPr>
          <w:p>
            <w:pPr>
              <w:jc w:val="right"/>
              <w:spacing w:after="0"/>
              <w:rPr>
                <w:sz w:val="20"/>
                <w:szCs w:val="20"/>
                <w:color w:val="auto"/>
              </w:rPr>
            </w:pPr>
            <w:r>
              <w:rPr>
                <w:rFonts w:ascii="Arial" w:cs="Arial" w:eastAsia="Arial" w:hAnsi="Arial"/>
                <w:sz w:val="13"/>
                <w:szCs w:val="13"/>
                <w:color w:val="auto"/>
              </w:rPr>
              <w:t>137,392</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628</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88,734</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3,180</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loss on marketable securities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(9,474)</w:t>
            </w:r>
          </w:p>
        </w:tc>
        <w:tc>
          <w:tcPr>
            <w:tcW w:w="0" w:type="dxa"/>
            <w:vAlign w:val="bottom"/>
          </w:tcPr>
          <w:p>
            <w:pPr>
              <w:spacing w:after="0"/>
              <w:rPr>
                <w:sz w:val="1"/>
                <w:szCs w:val="1"/>
                <w:color w:val="auto"/>
              </w:rPr>
            </w:pPr>
          </w:p>
        </w:tc>
      </w:tr>
      <w:tr>
        <w:trPr>
          <w:trHeight w:val="187"/>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as of September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28,838,577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331,896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(230,298)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102,031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53340</wp:posOffset>
            </wp:positionV>
            <wp:extent cx="719201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20"/>
          </w:cols>
          <w:pgMar w:left="340" w:top="675"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w:t>
      </w:r>
    </w:p>
    <w:p>
      <w:pPr>
        <w:spacing w:after="0" w:line="30" w:lineRule="exact"/>
        <w:rPr>
          <w:sz w:val="20"/>
          <w:szCs w:val="20"/>
          <w:color w:val="auto"/>
        </w:rPr>
      </w:pPr>
    </w:p>
    <w:p>
      <w:pPr>
        <w:jc w:val="center"/>
        <w:ind w:left="8120"/>
        <w:spacing w:after="0"/>
        <w:rPr>
          <w:sz w:val="20"/>
          <w:szCs w:val="20"/>
          <w:color w:val="auto"/>
        </w:rPr>
      </w:pPr>
      <w:r>
        <w:rPr>
          <w:rFonts w:ascii="Arial" w:cs="Arial" w:eastAsia="Arial" w:hAnsi="Arial"/>
          <w:sz w:val="12"/>
          <w:szCs w:val="12"/>
          <w:b w:val="1"/>
          <w:bCs w:val="1"/>
          <w:color w:val="auto"/>
        </w:rPr>
        <w:t>Nine Months Ended</w:t>
      </w:r>
    </w:p>
    <w:p>
      <w:pPr>
        <w:jc w:val="center"/>
        <w:ind w:left="8120"/>
        <w:spacing w:after="0"/>
        <w:rPr>
          <w:sz w:val="20"/>
          <w:szCs w:val="20"/>
          <w:color w:val="auto"/>
        </w:rPr>
      </w:pPr>
      <w:r>
        <w:rPr>
          <w:rFonts w:ascii="Arial" w:cs="Arial" w:eastAsia="Arial" w:hAnsi="Arial"/>
          <w:sz w:val="12"/>
          <w:szCs w:val="12"/>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2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2020</w:t>
            </w:r>
          </w:p>
        </w:tc>
      </w:tr>
      <w:tr>
        <w:trPr>
          <w:trHeight w:val="142"/>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operating activities</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0"/>
        </w:trPr>
        <w:tc>
          <w:tcPr>
            <w:tcW w:w="8120" w:type="dxa"/>
            <w:vAlign w:val="bottom"/>
          </w:tcPr>
          <w:p>
            <w:pPr>
              <w:ind w:left="40"/>
              <w:spacing w:after="0"/>
              <w:rPr>
                <w:sz w:val="20"/>
                <w:szCs w:val="20"/>
                <w:color w:val="auto"/>
              </w:rPr>
            </w:pPr>
            <w:r>
              <w:rPr>
                <w:rFonts w:ascii="Arial" w:cs="Arial" w:eastAsia="Arial" w:hAnsi="Arial"/>
                <w:sz w:val="12"/>
                <w:szCs w:val="12"/>
                <w:color w:val="auto"/>
              </w:rPr>
              <w:t>Net loss</w:t>
            </w:r>
          </w:p>
        </w:tc>
        <w:tc>
          <w:tcPr>
            <w:tcW w:w="820" w:type="dxa"/>
            <w:vAlign w:val="bottom"/>
          </w:tcPr>
          <w:p>
            <w:pPr>
              <w:jc w:val="right"/>
              <w:ind w:right="679"/>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(42,095)</w:t>
            </w:r>
          </w:p>
        </w:tc>
        <w:tc>
          <w:tcPr>
            <w:tcW w:w="100" w:type="dxa"/>
            <w:vAlign w:val="bottom"/>
          </w:tcPr>
          <w:p>
            <w:pPr>
              <w:spacing w:after="0"/>
              <w:rPr>
                <w:sz w:val="13"/>
                <w:szCs w:val="13"/>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(34,718)</w:t>
            </w:r>
          </w:p>
        </w:tc>
      </w:tr>
      <w:tr>
        <w:trPr>
          <w:trHeight w:val="164"/>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0"/>
        </w:trPr>
        <w:tc>
          <w:tcPr>
            <w:tcW w:w="8120" w:type="dxa"/>
            <w:vAlign w:val="bottom"/>
          </w:tcPr>
          <w:p>
            <w:pPr>
              <w:ind w:left="240"/>
              <w:spacing w:after="0"/>
              <w:rPr>
                <w:sz w:val="20"/>
                <w:szCs w:val="20"/>
                <w:color w:val="auto"/>
              </w:rPr>
            </w:pPr>
            <w:r>
              <w:rPr>
                <w:rFonts w:ascii="Arial" w:cs="Arial" w:eastAsia="Arial" w:hAnsi="Arial"/>
                <w:sz w:val="12"/>
                <w:szCs w:val="12"/>
                <w:color w:val="auto"/>
              </w:rPr>
              <w:t>Stock-based compensation</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12,528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8,757</w:t>
            </w:r>
          </w:p>
        </w:tc>
      </w:tr>
      <w:tr>
        <w:trPr>
          <w:trHeight w:val="164"/>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 and amortization</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w:t>
            </w:r>
          </w:p>
        </w:tc>
      </w:tr>
      <w:tr>
        <w:trPr>
          <w:trHeight w:val="160"/>
        </w:trPr>
        <w:tc>
          <w:tcPr>
            <w:tcW w:w="8120" w:type="dxa"/>
            <w:vAlign w:val="bottom"/>
          </w:tcPr>
          <w:p>
            <w:pPr>
              <w:ind w:left="240"/>
              <w:spacing w:after="0"/>
              <w:rPr>
                <w:sz w:val="20"/>
                <w:szCs w:val="20"/>
                <w:color w:val="auto"/>
              </w:rPr>
            </w:pPr>
            <w:r>
              <w:rPr>
                <w:rFonts w:ascii="Arial" w:cs="Arial" w:eastAsia="Arial" w:hAnsi="Arial"/>
                <w:sz w:val="12"/>
                <w:szCs w:val="12"/>
                <w:color w:val="auto"/>
              </w:rPr>
              <w:t>Bad debt expense</w:t>
            </w:r>
          </w:p>
        </w:tc>
        <w:tc>
          <w:tcPr>
            <w:tcW w:w="8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235</w:t>
            </w:r>
          </w:p>
        </w:tc>
      </w:tr>
      <w:tr>
        <w:trPr>
          <w:trHeight w:val="164"/>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Accretion (amortization) of discount on marketable securities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r>
        <w:trPr>
          <w:trHeight w:val="160"/>
        </w:trPr>
        <w:tc>
          <w:tcPr>
            <w:tcW w:w="8120" w:type="dxa"/>
            <w:vAlign w:val="bottom"/>
          </w:tcPr>
          <w:p>
            <w:pPr>
              <w:ind w:left="240"/>
              <w:spacing w:after="0"/>
              <w:rPr>
                <w:sz w:val="20"/>
                <w:szCs w:val="20"/>
                <w:color w:val="auto"/>
              </w:rPr>
            </w:pPr>
            <w:r>
              <w:rPr>
                <w:rFonts w:ascii="Arial" w:cs="Arial" w:eastAsia="Arial" w:hAnsi="Arial"/>
                <w:sz w:val="12"/>
                <w:szCs w:val="12"/>
                <w:color w:val="auto"/>
              </w:rPr>
              <w:t>Realized gain on marketable securities</w:t>
            </w:r>
          </w:p>
        </w:tc>
        <w:tc>
          <w:tcPr>
            <w:tcW w:w="8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64"/>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Amortization of debt issuance costs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r>
      <w:tr>
        <w:trPr>
          <w:trHeight w:val="160"/>
        </w:trPr>
        <w:tc>
          <w:tcPr>
            <w:tcW w:w="8120" w:type="dxa"/>
            <w:vAlign w:val="bottom"/>
          </w:tcPr>
          <w:p>
            <w:pPr>
              <w:ind w:left="240"/>
              <w:spacing w:after="0"/>
              <w:rPr>
                <w:sz w:val="20"/>
                <w:szCs w:val="20"/>
                <w:color w:val="auto"/>
              </w:rPr>
            </w:pPr>
            <w:r>
              <w:rPr>
                <w:rFonts w:ascii="Arial" w:cs="Arial" w:eastAsia="Arial" w:hAnsi="Arial"/>
                <w:sz w:val="12"/>
                <w:szCs w:val="12"/>
                <w:color w:val="auto"/>
              </w:rPr>
              <w:t>Loss on extinguishment of debt</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1,848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1,534</w:t>
            </w:r>
          </w:p>
        </w:tc>
      </w:tr>
      <w:tr>
        <w:trPr>
          <w:trHeight w:val="164"/>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Loss on sale and disposal of property and equipment</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w:t>
            </w:r>
          </w:p>
        </w:tc>
      </w:tr>
      <w:tr>
        <w:trPr>
          <w:trHeight w:val="160"/>
        </w:trPr>
        <w:tc>
          <w:tcPr>
            <w:tcW w:w="8120" w:type="dxa"/>
            <w:vAlign w:val="bottom"/>
          </w:tcPr>
          <w:p>
            <w:pPr>
              <w:ind w:left="40"/>
              <w:spacing w:after="0"/>
              <w:rPr>
                <w:sz w:val="20"/>
                <w:szCs w:val="20"/>
                <w:color w:val="auto"/>
              </w:rPr>
            </w:pPr>
            <w:r>
              <w:rPr>
                <w:rFonts w:ascii="Arial" w:cs="Arial" w:eastAsia="Arial" w:hAnsi="Arial"/>
                <w:sz w:val="12"/>
                <w:szCs w:val="12"/>
                <w:color w:val="auto"/>
              </w:rPr>
              <w:t>Changes in operating assets and liabilities:</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4"/>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r>
      <w:tr>
        <w:trPr>
          <w:trHeight w:val="160"/>
        </w:trPr>
        <w:tc>
          <w:tcPr>
            <w:tcW w:w="8120" w:type="dxa"/>
            <w:vAlign w:val="bottom"/>
          </w:tcPr>
          <w:p>
            <w:pPr>
              <w:ind w:left="240"/>
              <w:spacing w:after="0"/>
              <w:rPr>
                <w:sz w:val="20"/>
                <w:szCs w:val="20"/>
                <w:color w:val="auto"/>
              </w:rPr>
            </w:pPr>
            <w:r>
              <w:rPr>
                <w:rFonts w:ascii="Arial" w:cs="Arial" w:eastAsia="Arial" w:hAnsi="Arial"/>
                <w:sz w:val="12"/>
                <w:szCs w:val="12"/>
                <w:color w:val="auto"/>
              </w:rPr>
              <w:t>Inventory</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(4,545)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337</w:t>
            </w:r>
          </w:p>
        </w:tc>
      </w:tr>
      <w:tr>
        <w:trPr>
          <w:trHeight w:val="164"/>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assets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1,489</w:t>
            </w:r>
          </w:p>
        </w:tc>
      </w:tr>
      <w:tr>
        <w:trPr>
          <w:trHeight w:val="160"/>
        </w:trPr>
        <w:tc>
          <w:tcPr>
            <w:tcW w:w="812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416</w:t>
            </w:r>
          </w:p>
        </w:tc>
      </w:tr>
      <w:tr>
        <w:trPr>
          <w:trHeight w:val="164"/>
        </w:trPr>
        <w:tc>
          <w:tcPr>
            <w:tcW w:w="8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liabilities and other</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(2,072)</w:t>
            </w:r>
          </w:p>
        </w:tc>
      </w:tr>
      <w:tr>
        <w:trPr>
          <w:trHeight w:val="150"/>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2"/>
                <w:szCs w:val="12"/>
                <w:color w:val="auto"/>
              </w:rPr>
              <w:t>Net cash used in operating activities</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(26,819)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(22,780)</w:t>
            </w:r>
          </w:p>
        </w:tc>
      </w:tr>
      <w:tr>
        <w:trPr>
          <w:trHeight w:val="144"/>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investing activities</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0"/>
        </w:trPr>
        <w:tc>
          <w:tcPr>
            <w:tcW w:w="8120" w:type="dxa"/>
            <w:vAlign w:val="bottom"/>
          </w:tcPr>
          <w:p>
            <w:pPr>
              <w:ind w:left="80"/>
              <w:spacing w:after="0"/>
              <w:rPr>
                <w:sz w:val="20"/>
                <w:szCs w:val="20"/>
                <w:color w:val="auto"/>
              </w:rPr>
            </w:pPr>
            <w:r>
              <w:rPr>
                <w:rFonts w:ascii="Arial" w:cs="Arial" w:eastAsia="Arial" w:hAnsi="Arial"/>
                <w:sz w:val="12"/>
                <w:szCs w:val="12"/>
                <w:color w:val="auto"/>
              </w:rPr>
              <w:t>Maturities of marketable securities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107,494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63,200</w:t>
            </w:r>
          </w:p>
        </w:tc>
      </w:tr>
      <w:tr>
        <w:trPr>
          <w:trHeight w:val="164"/>
        </w:trPr>
        <w:tc>
          <w:tcPr>
            <w:tcW w:w="8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Sales of marketable securities</w:t>
            </w:r>
          </w:p>
        </w:tc>
        <w:tc>
          <w:tcPr>
            <w:tcW w:w="8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12,592</w:t>
            </w:r>
          </w:p>
        </w:tc>
      </w:tr>
      <w:tr>
        <w:trPr>
          <w:trHeight w:val="160"/>
        </w:trPr>
        <w:tc>
          <w:tcPr>
            <w:tcW w:w="8120" w:type="dxa"/>
            <w:vAlign w:val="bottom"/>
          </w:tcPr>
          <w:p>
            <w:pPr>
              <w:ind w:left="80"/>
              <w:spacing w:after="0"/>
              <w:rPr>
                <w:sz w:val="20"/>
                <w:szCs w:val="20"/>
                <w:color w:val="auto"/>
              </w:rPr>
            </w:pPr>
            <w:r>
              <w:rPr>
                <w:rFonts w:ascii="Arial" w:cs="Arial" w:eastAsia="Arial" w:hAnsi="Arial"/>
                <w:sz w:val="12"/>
                <w:szCs w:val="12"/>
                <w:color w:val="auto"/>
              </w:rPr>
              <w:t>Purchases of marketable securities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(66,678)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(69,145)</w:t>
            </w:r>
          </w:p>
        </w:tc>
      </w:tr>
      <w:tr>
        <w:trPr>
          <w:trHeight w:val="164"/>
        </w:trPr>
        <w:tc>
          <w:tcPr>
            <w:tcW w:w="8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Purchases of property and equipment</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(4,614)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(1,744)</w:t>
            </w:r>
          </w:p>
        </w:tc>
      </w:tr>
      <w:tr>
        <w:trPr>
          <w:trHeight w:val="150"/>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2"/>
                <w:szCs w:val="12"/>
                <w:color w:val="auto"/>
              </w:rPr>
              <w:t>Net cash provided by investing activities</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36,202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4,903</w:t>
            </w:r>
          </w:p>
        </w:tc>
      </w:tr>
      <w:tr>
        <w:trPr>
          <w:trHeight w:val="144"/>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financing activities</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0"/>
        </w:trPr>
        <w:tc>
          <w:tcPr>
            <w:tcW w:w="8120" w:type="dxa"/>
            <w:vAlign w:val="bottom"/>
          </w:tcPr>
          <w:p>
            <w:pPr>
              <w:ind w:left="80"/>
              <w:spacing w:after="0"/>
              <w:rPr>
                <w:sz w:val="20"/>
                <w:szCs w:val="20"/>
                <w:color w:val="auto"/>
              </w:rPr>
            </w:pPr>
            <w:r>
              <w:rPr>
                <w:rFonts w:ascii="Arial" w:cs="Arial" w:eastAsia="Arial" w:hAnsi="Arial"/>
                <w:sz w:val="12"/>
                <w:szCs w:val="12"/>
                <w:color w:val="auto"/>
              </w:rPr>
              <w:t>Proceeds from follow-on public offering, net of underwriting discounts, commissions and offering costs</w:t>
            </w:r>
          </w:p>
        </w:tc>
        <w:tc>
          <w:tcPr>
            <w:tcW w:w="8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62,978</w:t>
            </w:r>
          </w:p>
        </w:tc>
      </w:tr>
      <w:tr>
        <w:trPr>
          <w:trHeight w:val="164"/>
        </w:trPr>
        <w:tc>
          <w:tcPr>
            <w:tcW w:w="8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debt financing</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45,297</w:t>
            </w:r>
          </w:p>
        </w:tc>
      </w:tr>
      <w:tr>
        <w:trPr>
          <w:trHeight w:val="160"/>
        </w:trPr>
        <w:tc>
          <w:tcPr>
            <w:tcW w:w="8120" w:type="dxa"/>
            <w:vAlign w:val="bottom"/>
          </w:tcPr>
          <w:p>
            <w:pPr>
              <w:ind w:left="80"/>
              <w:spacing w:after="0"/>
              <w:rPr>
                <w:sz w:val="20"/>
                <w:szCs w:val="20"/>
                <w:color w:val="auto"/>
              </w:rPr>
            </w:pPr>
            <w:r>
              <w:rPr>
                <w:rFonts w:ascii="Arial" w:cs="Arial" w:eastAsia="Arial" w:hAnsi="Arial"/>
                <w:sz w:val="12"/>
                <w:szCs w:val="12"/>
                <w:color w:val="auto"/>
              </w:rPr>
              <w:t>Repayments of debt financing</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(41,000)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(45,297)</w:t>
            </w:r>
          </w:p>
        </w:tc>
      </w:tr>
      <w:tr>
        <w:trPr>
          <w:trHeight w:val="164"/>
        </w:trPr>
        <w:tc>
          <w:tcPr>
            <w:tcW w:w="8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Payments of debt issuance costs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w:t>
            </w:r>
          </w:p>
        </w:tc>
      </w:tr>
      <w:tr>
        <w:trPr>
          <w:trHeight w:val="160"/>
        </w:trPr>
        <w:tc>
          <w:tcPr>
            <w:tcW w:w="8120" w:type="dxa"/>
            <w:vAlign w:val="bottom"/>
          </w:tcPr>
          <w:p>
            <w:pPr>
              <w:ind w:left="80"/>
              <w:spacing w:after="0"/>
              <w:rPr>
                <w:sz w:val="20"/>
                <w:szCs w:val="20"/>
                <w:color w:val="auto"/>
              </w:rPr>
            </w:pPr>
            <w:r>
              <w:rPr>
                <w:rFonts w:ascii="Arial" w:cs="Arial" w:eastAsia="Arial" w:hAnsi="Arial"/>
                <w:sz w:val="12"/>
                <w:szCs w:val="12"/>
                <w:color w:val="auto"/>
              </w:rPr>
              <w:t>Payments of prepayment penalty and lender fees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(508)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(843)</w:t>
            </w:r>
          </w:p>
        </w:tc>
      </w:tr>
      <w:tr>
        <w:trPr>
          <w:trHeight w:val="164"/>
        </w:trPr>
        <w:tc>
          <w:tcPr>
            <w:tcW w:w="8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issuance of common stock under employee stock purchase plan</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991</w:t>
            </w:r>
          </w:p>
        </w:tc>
      </w:tr>
      <w:tr>
        <w:trPr>
          <w:trHeight w:val="160"/>
        </w:trPr>
        <w:tc>
          <w:tcPr>
            <w:tcW w:w="81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Proceeds from the exercise of stock options</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987</w:t>
            </w:r>
          </w:p>
        </w:tc>
      </w:tr>
      <w:tr>
        <w:trPr>
          <w:trHeight w:val="154"/>
        </w:trPr>
        <w:tc>
          <w:tcPr>
            <w:tcW w:w="81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provided by (used in) financing activities</w:t>
            </w: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(2,726)</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63,363</w:t>
            </w:r>
          </w:p>
        </w:tc>
      </w:tr>
      <w:tr>
        <w:trPr>
          <w:trHeight w:val="150"/>
        </w:trPr>
        <w:tc>
          <w:tcPr>
            <w:tcW w:w="81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Effect of exchange rate changes on cash and cash equivalents</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w:t>
            </w:r>
          </w:p>
        </w:tc>
      </w:tr>
      <w:tr>
        <w:trPr>
          <w:trHeight w:val="154"/>
        </w:trPr>
        <w:tc>
          <w:tcPr>
            <w:tcW w:w="81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increase in cash and cash equivalents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45,561</w:t>
            </w:r>
          </w:p>
        </w:tc>
      </w:tr>
      <w:tr>
        <w:trPr>
          <w:trHeight w:val="160"/>
        </w:trPr>
        <w:tc>
          <w:tcPr>
            <w:tcW w:w="8120" w:type="dxa"/>
            <w:vAlign w:val="bottom"/>
          </w:tcPr>
          <w:p>
            <w:pPr>
              <w:ind w:left="40"/>
              <w:spacing w:after="0"/>
              <w:rPr>
                <w:sz w:val="20"/>
                <w:szCs w:val="20"/>
                <w:color w:val="auto"/>
              </w:rPr>
            </w:pPr>
            <w:r>
              <w:rPr>
                <w:rFonts w:ascii="Arial" w:cs="Arial" w:eastAsia="Arial" w:hAnsi="Arial"/>
                <w:sz w:val="12"/>
                <w:szCs w:val="12"/>
                <w:b w:val="1"/>
                <w:bCs w:val="1"/>
                <w:color w:val="auto"/>
              </w:rPr>
              <w:t>Cash and cash equivalents at</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4"/>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Beginning of period</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53,581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10,435</w:t>
            </w:r>
          </w:p>
        </w:tc>
      </w:tr>
      <w:tr>
        <w:trPr>
          <w:trHeight w:val="132"/>
        </w:trPr>
        <w:tc>
          <w:tcPr>
            <w:tcW w:w="8120" w:type="dxa"/>
            <w:vAlign w:val="bottom"/>
          </w:tcPr>
          <w:p>
            <w:pPr>
              <w:ind w:left="40"/>
              <w:spacing w:after="0" w:line="132" w:lineRule="exact"/>
              <w:rPr>
                <w:sz w:val="20"/>
                <w:szCs w:val="20"/>
                <w:color w:val="auto"/>
              </w:rPr>
            </w:pPr>
            <w:r>
              <w:rPr>
                <w:rFonts w:ascii="Arial" w:cs="Arial" w:eastAsia="Arial" w:hAnsi="Arial"/>
                <w:sz w:val="12"/>
                <w:szCs w:val="12"/>
                <w:color w:val="auto"/>
              </w:rPr>
              <w:t>End of period</w:t>
            </w:r>
          </w:p>
        </w:tc>
        <w:tc>
          <w:tcPr>
            <w:tcW w:w="820" w:type="dxa"/>
            <w:vAlign w:val="bottom"/>
            <w:tcBorders>
              <w:bottom w:val="single" w:sz="8" w:color="auto"/>
            </w:tcBorders>
          </w:tcPr>
          <w:p>
            <w:pPr>
              <w:jc w:val="right"/>
              <w:ind w:right="679"/>
              <w:spacing w:after="0" w:line="132" w:lineRule="exact"/>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59,863</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55,996</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2"/>
        </w:trPr>
        <w:tc>
          <w:tcPr>
            <w:tcW w:w="8120" w:type="dxa"/>
            <w:vAlign w:val="bottom"/>
            <w:shd w:val="clear" w:color="auto" w:fill="CCEEFF"/>
          </w:tcPr>
          <w:p>
            <w:pPr>
              <w:ind w:left="40"/>
              <w:spacing w:after="0" w:line="122" w:lineRule="exact"/>
              <w:rPr>
                <w:sz w:val="20"/>
                <w:szCs w:val="20"/>
                <w:color w:val="auto"/>
              </w:rPr>
            </w:pPr>
            <w:r>
              <w:rPr>
                <w:rFonts w:ascii="Arial" w:cs="Arial" w:eastAsia="Arial" w:hAnsi="Arial"/>
                <w:sz w:val="12"/>
                <w:szCs w:val="12"/>
                <w:b w:val="1"/>
                <w:bCs w:val="1"/>
                <w:color w:val="auto"/>
              </w:rPr>
              <w:t>Supplemental disclosure of non-cash information</w:t>
            </w: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60"/>
        </w:trPr>
        <w:tc>
          <w:tcPr>
            <w:tcW w:w="8120" w:type="dxa"/>
            <w:vAlign w:val="bottom"/>
          </w:tcPr>
          <w:p>
            <w:pPr>
              <w:ind w:left="40"/>
              <w:spacing w:after="0"/>
              <w:rPr>
                <w:sz w:val="20"/>
                <w:szCs w:val="20"/>
                <w:color w:val="auto"/>
              </w:rPr>
            </w:pPr>
            <w:r>
              <w:rPr>
                <w:rFonts w:ascii="Arial" w:cs="Arial" w:eastAsia="Arial" w:hAnsi="Arial"/>
                <w:sz w:val="12"/>
                <w:szCs w:val="12"/>
                <w:color w:val="auto"/>
              </w:rPr>
              <w:t>Vesting of early exercised stock options</w:t>
            </w:r>
          </w:p>
        </w:tc>
        <w:tc>
          <w:tcPr>
            <w:tcW w:w="820" w:type="dxa"/>
            <w:vAlign w:val="bottom"/>
          </w:tcPr>
          <w:p>
            <w:pPr>
              <w:jc w:val="right"/>
              <w:ind w:right="679"/>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64"/>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Unpaid purchases of property and equipment</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w:t>
            </w:r>
          </w:p>
        </w:tc>
      </w:tr>
    </w:tbl>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168910</wp:posOffset>
            </wp:positionV>
            <wp:extent cx="719201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0860"/>
          </w:cols>
          <w:pgMar w:left="520" w:top="663" w:right="5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1. The Company and Nature of Business</w:t>
      </w:r>
    </w:p>
    <w:p>
      <w:pPr>
        <w:spacing w:after="0" w:line="95" w:lineRule="exact"/>
        <w:rPr>
          <w:sz w:val="20"/>
          <w:szCs w:val="20"/>
          <w:color w:val="auto"/>
        </w:rPr>
      </w:pPr>
    </w:p>
    <w:p>
      <w:pPr>
        <w:jc w:val="both"/>
        <w:ind w:firstLine="334"/>
        <w:spacing w:after="0" w:line="311" w:lineRule="auto"/>
        <w:rPr>
          <w:sz w:val="20"/>
          <w:szCs w:val="20"/>
          <w:color w:val="auto"/>
        </w:rPr>
      </w:pPr>
      <w:r>
        <w:rPr>
          <w:rFonts w:ascii="Arial" w:cs="Arial" w:eastAsia="Arial" w:hAnsi="Arial"/>
          <w:sz w:val="12"/>
          <w:szCs w:val="12"/>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primary product, the iFuse Implant System, or iFuse, in 2009 in the U.S., in 2010 in certain countries in the European Union, and in 2015 in certain countries in the rest of the world.</w:t>
      </w:r>
    </w:p>
    <w:p>
      <w:pPr>
        <w:spacing w:after="0" w:line="111" w:lineRule="exact"/>
        <w:rPr>
          <w:sz w:val="20"/>
          <w:szCs w:val="20"/>
          <w:color w:val="auto"/>
        </w:rPr>
      </w:pPr>
    </w:p>
    <w:p>
      <w:pPr>
        <w:jc w:val="both"/>
        <w:ind w:firstLine="334"/>
        <w:spacing w:after="0" w:line="267" w:lineRule="auto"/>
        <w:rPr>
          <w:sz w:val="20"/>
          <w:szCs w:val="20"/>
          <w:color w:val="auto"/>
        </w:rPr>
      </w:pPr>
      <w:r>
        <w:rPr>
          <w:rFonts w:ascii="Arial" w:cs="Arial" w:eastAsia="Arial" w:hAnsi="Arial"/>
          <w:sz w:val="13"/>
          <w:szCs w:val="13"/>
          <w:color w:val="auto"/>
        </w:rPr>
        <w:t>In the first quarter of 2020, the Company received $63.0 million of net proceeds from its first follow-on public offering of 4,300,000 shares of the Company's common stock, of which 2,490,053 shares were offered and sold by the Company, and the exercise of underwriter's option to purchase from the Company an additional 645,000 shares of the Company's common stock, at a public offering price of $21.50 per share. The total public offering costs incurred in connection with the follow-on offering were allocated based on the gross proceeds received by the Company and the other selling shareholders on a pro-rated basis. Public offering cost of $0.4 million allocated to selling of shares by the Company was charged against the gross proceeds received from the follow-on offering. Public offering costs of $0.2 million allocated to selling of shares by the selling shareholders was recognized as transaction costs within general and administrative expenses on the consolidated statements of operations in the year ended December 31, 2020.</w:t>
      </w:r>
    </w:p>
    <w:p>
      <w:pPr>
        <w:spacing w:after="0" w:line="136"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3"/>
          <w:szCs w:val="13"/>
          <w:color w:val="auto"/>
        </w:rPr>
        <w:t>In October 2020, the Company received $71.6 million of net proceeds from its second follow-on public offering of shares of the Company's common stock, of which 3,000,000 shares were offered and sold by the Company, and the exercise of underwriter's option to purchase from the Company an additional 478,507 shares of the Company's common stock, at a public offering price of $22.00 per share. In addition to the shares sold by the Company in this second follow-on offering, the selling stockholder sold 190,053 shares of the Company's common stock previously held by the selling stockholder at a price to the public of $22.00 per share. The Company did not receive any proceeds from the sale by the selling stockholder.</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Risks and Uncertainties</w:t>
      </w:r>
    </w:p>
    <w:p>
      <w:pPr>
        <w:spacing w:after="0" w:line="174"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3"/>
          <w:szCs w:val="13"/>
          <w:color w:val="auto"/>
        </w:rPr>
        <w:t>The Company is subject to continuing risk and uncertainties as a result of the COVID-19 pandemic, and is closely monitoring the impact of the pandemic on all aspects of its business, including the impacts on its customers, patients that would benefit from procedures involving the Company's products, employees, suppliers, vendors, business partners and distribution channels. Economies worldwide continue to be negatively impacted by the COVID-19 pandemic, in particular with recurrent outbreaks and mutations of the virus, despite advances in vaccines, and the Company anticipates these disruptions will continue. While the Company has not experienced material disruptions to its supply chain to date, certain of its third-party suppliers have faced delays, product shortages and rising costs resulting from disruptions in the global supply chain, primarily related to the instruments. As a result, the Company is continuing to work closely with its manufacturing partners and suppliers, as well as determining alternative sourcing strategies to enable the Company to source key components and maintain appropriate inventory levels to meet customer demand. As such the Company's future results of operations and liquidity could be adversely impacted by a variety of factors related to the COVID-19 pandemic, including those discussed in the section entitled "Risk Factors" of the Company's Annual Report on Form 10-K for the year ended December 31, 2020. As of the date of issuance of these condensed consolidated financial statements, the extent to which the COVID-19 pandemic may materially impact the Company's financial condition, liquidity, or results of operations remains uncertain.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Summary of Significant Accounting Policies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Basis of Presentation and Principles of Consolidation</w:t>
      </w:r>
    </w:p>
    <w:p>
      <w:pPr>
        <w:spacing w:after="0" w:line="174" w:lineRule="exact"/>
        <w:rPr>
          <w:sz w:val="20"/>
          <w:szCs w:val="20"/>
          <w:color w:val="auto"/>
        </w:rPr>
      </w:pPr>
    </w:p>
    <w:p>
      <w:pPr>
        <w:jc w:val="both"/>
        <w:ind w:firstLine="364"/>
        <w:spacing w:after="0" w:line="266"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2020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nine months ended September 30, 2021 are not necessarily indicative of the results to be expected for the year ending December 31, 2021 or for any other interim period or for any other future year.</w:t>
      </w:r>
    </w:p>
    <w:p>
      <w:pPr>
        <w:spacing w:after="0" w:line="136" w:lineRule="exact"/>
        <w:rPr>
          <w:sz w:val="20"/>
          <w:szCs w:val="20"/>
          <w:color w:val="auto"/>
        </w:rPr>
      </w:pPr>
    </w:p>
    <w:p>
      <w:pPr>
        <w:jc w:val="both"/>
        <w:ind w:firstLine="334"/>
        <w:spacing w:after="0" w:line="296" w:lineRule="auto"/>
        <w:rPr>
          <w:sz w:val="20"/>
          <w:szCs w:val="20"/>
          <w:color w:val="auto"/>
        </w:rPr>
      </w:pPr>
      <w:r>
        <w:rPr>
          <w:rFonts w:ascii="Arial" w:cs="Arial" w:eastAsia="Arial" w:hAnsi="Arial"/>
          <w:sz w:val="13"/>
          <w:szCs w:val="13"/>
          <w:color w:val="auto"/>
        </w:rPr>
        <w:t>The accompanying condensed consolidated financial statements should be read in conjunction with the audited financial statements and related notes thereto for the year ended December 31, 2020 contained in the Company’s Annual Report on Form 10-K filed with the SEC on March 10, 2021.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9201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34"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Estimates are based on historical experience, where applicable and other assumptions believed to be reasonable by the management. Actual results could differ from those estimates.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Significant Accounting Policies</w:t>
      </w:r>
    </w:p>
    <w:p>
      <w:pPr>
        <w:spacing w:after="0" w:line="174" w:lineRule="exact"/>
        <w:rPr>
          <w:sz w:val="20"/>
          <w:szCs w:val="20"/>
          <w:color w:val="auto"/>
        </w:rPr>
      </w:pPr>
    </w:p>
    <w:p>
      <w:pPr>
        <w:jc w:val="both"/>
        <w:ind w:firstLine="304"/>
        <w:spacing w:after="0" w:line="296" w:lineRule="auto"/>
        <w:rPr>
          <w:sz w:val="20"/>
          <w:szCs w:val="20"/>
          <w:color w:val="auto"/>
        </w:rPr>
      </w:pPr>
      <w:r>
        <w:rPr>
          <w:rFonts w:ascii="Arial" w:cs="Arial" w:eastAsia="Arial" w:hAnsi="Arial"/>
          <w:sz w:val="13"/>
          <w:szCs w:val="13"/>
          <w:color w:val="auto"/>
        </w:rPr>
        <w:t>The Company’s significant accounting policies are disclosed in the Company’s Annual Report on Form 10-K for the year ended December 31, 2020. There have been no material changes to these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JOBS Act Accounting Election</w:t>
      </w:r>
    </w:p>
    <w:p>
      <w:pPr>
        <w:spacing w:after="0" w:line="174"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3"/>
          <w:szCs w:val="13"/>
          <w:color w:val="auto"/>
        </w:rPr>
        <w:t>As an emerging growth company under the Jumpstart Our Business Startups Act of 2012 (the “JOBS Act”), the Company has been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As a result, these condensed consolidated financial statements may not be comparable to companies that comply with the new or revised accounting pronouncements as of public company effective dates.</w:t>
      </w:r>
    </w:p>
    <w:p>
      <w:pPr>
        <w:spacing w:after="0" w:line="122" w:lineRule="exact"/>
        <w:rPr>
          <w:sz w:val="20"/>
          <w:szCs w:val="20"/>
          <w:color w:val="auto"/>
        </w:rPr>
      </w:pPr>
    </w:p>
    <w:p>
      <w:pPr>
        <w:jc w:val="both"/>
        <w:ind w:firstLine="304"/>
        <w:spacing w:after="0" w:line="245" w:lineRule="auto"/>
        <w:rPr>
          <w:sz w:val="20"/>
          <w:szCs w:val="20"/>
          <w:color w:val="auto"/>
        </w:rPr>
      </w:pPr>
      <w:r>
        <w:rPr>
          <w:rFonts w:ascii="Arial" w:cs="Arial" w:eastAsia="Arial" w:hAnsi="Arial"/>
          <w:sz w:val="13"/>
          <w:szCs w:val="13"/>
          <w:color w:val="auto"/>
        </w:rPr>
        <w:t>On June 30, 2021, the Company’s public float exceeded $700 million and as such the Company will be deemed to be a large accelerated filer under Rule 12b-2 of the Exchange Act, commencing with the Company’s Annual Report on Form 10-K for the 2021 fiscal year. The Company will retain its current filer status until the end of 2021. As a large accelerated filer, the Company will no longer qualify as an emerging growth company nor be eligible to rely on the benefits afforded to emerging growth companies under the JOBS Act.</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Segments</w:t>
      </w:r>
    </w:p>
    <w:p>
      <w:pPr>
        <w:spacing w:after="0" w:line="134"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3"/>
          <w:szCs w:val="13"/>
          <w:color w:val="auto"/>
        </w:rPr>
        <w:t>The Company manages and operates as one reportable segment. The Company derives substantially all of its revenue from sales to customers in the U.S. Revenue by geography is based on billing address of the customer. No single country outside the U.S. accounts for more than 10% of the total revenue during the periods presented. Long-lived assets held outside the U.S. are immaterial. The table below summarizes the Company's revenue by geography: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140" w:type="dxa"/>
            <w:vAlign w:val="bottom"/>
            <w:gridSpan w:val="6"/>
          </w:tcPr>
          <w:p>
            <w:pPr>
              <w:ind w:left="740"/>
              <w:spacing w:after="0"/>
              <w:rPr>
                <w:sz w:val="20"/>
                <w:szCs w:val="20"/>
                <w:color w:val="auto"/>
              </w:rPr>
            </w:pPr>
            <w:r>
              <w:rPr>
                <w:rFonts w:ascii="Arial" w:cs="Arial" w:eastAsia="Arial" w:hAnsi="Arial"/>
                <w:sz w:val="12"/>
                <w:szCs w:val="12"/>
                <w:b w:val="1"/>
                <w:bCs w:val="1"/>
                <w:color w:val="auto"/>
              </w:rPr>
              <w:t>Three Months Ended September 30,</w:t>
            </w:r>
          </w:p>
        </w:tc>
        <w:tc>
          <w:tcPr>
            <w:tcW w:w="580" w:type="dxa"/>
            <w:vAlign w:val="bottom"/>
          </w:tcPr>
          <w:p>
            <w:pPr>
              <w:spacing w:after="0"/>
              <w:rPr>
                <w:sz w:val="13"/>
                <w:szCs w:val="13"/>
                <w:color w:val="auto"/>
              </w:rPr>
            </w:pPr>
          </w:p>
        </w:tc>
        <w:tc>
          <w:tcPr>
            <w:tcW w:w="3560" w:type="dxa"/>
            <w:vAlign w:val="bottom"/>
            <w:gridSpan w:val="4"/>
          </w:tcPr>
          <w:p>
            <w:pPr>
              <w:ind w:left="160"/>
              <w:spacing w:after="0"/>
              <w:rPr>
                <w:sz w:val="20"/>
                <w:szCs w:val="20"/>
                <w:color w:val="auto"/>
              </w:rPr>
            </w:pPr>
            <w:r>
              <w:rPr>
                <w:rFonts w:ascii="Arial" w:cs="Arial" w:eastAsia="Arial" w:hAnsi="Arial"/>
                <w:sz w:val="12"/>
                <w:szCs w:val="12"/>
                <w:b w:val="1"/>
                <w:bCs w:val="1"/>
                <w:color w:val="auto"/>
              </w:rPr>
              <w:t>Nine Months Ended September 30,</w:t>
            </w:r>
          </w:p>
        </w:tc>
      </w:tr>
      <w:tr>
        <w:trPr>
          <w:trHeight w:val="152"/>
        </w:trPr>
        <w:tc>
          <w:tcPr>
            <w:tcW w:w="3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2"/>
                <w:szCs w:val="12"/>
                <w:b w:val="1"/>
                <w:bCs w:val="1"/>
                <w:color w:val="auto"/>
              </w:rPr>
              <w:t>2020</w:t>
            </w:r>
          </w:p>
        </w:tc>
        <w:tc>
          <w:tcPr>
            <w:tcW w:w="1200" w:type="dxa"/>
            <w:vAlign w:val="bottom"/>
          </w:tcPr>
          <w:p>
            <w:pPr>
              <w:spacing w:after="0"/>
              <w:rPr>
                <w:sz w:val="13"/>
                <w:szCs w:val="13"/>
                <w:color w:val="auto"/>
              </w:rPr>
            </w:pPr>
          </w:p>
        </w:tc>
      </w:tr>
      <w:tr>
        <w:trPr>
          <w:trHeight w:val="152"/>
        </w:trPr>
        <w:tc>
          <w:tcPr>
            <w:tcW w:w="3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60" w:type="dxa"/>
            <w:vAlign w:val="bottom"/>
            <w:gridSpan w:val="3"/>
          </w:tcPr>
          <w:p>
            <w:pPr>
              <w:jc w:val="right"/>
              <w:ind w:right="73"/>
              <w:spacing w:after="0"/>
              <w:rPr>
                <w:sz w:val="20"/>
                <w:szCs w:val="20"/>
                <w:color w:val="auto"/>
              </w:rPr>
            </w:pPr>
            <w:r>
              <w:rPr>
                <w:rFonts w:ascii="Arial" w:cs="Arial" w:eastAsia="Arial" w:hAnsi="Arial"/>
                <w:sz w:val="12"/>
                <w:szCs w:val="12"/>
                <w:b w:val="1"/>
                <w:bCs w:val="1"/>
                <w:color w:val="auto"/>
              </w:rPr>
              <w:t>(in thousands)</w:t>
            </w: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4"/>
        </w:trPr>
        <w:tc>
          <w:tcPr>
            <w:tcW w:w="340" w:type="dxa"/>
            <w:vAlign w:val="bottom"/>
          </w:tcPr>
          <w:p>
            <w:pPr>
              <w:spacing w:after="0"/>
              <w:rPr>
                <w:sz w:val="15"/>
                <w:szCs w:val="15"/>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United States</w:t>
            </w:r>
          </w:p>
        </w:tc>
        <w:tc>
          <w:tcPr>
            <w:tcW w:w="104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20,392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18,924</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59,391</w:t>
            </w:r>
          </w:p>
        </w:tc>
        <w:tc>
          <w:tcPr>
            <w:tcW w:w="4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47,442</w:t>
            </w:r>
          </w:p>
        </w:tc>
        <w:tc>
          <w:tcPr>
            <w:tcW w:w="1200" w:type="dxa"/>
            <w:vAlign w:val="bottom"/>
          </w:tcPr>
          <w:p>
            <w:pPr>
              <w:spacing w:after="0"/>
              <w:rPr>
                <w:sz w:val="15"/>
                <w:szCs w:val="15"/>
                <w:color w:val="auto"/>
              </w:rPr>
            </w:pPr>
          </w:p>
        </w:tc>
      </w:tr>
      <w:tr>
        <w:trPr>
          <w:trHeight w:val="172"/>
        </w:trPr>
        <w:tc>
          <w:tcPr>
            <w:tcW w:w="340" w:type="dxa"/>
            <w:vAlign w:val="bottom"/>
          </w:tcPr>
          <w:p>
            <w:pPr>
              <w:spacing w:after="0"/>
              <w:rPr>
                <w:sz w:val="14"/>
                <w:szCs w:val="14"/>
                <w:color w:val="auto"/>
              </w:rPr>
            </w:pPr>
          </w:p>
        </w:tc>
        <w:tc>
          <w:tcPr>
            <w:tcW w:w="36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International</w:t>
            </w: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1,894</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1,449</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5,531</w:t>
            </w: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3,801</w:t>
            </w:r>
          </w:p>
        </w:tc>
        <w:tc>
          <w:tcPr>
            <w:tcW w:w="1200" w:type="dxa"/>
            <w:vAlign w:val="bottom"/>
          </w:tcPr>
          <w:p>
            <w:pPr>
              <w:spacing w:after="0"/>
              <w:rPr>
                <w:sz w:val="14"/>
                <w:szCs w:val="14"/>
                <w:color w:val="auto"/>
              </w:rPr>
            </w:pPr>
          </w:p>
        </w:tc>
      </w:tr>
      <w:tr>
        <w:trPr>
          <w:trHeight w:val="187"/>
        </w:trPr>
        <w:tc>
          <w:tcPr>
            <w:tcW w:w="340" w:type="dxa"/>
            <w:vAlign w:val="bottom"/>
          </w:tcPr>
          <w:p>
            <w:pPr>
              <w:spacing w:after="0"/>
              <w:rPr>
                <w:sz w:val="15"/>
                <w:szCs w:val="15"/>
                <w:color w:val="auto"/>
              </w:rPr>
            </w:pPr>
          </w:p>
        </w:tc>
        <w:tc>
          <w:tcPr>
            <w:tcW w:w="3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22,286</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20,373</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rPr>
              <w:t>64,922</w:t>
            </w:r>
          </w:p>
        </w:tc>
        <w:tc>
          <w:tcPr>
            <w:tcW w:w="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51,243</w:t>
            </w:r>
          </w:p>
        </w:tc>
        <w:tc>
          <w:tcPr>
            <w:tcW w:w="120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35"/>
        </w:trPr>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373"/>
              <w:spacing w:after="0"/>
              <w:rPr>
                <w:sz w:val="20"/>
                <w:szCs w:val="20"/>
                <w:color w:val="auto"/>
              </w:rPr>
            </w:pPr>
            <w:r>
              <w:rPr>
                <w:rFonts w:ascii="Arial" w:cs="Arial" w:eastAsia="Arial" w:hAnsi="Arial"/>
                <w:sz w:val="13"/>
                <w:szCs w:val="13"/>
                <w:color w:val="auto"/>
                <w:w w:val="96"/>
              </w:rPr>
              <w:t>10</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340" w:type="dxa"/>
            <w:vAlign w:val="bottom"/>
            <w:tcBorders>
              <w:bottom w:val="single" w:sz="8" w:color="9A9A9A"/>
            </w:tcBorders>
          </w:tcPr>
          <w:p>
            <w:pPr>
              <w:spacing w:after="0"/>
              <w:rPr>
                <w:sz w:val="22"/>
                <w:szCs w:val="22"/>
                <w:color w:val="auto"/>
              </w:rPr>
            </w:pPr>
          </w:p>
        </w:tc>
        <w:tc>
          <w:tcPr>
            <w:tcW w:w="366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6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Recently Issued Accounting Standards Not Yet Effective</w:t>
      </w:r>
    </w:p>
    <w:p>
      <w:pPr>
        <w:spacing w:after="0" w:line="134" w:lineRule="exact"/>
        <w:rPr>
          <w:sz w:val="20"/>
          <w:szCs w:val="20"/>
          <w:color w:val="auto"/>
        </w:rPr>
      </w:pPr>
    </w:p>
    <w:p>
      <w:pPr>
        <w:jc w:val="both"/>
        <w:ind w:firstLine="304"/>
        <w:spacing w:after="0" w:line="285" w:lineRule="auto"/>
        <w:rPr>
          <w:sz w:val="20"/>
          <w:szCs w:val="20"/>
          <w:color w:val="auto"/>
        </w:rPr>
      </w:pPr>
      <w:r>
        <w:rPr>
          <w:rFonts w:ascii="Arial" w:cs="Arial" w:eastAsia="Arial" w:hAnsi="Arial"/>
          <w:sz w:val="12"/>
          <w:szCs w:val="12"/>
          <w:color w:val="auto"/>
        </w:rPr>
        <w:t>In February 2016, the Financial Accounting Standards Board (“FASB”) issued Accounting Standards Update (“ASU”) 2016-02, Leases (Topic 842), which requires that lessee's recognize a right-of-use asset and a lease liability for all leases with lease terms greater than twelve months in the balance sheet. A lease liability is a lessee's obligation to make lease payments arising from a lease, measured on a discounted basis; and a right-of-use asset is an asset that represents the lessee’s right to use, or control use of, a specified asset for the lease term for all leases (with the exception of short-term leases) at the adoption date. In July 2018, the FASB issued ASU 2018-10 and ASU 2018-11, which provides clarification on the narrow aspects of the guidance and provide an additional transition method to adopt the new leases standard. The new transition method allows an entity to recognize a cumulative-effect adjustment to the opening balance of retained earnings in the period of adoption. In March 2019, the FASB issued ASU 2019-01, which provides clarification on implementation issues associated with adopting ASU 2016-02. The new leases standard must be adopted using a modified retrospective transition method and allows for the application of the new guidance at the beginning of the earliest comparative period presented or at the adoption date. In November 2019, the FASB issued ASU 2019-10, which revised the mandatory effective dates of the new leases standard. Further, due to the impact of the COVID-19, in June 2020, the FASB issued ASU 2020-05 to further defer the effective date for one year for entities in the “all other” categories. For public companies, the new guidance became effective for fiscal years, and for interim periods within those fiscal years, beginning after December 15, 2018. For all other entities, the new guidance is now effective for fiscal years beginning after December 15, 2021 and interim periods within fiscal years beginning after December 15, 2022. Early adoption is still permitted for any interim or annual financial statements not yet issued. The Company expects to disclose the adoption of this standard for the fiscal year ending December 31, 2021. The Company is currently evaluating the impact of this standard on its consolidated financial statements including the timing of its adoption. The Company anticipates electing several practical expedients that permit the Company not to reassess (1) whether a contract is or contains a lease, (2) the classification of existing leases, and (3) whether previously capitalized initial direct costs would qualify for capitalization under ASC 842. The Company expects that the adoption of this new standard will have a material impact on its balance sheet. The most significant impact would be the recognition of operating lease right-of-use assets and liability. The standard is not expected to have a material impact to the Company's consolidated statements of income and cash flows.</w:t>
      </w:r>
    </w:p>
    <w:p>
      <w:pPr>
        <w:spacing w:after="0" w:line="133" w:lineRule="exact"/>
        <w:rPr>
          <w:sz w:val="20"/>
          <w:szCs w:val="20"/>
          <w:color w:val="auto"/>
        </w:rPr>
      </w:pPr>
    </w:p>
    <w:p>
      <w:pPr>
        <w:jc w:val="both"/>
        <w:ind w:firstLine="304"/>
        <w:spacing w:after="0" w:line="265" w:lineRule="auto"/>
        <w:rPr>
          <w:sz w:val="20"/>
          <w:szCs w:val="20"/>
          <w:color w:val="auto"/>
        </w:rPr>
      </w:pPr>
      <w:r>
        <w:rPr>
          <w:rFonts w:ascii="Arial" w:cs="Arial" w:eastAsia="Arial" w:hAnsi="Arial"/>
          <w:sz w:val="13"/>
          <w:szCs w:val="13"/>
          <w:color w:val="auto"/>
        </w:rPr>
        <w:t>In June 2016, the FASB issued ASU 2016-13, Financial Instruments-Credit Losses (Topic 326): Measurement of Credit Losses on Financial Instruments. FASB issued ASU 2019-05 in May 2019, ASU 2019-08 and ASU 2019-11 in November 2019 for codification improvements of Topic 326. The new standard revises the accounting requirements related to the measurement of credit losses and will require organizations to measure all expected credit losses for financial assets based on historical experience, current conditions and reasonable and supportable forecasts about collectability. Assets must be presented in the financial statements at the net amount expected to be collected. In November 2019, the FASB issued ASU 2019-10, which defers the effective date of ASU 2016-13 for public companies that are eligible to be smaller reporting companies and all other companies, to fiscal years beginning after December 15, 2022, including interim periods within those fiscal years. In February 2020, the FASB issued ASU 2020-02, which provides guidance regarding methodologies, documentation, and internal controls related to expected credit losses. The Company is currently evaluating the impact of this standard on its consolidated financial statements but does not expect the standard will have a material impact on the Company's consolidated financial statements. The Company expects to disclose the adoption of this standard for the fiscal year ending December 31, 2021.</w:t>
      </w:r>
    </w:p>
    <w:p>
      <w:pPr>
        <w:spacing w:after="0" w:line="1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3"/>
          <w:szCs w:val="13"/>
          <w:color w:val="auto"/>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which clarifies and reduces diversity in an issuer’s accounting for modifications or exchanges of freestanding equity-classified written call options that remain equity classified after modification or exchange. An entity should measure the effect of a modification or an exchange of a freestanding equity-classified written call option that remains equity classified after modification or exchange as follows: i) for a modification or an exchange that is a part of or directly related to a modification or an exchange of an existing debt instrument or line-of-credit or revolving-debt arrangements (hereinafter, referred to as a “debt” or “debt instrument”), as the difference between the fair value of the modified or exchanged written call option and the fair value of that written call option immediately before it is modified or exchanged; ii) for all other modifications or exchanges, as the excess, if any, of the fair value of the modified or exchanged written call option over the fair value of that written call option immediately before it is modified or exchanged. The amendments in this update are effective for all entities for fiscal years beginning after December 15, 2021, including interim periods within those fiscal years. An entity should apply the amendments prospectively to modifications or exchanges occurring on or after the effective date of the amendments. The Company is currently evaluating the impact of this update on its consolidated financial statements. While the Company does not expect the adoption of ASU 2021-04 to materially impact the Company's consolidated financial statements and related disclosures because it does not currently anticipate modifications to its outstanding equity-classified written call options, the impact on the Company's consolidated financial statements and disclosures will depend on the facts and circumstances of any specific future transactions.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9201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Marketable Securities</w:t>
      </w:r>
    </w:p>
    <w:p>
      <w:pPr>
        <w:spacing w:after="0" w:line="197" w:lineRule="exact"/>
        <w:rPr>
          <w:sz w:val="20"/>
          <w:szCs w:val="20"/>
          <w:color w:val="auto"/>
        </w:rPr>
      </w:pPr>
    </w:p>
    <w:p>
      <w:pPr>
        <w:jc w:val="both"/>
        <w:ind w:firstLine="364"/>
        <w:spacing w:after="0" w:line="278" w:lineRule="auto"/>
        <w:rPr>
          <w:sz w:val="20"/>
          <w:szCs w:val="20"/>
          <w:color w:val="auto"/>
        </w:rPr>
      </w:pPr>
      <w:r>
        <w:rPr>
          <w:rFonts w:ascii="Arial" w:cs="Arial" w:eastAsia="Arial" w:hAnsi="Arial"/>
          <w:sz w:val="13"/>
          <w:szCs w:val="13"/>
          <w:color w:val="auto"/>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table below summarizes the marketable securities:</w:t>
      </w:r>
    </w:p>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160"/>
        </w:trPr>
        <w:tc>
          <w:tcPr>
            <w:tcW w:w="29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5"/>
          </w:tcPr>
          <w:p>
            <w:pPr>
              <w:ind w:left="820"/>
              <w:spacing w:after="0"/>
              <w:rPr>
                <w:sz w:val="20"/>
                <w:szCs w:val="20"/>
                <w:color w:val="auto"/>
              </w:rPr>
            </w:pPr>
            <w:r>
              <w:rPr>
                <w:rFonts w:ascii="Arial" w:cs="Arial" w:eastAsia="Arial" w:hAnsi="Arial"/>
                <w:sz w:val="12"/>
                <w:szCs w:val="12"/>
                <w:b w:val="1"/>
                <w:bCs w:val="1"/>
                <w:color w:val="auto"/>
              </w:rPr>
              <w:t>September 30, 2021</w:t>
            </w: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2"/>
        </w:trPr>
        <w:tc>
          <w:tcPr>
            <w:tcW w:w="29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Amortized Cost</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Unrealized Gains</w:t>
            </w: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Unrealized Losses</w:t>
            </w: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w w:val="89"/>
              </w:rPr>
              <w:t>Aggregate Fair Value</w:t>
            </w:r>
          </w:p>
        </w:tc>
      </w:tr>
      <w:tr>
        <w:trPr>
          <w:trHeight w:val="152"/>
        </w:trPr>
        <w:tc>
          <w:tcPr>
            <w:tcW w:w="2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thousands)</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4"/>
        </w:trPr>
        <w:tc>
          <w:tcPr>
            <w:tcW w:w="2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Money market funds</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54,218</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54,218</w:t>
            </w:r>
          </w:p>
        </w:tc>
      </w:tr>
      <w:tr>
        <w:trPr>
          <w:trHeight w:val="162"/>
        </w:trPr>
        <w:tc>
          <w:tcPr>
            <w:tcW w:w="296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Cash equivalents</w:t>
            </w:r>
          </w:p>
        </w:tc>
        <w:tc>
          <w:tcPr>
            <w:tcW w:w="5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54,218</w:t>
            </w:r>
          </w:p>
        </w:tc>
        <w:tc>
          <w:tcPr>
            <w:tcW w:w="12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54,218</w:t>
            </w:r>
          </w:p>
        </w:tc>
      </w:tr>
      <w:tr>
        <w:trPr>
          <w:trHeight w:val="172"/>
        </w:trPr>
        <w:tc>
          <w:tcPr>
            <w:tcW w:w="2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2"/>
        </w:trPr>
        <w:tc>
          <w:tcPr>
            <w:tcW w:w="2960" w:type="dxa"/>
            <w:vAlign w:val="bottom"/>
          </w:tcPr>
          <w:p>
            <w:pPr>
              <w:ind w:left="380"/>
              <w:spacing w:after="0"/>
              <w:rPr>
                <w:sz w:val="20"/>
                <w:szCs w:val="20"/>
                <w:color w:val="auto"/>
              </w:rPr>
            </w:pPr>
            <w:r>
              <w:rPr>
                <w:rFonts w:ascii="Arial" w:cs="Arial" w:eastAsia="Arial" w:hAnsi="Arial"/>
                <w:sz w:val="13"/>
                <w:szCs w:val="13"/>
                <w:color w:val="auto"/>
              </w:rPr>
              <w:t>U.S. treasury securities</w:t>
            </w:r>
          </w:p>
        </w:tc>
        <w:tc>
          <w:tcPr>
            <w:tcW w:w="5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52,140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52,143</w:t>
            </w:r>
          </w:p>
        </w:tc>
      </w:tr>
      <w:tr>
        <w:trPr>
          <w:trHeight w:val="172"/>
        </w:trPr>
        <w:tc>
          <w:tcPr>
            <w:tcW w:w="2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Corporate bonds</w:t>
            </w:r>
          </w:p>
        </w:tc>
        <w:tc>
          <w:tcPr>
            <w:tcW w:w="5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15,373</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15,370</w:t>
            </w:r>
          </w:p>
        </w:tc>
      </w:tr>
      <w:tr>
        <w:trPr>
          <w:trHeight w:val="172"/>
        </w:trPr>
        <w:tc>
          <w:tcPr>
            <w:tcW w:w="2960" w:type="dxa"/>
            <w:vAlign w:val="bottom"/>
          </w:tcPr>
          <w:p>
            <w:pPr>
              <w:ind w:left="380"/>
              <w:spacing w:after="0"/>
              <w:rPr>
                <w:sz w:val="20"/>
                <w:szCs w:val="20"/>
                <w:color w:val="auto"/>
              </w:rPr>
            </w:pPr>
            <w:r>
              <w:rPr>
                <w:rFonts w:ascii="Arial" w:cs="Arial" w:eastAsia="Arial" w:hAnsi="Arial"/>
                <w:sz w:val="13"/>
                <w:szCs w:val="13"/>
                <w:color w:val="auto"/>
              </w:rPr>
              <w:t>Commercial paper</w:t>
            </w:r>
          </w:p>
        </w:tc>
        <w:tc>
          <w:tcPr>
            <w:tcW w:w="5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33,475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118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33,475</w:t>
            </w:r>
          </w:p>
        </w:tc>
      </w:tr>
      <w:tr>
        <w:trPr>
          <w:trHeight w:val="162"/>
        </w:trPr>
        <w:tc>
          <w:tcPr>
            <w:tcW w:w="29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Short-term investments</w:t>
            </w: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100,988</w:t>
            </w: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3"/>
                <w:szCs w:val="13"/>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100,988</w:t>
            </w:r>
          </w:p>
        </w:tc>
      </w:tr>
      <w:tr>
        <w:trPr>
          <w:trHeight w:val="162"/>
        </w:trPr>
        <w:tc>
          <w:tcPr>
            <w:tcW w:w="2960" w:type="dxa"/>
            <w:vAlign w:val="bottom"/>
          </w:tcPr>
          <w:p>
            <w:pPr>
              <w:ind w:left="380"/>
              <w:spacing w:after="0"/>
              <w:rPr>
                <w:sz w:val="20"/>
                <w:szCs w:val="20"/>
                <w:color w:val="auto"/>
              </w:rPr>
            </w:pPr>
            <w:r>
              <w:rPr>
                <w:rFonts w:ascii="Arial" w:cs="Arial" w:eastAsia="Arial" w:hAnsi="Arial"/>
                <w:sz w:val="13"/>
                <w:szCs w:val="13"/>
                <w:color w:val="auto"/>
              </w:rPr>
              <w:t>Total marketable securities</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155,206</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155,206</w:t>
            </w:r>
          </w:p>
        </w:tc>
      </w:tr>
      <w:tr>
        <w:trPr>
          <w:trHeight w:val="20"/>
        </w:trPr>
        <w:tc>
          <w:tcPr>
            <w:tcW w:w="2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36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3"/>
          </w:tcPr>
          <w:p>
            <w:pPr>
              <w:jc w:val="right"/>
              <w:ind w:right="746"/>
              <w:spacing w:after="0"/>
              <w:rPr>
                <w:sz w:val="20"/>
                <w:szCs w:val="20"/>
                <w:color w:val="auto"/>
              </w:rPr>
            </w:pPr>
            <w:r>
              <w:rPr>
                <w:rFonts w:ascii="Arial" w:cs="Arial" w:eastAsia="Arial" w:hAnsi="Arial"/>
                <w:sz w:val="12"/>
                <w:szCs w:val="12"/>
                <w:b w:val="1"/>
                <w:bCs w:val="1"/>
                <w:color w:val="auto"/>
              </w:rPr>
              <w:t>December 31, 2020</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2"/>
        </w:trPr>
        <w:tc>
          <w:tcPr>
            <w:tcW w:w="36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Amortized Cost</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Unrealized Gains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Unrealized Losses</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2"/>
                <w:szCs w:val="12"/>
                <w:b w:val="1"/>
                <w:bCs w:val="1"/>
                <w:color w:val="auto"/>
                <w:w w:val="91"/>
              </w:rPr>
              <w:t>Aggregate Fair Value</w:t>
            </w:r>
          </w:p>
        </w:tc>
      </w:tr>
      <w:tr>
        <w:trPr>
          <w:trHeight w:val="152"/>
        </w:trPr>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3"/>
          </w:tcPr>
          <w:p>
            <w:pPr>
              <w:jc w:val="right"/>
              <w:ind w:right="866"/>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4"/>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45,948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066"/>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45,948</w:t>
            </w:r>
          </w:p>
        </w:tc>
      </w:tr>
      <w:tr>
        <w:trPr>
          <w:trHeight w:val="172"/>
        </w:trPr>
        <w:tc>
          <w:tcPr>
            <w:tcW w:w="3640" w:type="dxa"/>
            <w:vAlign w:val="bottom"/>
          </w:tcPr>
          <w:p>
            <w:pPr>
              <w:spacing w:after="0"/>
              <w:rPr>
                <w:sz w:val="20"/>
                <w:szCs w:val="20"/>
                <w:color w:val="auto"/>
              </w:rPr>
            </w:pPr>
            <w:r>
              <w:rPr>
                <w:rFonts w:ascii="Arial" w:cs="Arial" w:eastAsia="Arial" w:hAnsi="Arial"/>
                <w:sz w:val="13"/>
                <w:szCs w:val="13"/>
                <w:color w:val="auto"/>
              </w:rPr>
              <w:t>Commercial paper</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1,400</w:t>
            </w:r>
          </w:p>
        </w:tc>
      </w:tr>
      <w:tr>
        <w:trPr>
          <w:trHeight w:val="162"/>
        </w:trPr>
        <w:tc>
          <w:tcPr>
            <w:tcW w:w="36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Cash equivalents</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47,348</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47,348</w:t>
            </w:r>
          </w:p>
        </w:tc>
      </w:tr>
      <w:tr>
        <w:trPr>
          <w:trHeight w:val="344"/>
        </w:trPr>
        <w:tc>
          <w:tcPr>
            <w:tcW w:w="3640" w:type="dxa"/>
            <w:vAlign w:val="bottom"/>
          </w:tcPr>
          <w:p>
            <w:pPr>
              <w:spacing w:after="0"/>
              <w:rPr>
                <w:sz w:val="20"/>
                <w:szCs w:val="20"/>
                <w:color w:val="auto"/>
              </w:rPr>
            </w:pPr>
            <w:r>
              <w:rPr>
                <w:rFonts w:ascii="Arial" w:cs="Arial" w:eastAsia="Arial" w:hAnsi="Arial"/>
                <w:sz w:val="13"/>
                <w:szCs w:val="13"/>
                <w:color w:val="auto"/>
              </w:rPr>
              <w:t>U.S. treasury securities</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74,779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74,776</w:t>
            </w:r>
          </w:p>
        </w:tc>
      </w:tr>
      <w:tr>
        <w:trPr>
          <w:trHeight w:val="172"/>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8,938</w:t>
            </w:r>
          </w:p>
        </w:tc>
      </w:tr>
      <w:tr>
        <w:trPr>
          <w:trHeight w:val="172"/>
        </w:trPr>
        <w:tc>
          <w:tcPr>
            <w:tcW w:w="3640" w:type="dxa"/>
            <w:vAlign w:val="bottom"/>
          </w:tcPr>
          <w:p>
            <w:pPr>
              <w:spacing w:after="0"/>
              <w:rPr>
                <w:sz w:val="20"/>
                <w:szCs w:val="20"/>
                <w:color w:val="auto"/>
              </w:rPr>
            </w:pPr>
            <w:r>
              <w:rPr>
                <w:rFonts w:ascii="Arial" w:cs="Arial" w:eastAsia="Arial" w:hAnsi="Arial"/>
                <w:sz w:val="13"/>
                <w:szCs w:val="13"/>
                <w:color w:val="auto"/>
              </w:rPr>
              <w:t>Commercial paper</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59,137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59,137</w:t>
            </w:r>
          </w:p>
        </w:tc>
      </w:tr>
      <w:tr>
        <w:trPr>
          <w:trHeight w:val="162"/>
        </w:trPr>
        <w:tc>
          <w:tcPr>
            <w:tcW w:w="36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Short-term investments</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142,856</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(13)</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142,851</w:t>
            </w: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Total marketable securities</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190,204</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right"/>
              <w:ind w:right="1066"/>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(13)</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190,199</w:t>
            </w:r>
          </w:p>
        </w:tc>
      </w:tr>
      <w:tr>
        <w:trPr>
          <w:trHeight w:val="20"/>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3"/>
          <w:szCs w:val="13"/>
          <w:color w:val="auto"/>
        </w:rPr>
        <w:t>Unrealized gains and losses on available-for-sale securities are recorded in accumulated other comprehensive income (loss) on the condensed consolidated balance sheets. The Company evaluates its investments to assess whether those in unrealized loss positions are other-than-temporarily impaired. The Company considers impairments to be other-than-temporary if it is related to deterioration in credit risk or if it is likely the Company will sell the securities before the recovery of their cost basis. The Company did not identify any of its marketable securities as other-than-temporarily impaired as of September 30, 2021 or December 31, 2020.</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9201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Fair Value Measurement</w:t>
      </w:r>
    </w:p>
    <w:p>
      <w:pPr>
        <w:spacing w:after="0" w:line="176" w:lineRule="exact"/>
        <w:rPr>
          <w:sz w:val="20"/>
          <w:szCs w:val="20"/>
          <w:color w:val="auto"/>
        </w:rPr>
      </w:pPr>
    </w:p>
    <w:p>
      <w:pPr>
        <w:jc w:val="both"/>
        <w:ind w:firstLine="334"/>
        <w:spacing w:after="0" w:line="311" w:lineRule="auto"/>
        <w:rPr>
          <w:sz w:val="20"/>
          <w:szCs w:val="20"/>
          <w:color w:val="auto"/>
        </w:rPr>
      </w:pPr>
      <w:r>
        <w:rPr>
          <w:rFonts w:ascii="Arial" w:cs="Arial" w:eastAsia="Arial" w:hAnsi="Arial"/>
          <w:sz w:val="12"/>
          <w:szCs w:val="12"/>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or liabilities that required fair value hierarchy measurements and disclosures for the periods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table below summarizes the fair value of the Company’s marketable securities measured at fair value on a recurring basis based on the three-tier fair value hierarchy: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right="435"/>
              <w:spacing w:after="0"/>
              <w:rPr>
                <w:sz w:val="20"/>
                <w:szCs w:val="20"/>
                <w:color w:val="auto"/>
              </w:rPr>
            </w:pPr>
            <w:r>
              <w:rPr>
                <w:rFonts w:ascii="Arial" w:cs="Arial" w:eastAsia="Arial" w:hAnsi="Arial"/>
                <w:sz w:val="12"/>
                <w:szCs w:val="12"/>
                <w:b w:val="1"/>
                <w:bCs w:val="1"/>
                <w:color w:val="auto"/>
                <w:w w:val="89"/>
              </w:rPr>
              <w:t>September 30, 2021</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152"/>
        </w:trPr>
        <w:tc>
          <w:tcPr>
            <w:tcW w:w="3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Level 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2</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Level 3</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b w:val="1"/>
                <w:bCs w:val="1"/>
                <w:color w:val="auto"/>
              </w:rPr>
              <w:t>Total</w:t>
            </w:r>
          </w:p>
        </w:tc>
        <w:tc>
          <w:tcPr>
            <w:tcW w:w="360" w:type="dxa"/>
            <w:vAlign w:val="bottom"/>
          </w:tcPr>
          <w:p>
            <w:pPr>
              <w:spacing w:after="0"/>
              <w:rPr>
                <w:sz w:val="13"/>
                <w:szCs w:val="13"/>
                <w:color w:val="auto"/>
              </w:rPr>
            </w:pPr>
          </w:p>
        </w:tc>
      </w:tr>
      <w:tr>
        <w:trPr>
          <w:trHeight w:val="152"/>
        </w:trPr>
        <w:tc>
          <w:tcPr>
            <w:tcW w:w="3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gridSpan w:val="3"/>
          </w:tcPr>
          <w:p>
            <w:pPr>
              <w:jc w:val="center"/>
              <w:ind w:right="435"/>
              <w:spacing w:after="0"/>
              <w:rPr>
                <w:sz w:val="20"/>
                <w:szCs w:val="20"/>
                <w:color w:val="auto"/>
              </w:rPr>
            </w:pPr>
            <w:r>
              <w:rPr>
                <w:rFonts w:ascii="Arial" w:cs="Arial" w:eastAsia="Arial" w:hAnsi="Arial"/>
                <w:sz w:val="12"/>
                <w:szCs w:val="12"/>
                <w:b w:val="1"/>
                <w:bCs w:val="1"/>
                <w:color w:val="auto"/>
                <w:w w:val="87"/>
              </w:rPr>
              <w:t>(in thousands)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74"/>
        </w:trPr>
        <w:tc>
          <w:tcPr>
            <w:tcW w:w="340" w:type="dxa"/>
            <w:vAlign w:val="bottom"/>
          </w:tcPr>
          <w:p>
            <w:pPr>
              <w:spacing w:after="0"/>
              <w:rPr>
                <w:sz w:val="15"/>
                <w:szCs w:val="15"/>
                <w:color w:val="auto"/>
              </w:rPr>
            </w:pPr>
          </w:p>
        </w:tc>
        <w:tc>
          <w:tcPr>
            <w:tcW w:w="4040" w:type="dxa"/>
            <w:vAlign w:val="bottom"/>
            <w:shd w:val="clear" w:color="auto" w:fill="CCEEFF"/>
          </w:tcPr>
          <w:p>
            <w:pPr>
              <w:jc w:val="center"/>
              <w:ind w:right="2653"/>
              <w:spacing w:after="0"/>
              <w:rPr>
                <w:sz w:val="20"/>
                <w:szCs w:val="20"/>
                <w:color w:val="auto"/>
              </w:rPr>
            </w:pPr>
            <w:r>
              <w:rPr>
                <w:rFonts w:ascii="Arial" w:cs="Arial" w:eastAsia="Arial" w:hAnsi="Arial"/>
                <w:sz w:val="13"/>
                <w:szCs w:val="13"/>
                <w:b w:val="1"/>
                <w:bCs w:val="1"/>
                <w:color w:val="auto"/>
                <w:w w:val="93"/>
              </w:rPr>
              <w:t>Marketable securities</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tcPr>
          <w:p>
            <w:pPr>
              <w:spacing w:after="0"/>
              <w:rPr>
                <w:sz w:val="15"/>
                <w:szCs w:val="15"/>
                <w:color w:val="auto"/>
              </w:rPr>
            </w:pPr>
          </w:p>
        </w:tc>
      </w:tr>
      <w:tr>
        <w:trPr>
          <w:trHeight w:val="172"/>
        </w:trPr>
        <w:tc>
          <w:tcPr>
            <w:tcW w:w="340" w:type="dxa"/>
            <w:vAlign w:val="bottom"/>
          </w:tcPr>
          <w:p>
            <w:pPr>
              <w:spacing w:after="0"/>
              <w:rPr>
                <w:sz w:val="14"/>
                <w:szCs w:val="14"/>
                <w:color w:val="auto"/>
              </w:rPr>
            </w:pPr>
          </w:p>
        </w:tc>
        <w:tc>
          <w:tcPr>
            <w:tcW w:w="4040" w:type="dxa"/>
            <w:vAlign w:val="bottom"/>
          </w:tcPr>
          <w:p>
            <w:pPr>
              <w:jc w:val="center"/>
              <w:ind w:right="2653"/>
              <w:spacing w:after="0"/>
              <w:rPr>
                <w:sz w:val="20"/>
                <w:szCs w:val="20"/>
                <w:color w:val="auto"/>
              </w:rPr>
            </w:pPr>
            <w:r>
              <w:rPr>
                <w:rFonts w:ascii="Arial" w:cs="Arial" w:eastAsia="Arial" w:hAnsi="Arial"/>
                <w:sz w:val="13"/>
                <w:szCs w:val="13"/>
                <w:color w:val="auto"/>
                <w:w w:val="95"/>
              </w:rPr>
              <w:t>Money market funds</w:t>
            </w:r>
          </w:p>
        </w:tc>
        <w:tc>
          <w:tcPr>
            <w:tcW w:w="6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54,218</w:t>
            </w:r>
          </w:p>
        </w:tc>
        <w:tc>
          <w:tcPr>
            <w:tcW w:w="80" w:type="dxa"/>
            <w:vAlign w:val="bottom"/>
          </w:tcPr>
          <w:p>
            <w:pPr>
              <w:spacing w:after="0"/>
              <w:rPr>
                <w:sz w:val="14"/>
                <w:szCs w:val="14"/>
                <w:color w:val="auto"/>
              </w:rPr>
            </w:pPr>
          </w:p>
        </w:tc>
        <w:tc>
          <w:tcPr>
            <w:tcW w:w="1140" w:type="dxa"/>
            <w:vAlign w:val="bottom"/>
          </w:tcPr>
          <w:p>
            <w:pPr>
              <w:jc w:val="right"/>
              <w:ind w:right="655"/>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5"/>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54,218</w:t>
            </w:r>
          </w:p>
        </w:tc>
        <w:tc>
          <w:tcPr>
            <w:tcW w:w="360" w:type="dxa"/>
            <w:vAlign w:val="bottom"/>
          </w:tcPr>
          <w:p>
            <w:pPr>
              <w:spacing w:after="0"/>
              <w:rPr>
                <w:sz w:val="14"/>
                <w:szCs w:val="14"/>
                <w:color w:val="auto"/>
              </w:rPr>
            </w:pPr>
          </w:p>
        </w:tc>
      </w:tr>
      <w:tr>
        <w:trPr>
          <w:trHeight w:val="172"/>
        </w:trPr>
        <w:tc>
          <w:tcPr>
            <w:tcW w:w="340" w:type="dxa"/>
            <w:vAlign w:val="bottom"/>
          </w:tcPr>
          <w:p>
            <w:pPr>
              <w:spacing w:after="0"/>
              <w:rPr>
                <w:sz w:val="14"/>
                <w:szCs w:val="14"/>
                <w:color w:val="auto"/>
              </w:rPr>
            </w:pPr>
          </w:p>
        </w:tc>
        <w:tc>
          <w:tcPr>
            <w:tcW w:w="40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U.S. treasury securities</w:t>
            </w:r>
          </w:p>
        </w:tc>
        <w:tc>
          <w:tcPr>
            <w:tcW w:w="6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52,143</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52,143</w:t>
            </w:r>
          </w:p>
        </w:tc>
        <w:tc>
          <w:tcPr>
            <w:tcW w:w="360" w:type="dxa"/>
            <w:vAlign w:val="bottom"/>
          </w:tcPr>
          <w:p>
            <w:pPr>
              <w:spacing w:after="0"/>
              <w:rPr>
                <w:sz w:val="14"/>
                <w:szCs w:val="14"/>
                <w:color w:val="auto"/>
              </w:rPr>
            </w:pPr>
          </w:p>
        </w:tc>
      </w:tr>
      <w:tr>
        <w:trPr>
          <w:trHeight w:val="172"/>
        </w:trPr>
        <w:tc>
          <w:tcPr>
            <w:tcW w:w="340" w:type="dxa"/>
            <w:vAlign w:val="bottom"/>
          </w:tcPr>
          <w:p>
            <w:pPr>
              <w:spacing w:after="0"/>
              <w:rPr>
                <w:sz w:val="14"/>
                <w:szCs w:val="14"/>
                <w:color w:val="auto"/>
              </w:rPr>
            </w:pPr>
          </w:p>
        </w:tc>
        <w:tc>
          <w:tcPr>
            <w:tcW w:w="4040" w:type="dxa"/>
            <w:vAlign w:val="bottom"/>
          </w:tcPr>
          <w:p>
            <w:pPr>
              <w:ind w:left="440"/>
              <w:spacing w:after="0"/>
              <w:rPr>
                <w:sz w:val="20"/>
                <w:szCs w:val="20"/>
                <w:color w:val="auto"/>
              </w:rPr>
            </w:pPr>
            <w:r>
              <w:rPr>
                <w:rFonts w:ascii="Arial" w:cs="Arial" w:eastAsia="Arial" w:hAnsi="Arial"/>
                <w:sz w:val="13"/>
                <w:szCs w:val="13"/>
                <w:color w:val="auto"/>
              </w:rPr>
              <w:t>Corporate bonds</w:t>
            </w:r>
          </w:p>
        </w:tc>
        <w:tc>
          <w:tcPr>
            <w:tcW w:w="6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0"/>
              </w:rPr>
              <w:t>15,370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15,370</w:t>
            </w:r>
          </w:p>
        </w:tc>
        <w:tc>
          <w:tcPr>
            <w:tcW w:w="360" w:type="dxa"/>
            <w:vAlign w:val="bottom"/>
          </w:tcPr>
          <w:p>
            <w:pPr>
              <w:spacing w:after="0"/>
              <w:rPr>
                <w:sz w:val="14"/>
                <w:szCs w:val="14"/>
                <w:color w:val="auto"/>
              </w:rPr>
            </w:pPr>
          </w:p>
        </w:tc>
      </w:tr>
      <w:tr>
        <w:trPr>
          <w:trHeight w:val="172"/>
        </w:trPr>
        <w:tc>
          <w:tcPr>
            <w:tcW w:w="340" w:type="dxa"/>
            <w:vAlign w:val="bottom"/>
          </w:tcPr>
          <w:p>
            <w:pPr>
              <w:spacing w:after="0"/>
              <w:rPr>
                <w:sz w:val="14"/>
                <w:szCs w:val="14"/>
                <w:color w:val="auto"/>
              </w:rPr>
            </w:pPr>
          </w:p>
        </w:tc>
        <w:tc>
          <w:tcPr>
            <w:tcW w:w="40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Commercial paper</w:t>
            </w:r>
          </w:p>
        </w:tc>
        <w:tc>
          <w:tcPr>
            <w:tcW w:w="6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33,475</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33,475</w:t>
            </w:r>
          </w:p>
        </w:tc>
        <w:tc>
          <w:tcPr>
            <w:tcW w:w="36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4040" w:type="dxa"/>
            <w:vAlign w:val="bottom"/>
          </w:tcPr>
          <w:p>
            <w:pPr>
              <w:ind w:left="580"/>
              <w:spacing w:after="0"/>
              <w:rPr>
                <w:sz w:val="20"/>
                <w:szCs w:val="20"/>
                <w:color w:val="auto"/>
              </w:rPr>
            </w:pPr>
            <w:r>
              <w:rPr>
                <w:rFonts w:ascii="Arial" w:cs="Arial" w:eastAsia="Arial" w:hAnsi="Arial"/>
                <w:sz w:val="13"/>
                <w:szCs w:val="13"/>
                <w:color w:val="auto"/>
              </w:rPr>
              <w:t>Total marketable securities</w:t>
            </w:r>
          </w:p>
        </w:tc>
        <w:tc>
          <w:tcPr>
            <w:tcW w:w="6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106,361</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0"/>
              </w:rPr>
              <w:t>48,845</w:t>
            </w:r>
          </w:p>
        </w:tc>
        <w:tc>
          <w:tcPr>
            <w:tcW w:w="8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155,206</w:t>
            </w:r>
          </w:p>
        </w:tc>
        <w:tc>
          <w:tcPr>
            <w:tcW w:w="36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3"/>
        </w:trPr>
        <w:tc>
          <w:tcPr>
            <w:tcW w:w="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right="435"/>
              <w:spacing w:after="0"/>
              <w:rPr>
                <w:sz w:val="20"/>
                <w:szCs w:val="20"/>
                <w:color w:val="auto"/>
              </w:rPr>
            </w:pPr>
            <w:r>
              <w:rPr>
                <w:rFonts w:ascii="Arial" w:cs="Arial" w:eastAsia="Arial" w:hAnsi="Arial"/>
                <w:sz w:val="12"/>
                <w:szCs w:val="12"/>
                <w:b w:val="1"/>
                <w:bCs w:val="1"/>
                <w:color w:val="auto"/>
                <w:w w:val="92"/>
              </w:rPr>
              <w:t>December 31, 2020</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152"/>
        </w:trPr>
        <w:tc>
          <w:tcPr>
            <w:tcW w:w="3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Level 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2</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Level 3</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b w:val="1"/>
                <w:bCs w:val="1"/>
                <w:color w:val="auto"/>
              </w:rPr>
              <w:t>Total</w:t>
            </w:r>
          </w:p>
        </w:tc>
        <w:tc>
          <w:tcPr>
            <w:tcW w:w="360" w:type="dxa"/>
            <w:vAlign w:val="bottom"/>
          </w:tcPr>
          <w:p>
            <w:pPr>
              <w:spacing w:after="0"/>
              <w:rPr>
                <w:sz w:val="13"/>
                <w:szCs w:val="13"/>
                <w:color w:val="auto"/>
              </w:rPr>
            </w:pPr>
          </w:p>
        </w:tc>
      </w:tr>
      <w:tr>
        <w:trPr>
          <w:trHeight w:val="152"/>
        </w:trPr>
        <w:tc>
          <w:tcPr>
            <w:tcW w:w="3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gridSpan w:val="3"/>
          </w:tcPr>
          <w:p>
            <w:pPr>
              <w:jc w:val="center"/>
              <w:ind w:right="435"/>
              <w:spacing w:after="0"/>
              <w:rPr>
                <w:sz w:val="20"/>
                <w:szCs w:val="20"/>
                <w:color w:val="auto"/>
              </w:rPr>
            </w:pPr>
            <w:r>
              <w:rPr>
                <w:rFonts w:ascii="Arial" w:cs="Arial" w:eastAsia="Arial" w:hAnsi="Arial"/>
                <w:sz w:val="12"/>
                <w:szCs w:val="12"/>
                <w:b w:val="1"/>
                <w:bCs w:val="1"/>
                <w:color w:val="auto"/>
                <w:w w:val="87"/>
              </w:rPr>
              <w:t>(in thousands)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74"/>
        </w:trPr>
        <w:tc>
          <w:tcPr>
            <w:tcW w:w="340" w:type="dxa"/>
            <w:vAlign w:val="bottom"/>
          </w:tcPr>
          <w:p>
            <w:pPr>
              <w:spacing w:after="0"/>
              <w:rPr>
                <w:sz w:val="15"/>
                <w:szCs w:val="15"/>
                <w:color w:val="auto"/>
              </w:rPr>
            </w:pPr>
          </w:p>
        </w:tc>
        <w:tc>
          <w:tcPr>
            <w:tcW w:w="4040" w:type="dxa"/>
            <w:vAlign w:val="bottom"/>
            <w:shd w:val="clear" w:color="auto" w:fill="CCEEFF"/>
          </w:tcPr>
          <w:p>
            <w:pPr>
              <w:jc w:val="center"/>
              <w:ind w:right="2653"/>
              <w:spacing w:after="0"/>
              <w:rPr>
                <w:sz w:val="20"/>
                <w:szCs w:val="20"/>
                <w:color w:val="auto"/>
              </w:rPr>
            </w:pPr>
            <w:r>
              <w:rPr>
                <w:rFonts w:ascii="Arial" w:cs="Arial" w:eastAsia="Arial" w:hAnsi="Arial"/>
                <w:sz w:val="13"/>
                <w:szCs w:val="13"/>
                <w:b w:val="1"/>
                <w:bCs w:val="1"/>
                <w:color w:val="auto"/>
                <w:w w:val="93"/>
              </w:rPr>
              <w:t>Marketable securities</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tcPr>
          <w:p>
            <w:pPr>
              <w:spacing w:after="0"/>
              <w:rPr>
                <w:sz w:val="15"/>
                <w:szCs w:val="15"/>
                <w:color w:val="auto"/>
              </w:rPr>
            </w:pPr>
          </w:p>
        </w:tc>
      </w:tr>
      <w:tr>
        <w:trPr>
          <w:trHeight w:val="172"/>
        </w:trPr>
        <w:tc>
          <w:tcPr>
            <w:tcW w:w="340" w:type="dxa"/>
            <w:vAlign w:val="bottom"/>
          </w:tcPr>
          <w:p>
            <w:pPr>
              <w:spacing w:after="0"/>
              <w:rPr>
                <w:sz w:val="14"/>
                <w:szCs w:val="14"/>
                <w:color w:val="auto"/>
              </w:rPr>
            </w:pPr>
          </w:p>
        </w:tc>
        <w:tc>
          <w:tcPr>
            <w:tcW w:w="4040" w:type="dxa"/>
            <w:vAlign w:val="bottom"/>
          </w:tcPr>
          <w:p>
            <w:pPr>
              <w:jc w:val="center"/>
              <w:ind w:right="2653"/>
              <w:spacing w:after="0"/>
              <w:rPr>
                <w:sz w:val="20"/>
                <w:szCs w:val="20"/>
                <w:color w:val="auto"/>
              </w:rPr>
            </w:pPr>
            <w:r>
              <w:rPr>
                <w:rFonts w:ascii="Arial" w:cs="Arial" w:eastAsia="Arial" w:hAnsi="Arial"/>
                <w:sz w:val="13"/>
                <w:szCs w:val="13"/>
                <w:color w:val="auto"/>
                <w:w w:val="95"/>
              </w:rPr>
              <w:t>Money market funds</w:t>
            </w:r>
          </w:p>
        </w:tc>
        <w:tc>
          <w:tcPr>
            <w:tcW w:w="6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45,948</w:t>
            </w:r>
          </w:p>
        </w:tc>
        <w:tc>
          <w:tcPr>
            <w:tcW w:w="80" w:type="dxa"/>
            <w:vAlign w:val="bottom"/>
          </w:tcPr>
          <w:p>
            <w:pPr>
              <w:spacing w:after="0"/>
              <w:rPr>
                <w:sz w:val="14"/>
                <w:szCs w:val="14"/>
                <w:color w:val="auto"/>
              </w:rPr>
            </w:pPr>
          </w:p>
        </w:tc>
        <w:tc>
          <w:tcPr>
            <w:tcW w:w="1140" w:type="dxa"/>
            <w:vAlign w:val="bottom"/>
          </w:tcPr>
          <w:p>
            <w:pPr>
              <w:jc w:val="right"/>
              <w:ind w:right="655"/>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5"/>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45,948</w:t>
            </w:r>
          </w:p>
        </w:tc>
        <w:tc>
          <w:tcPr>
            <w:tcW w:w="360" w:type="dxa"/>
            <w:vAlign w:val="bottom"/>
          </w:tcPr>
          <w:p>
            <w:pPr>
              <w:spacing w:after="0"/>
              <w:rPr>
                <w:sz w:val="14"/>
                <w:szCs w:val="14"/>
                <w:color w:val="auto"/>
              </w:rPr>
            </w:pPr>
          </w:p>
        </w:tc>
      </w:tr>
      <w:tr>
        <w:trPr>
          <w:trHeight w:val="172"/>
        </w:trPr>
        <w:tc>
          <w:tcPr>
            <w:tcW w:w="340" w:type="dxa"/>
            <w:vAlign w:val="bottom"/>
          </w:tcPr>
          <w:p>
            <w:pPr>
              <w:spacing w:after="0"/>
              <w:rPr>
                <w:sz w:val="14"/>
                <w:szCs w:val="14"/>
                <w:color w:val="auto"/>
              </w:rPr>
            </w:pPr>
          </w:p>
        </w:tc>
        <w:tc>
          <w:tcPr>
            <w:tcW w:w="40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U.S. treasury securities</w:t>
            </w:r>
          </w:p>
        </w:tc>
        <w:tc>
          <w:tcPr>
            <w:tcW w:w="6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74,776</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74,776</w:t>
            </w:r>
          </w:p>
        </w:tc>
        <w:tc>
          <w:tcPr>
            <w:tcW w:w="360" w:type="dxa"/>
            <w:vAlign w:val="bottom"/>
          </w:tcPr>
          <w:p>
            <w:pPr>
              <w:spacing w:after="0"/>
              <w:rPr>
                <w:sz w:val="14"/>
                <w:szCs w:val="14"/>
                <w:color w:val="auto"/>
              </w:rPr>
            </w:pPr>
          </w:p>
        </w:tc>
      </w:tr>
      <w:tr>
        <w:trPr>
          <w:trHeight w:val="172"/>
        </w:trPr>
        <w:tc>
          <w:tcPr>
            <w:tcW w:w="340" w:type="dxa"/>
            <w:vAlign w:val="bottom"/>
          </w:tcPr>
          <w:p>
            <w:pPr>
              <w:spacing w:after="0"/>
              <w:rPr>
                <w:sz w:val="14"/>
                <w:szCs w:val="14"/>
                <w:color w:val="auto"/>
              </w:rPr>
            </w:pPr>
          </w:p>
        </w:tc>
        <w:tc>
          <w:tcPr>
            <w:tcW w:w="4040" w:type="dxa"/>
            <w:vAlign w:val="bottom"/>
          </w:tcPr>
          <w:p>
            <w:pPr>
              <w:ind w:left="440"/>
              <w:spacing w:after="0"/>
              <w:rPr>
                <w:sz w:val="20"/>
                <w:szCs w:val="20"/>
                <w:color w:val="auto"/>
              </w:rPr>
            </w:pPr>
            <w:r>
              <w:rPr>
                <w:rFonts w:ascii="Arial" w:cs="Arial" w:eastAsia="Arial" w:hAnsi="Arial"/>
                <w:sz w:val="13"/>
                <w:szCs w:val="13"/>
                <w:color w:val="auto"/>
              </w:rPr>
              <w:t>Corporate bonds</w:t>
            </w:r>
          </w:p>
        </w:tc>
        <w:tc>
          <w:tcPr>
            <w:tcW w:w="6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8,938</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8,938</w:t>
            </w:r>
          </w:p>
        </w:tc>
        <w:tc>
          <w:tcPr>
            <w:tcW w:w="360" w:type="dxa"/>
            <w:vAlign w:val="bottom"/>
          </w:tcPr>
          <w:p>
            <w:pPr>
              <w:spacing w:after="0"/>
              <w:rPr>
                <w:sz w:val="14"/>
                <w:szCs w:val="14"/>
                <w:color w:val="auto"/>
              </w:rPr>
            </w:pPr>
          </w:p>
        </w:tc>
      </w:tr>
      <w:tr>
        <w:trPr>
          <w:trHeight w:val="172"/>
        </w:trPr>
        <w:tc>
          <w:tcPr>
            <w:tcW w:w="340" w:type="dxa"/>
            <w:vAlign w:val="bottom"/>
          </w:tcPr>
          <w:p>
            <w:pPr>
              <w:spacing w:after="0"/>
              <w:rPr>
                <w:sz w:val="14"/>
                <w:szCs w:val="14"/>
                <w:color w:val="auto"/>
              </w:rPr>
            </w:pPr>
          </w:p>
        </w:tc>
        <w:tc>
          <w:tcPr>
            <w:tcW w:w="40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Commercial paper</w:t>
            </w:r>
          </w:p>
        </w:tc>
        <w:tc>
          <w:tcPr>
            <w:tcW w:w="6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60,537</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60,537</w:t>
            </w:r>
          </w:p>
        </w:tc>
        <w:tc>
          <w:tcPr>
            <w:tcW w:w="36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4040" w:type="dxa"/>
            <w:vAlign w:val="bottom"/>
          </w:tcPr>
          <w:p>
            <w:pPr>
              <w:ind w:left="580"/>
              <w:spacing w:after="0"/>
              <w:rPr>
                <w:sz w:val="20"/>
                <w:szCs w:val="20"/>
                <w:color w:val="auto"/>
              </w:rPr>
            </w:pPr>
            <w:r>
              <w:rPr>
                <w:rFonts w:ascii="Arial" w:cs="Arial" w:eastAsia="Arial" w:hAnsi="Arial"/>
                <w:sz w:val="13"/>
                <w:szCs w:val="13"/>
                <w:color w:val="auto"/>
              </w:rPr>
              <w:t>Total marketable securities</w:t>
            </w:r>
          </w:p>
        </w:tc>
        <w:tc>
          <w:tcPr>
            <w:tcW w:w="6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120,724</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0"/>
              </w:rPr>
              <w:t>69,475</w:t>
            </w:r>
          </w:p>
        </w:tc>
        <w:tc>
          <w:tcPr>
            <w:tcW w:w="8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190,199</w:t>
            </w:r>
          </w:p>
        </w:tc>
        <w:tc>
          <w:tcPr>
            <w:tcW w:w="36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699"/>
        </w:trPr>
        <w:tc>
          <w:tcPr>
            <w:tcW w:w="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jc w:val="right"/>
              <w:ind w:right="194"/>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64"/>
        </w:trPr>
        <w:tc>
          <w:tcPr>
            <w:tcW w:w="340" w:type="dxa"/>
            <w:vAlign w:val="bottom"/>
            <w:tcBorders>
              <w:bottom w:val="single" w:sz="8" w:color="9A9A9A"/>
            </w:tcBorders>
          </w:tcPr>
          <w:p>
            <w:pPr>
              <w:spacing w:after="0"/>
              <w:rPr>
                <w:sz w:val="22"/>
                <w:szCs w:val="22"/>
                <w:color w:val="auto"/>
              </w:rPr>
            </w:pPr>
          </w:p>
        </w:tc>
        <w:tc>
          <w:tcPr>
            <w:tcW w:w="404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14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22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62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ind w:left="340" w:right="9580" w:hanging="339"/>
        <w:spacing w:after="0" w:line="424" w:lineRule="auto"/>
        <w:tabs>
          <w:tab w:leader="none" w:pos="141"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Balance Sheet Components </w:t>
      </w:r>
      <w:r>
        <w:rPr>
          <w:rFonts w:ascii="Arial" w:cs="Arial" w:eastAsia="Arial" w:hAnsi="Arial"/>
          <w:sz w:val="12"/>
          <w:szCs w:val="12"/>
          <w:b w:val="1"/>
          <w:bCs w:val="1"/>
          <w:i w:val="1"/>
          <w:iCs w:val="1"/>
          <w:color w:val="auto"/>
        </w:rPr>
        <w:t>Inventory</w:t>
      </w:r>
    </w:p>
    <w:p>
      <w:pPr>
        <w:ind w:left="340"/>
        <w:spacing w:after="0"/>
        <w:rPr>
          <w:rFonts w:ascii="Arial" w:cs="Arial" w:eastAsia="Arial" w:hAnsi="Arial"/>
          <w:sz w:val="12"/>
          <w:szCs w:val="12"/>
          <w:b w:val="1"/>
          <w:bCs w:val="1"/>
          <w:color w:val="auto"/>
        </w:rPr>
      </w:pPr>
      <w:r>
        <w:rPr>
          <w:rFonts w:ascii="Arial" w:cs="Arial" w:eastAsia="Arial" w:hAnsi="Arial"/>
          <w:sz w:val="13"/>
          <w:szCs w:val="13"/>
          <w:color w:val="auto"/>
        </w:rPr>
        <w:t>As of September 30, 2021 and December 31, 2020, inventory consisted entirely of finished goods.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Property and Equipment, net:</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160"/>
        </w:trPr>
        <w:tc>
          <w:tcPr>
            <w:tcW w:w="6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30, 2021</w:t>
            </w: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w w:val="96"/>
              </w:rPr>
              <w:t>December 31, 2020</w:t>
            </w:r>
          </w:p>
        </w:tc>
      </w:tr>
      <w:tr>
        <w:trPr>
          <w:trHeight w:val="152"/>
        </w:trPr>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20" w:type="dxa"/>
            <w:vAlign w:val="bottom"/>
            <w:gridSpan w:val="4"/>
          </w:tcPr>
          <w:p>
            <w:pPr>
              <w:jc w:val="right"/>
              <w:ind w:right="1093"/>
              <w:spacing w:after="0"/>
              <w:rPr>
                <w:sz w:val="20"/>
                <w:szCs w:val="20"/>
                <w:color w:val="auto"/>
              </w:rPr>
            </w:pPr>
            <w:r>
              <w:rPr>
                <w:rFonts w:ascii="Arial" w:cs="Arial" w:eastAsia="Arial" w:hAnsi="Arial"/>
                <w:sz w:val="12"/>
                <w:szCs w:val="12"/>
                <w:b w:val="1"/>
                <w:bCs w:val="1"/>
                <w:color w:val="auto"/>
              </w:rPr>
              <w:t>(in thousands)</w:t>
            </w:r>
          </w:p>
        </w:tc>
      </w:tr>
      <w:tr>
        <w:trPr>
          <w:trHeight w:val="174"/>
        </w:trPr>
        <w:tc>
          <w:tcPr>
            <w:tcW w:w="6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Machinery and equipment</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6,342</w:t>
            </w:r>
          </w:p>
        </w:tc>
      </w:tr>
      <w:tr>
        <w:trPr>
          <w:trHeight w:val="172"/>
        </w:trPr>
        <w:tc>
          <w:tcPr>
            <w:tcW w:w="6420" w:type="dxa"/>
            <w:vAlign w:val="bottom"/>
          </w:tcPr>
          <w:p>
            <w:pPr>
              <w:ind w:left="60"/>
              <w:spacing w:after="0"/>
              <w:rPr>
                <w:sz w:val="20"/>
                <w:szCs w:val="20"/>
                <w:color w:val="auto"/>
              </w:rPr>
            </w:pPr>
            <w:r>
              <w:rPr>
                <w:rFonts w:ascii="Arial" w:cs="Arial" w:eastAsia="Arial" w:hAnsi="Arial"/>
                <w:sz w:val="13"/>
                <w:szCs w:val="13"/>
                <w:color w:val="auto"/>
              </w:rPr>
              <w:t>Construction in progress</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2,906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1,692</w:t>
            </w:r>
          </w:p>
        </w:tc>
      </w:tr>
      <w:tr>
        <w:trPr>
          <w:trHeight w:val="172"/>
        </w:trPr>
        <w:tc>
          <w:tcPr>
            <w:tcW w:w="6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Computer and office equipment</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r>
      <w:tr>
        <w:trPr>
          <w:trHeight w:val="172"/>
        </w:trPr>
        <w:tc>
          <w:tcPr>
            <w:tcW w:w="6420" w:type="dxa"/>
            <w:vAlign w:val="bottom"/>
          </w:tcPr>
          <w:p>
            <w:pPr>
              <w:ind w:left="60"/>
              <w:spacing w:after="0"/>
              <w:rPr>
                <w:sz w:val="20"/>
                <w:szCs w:val="20"/>
                <w:color w:val="auto"/>
              </w:rPr>
            </w:pPr>
            <w:r>
              <w:rPr>
                <w:rFonts w:ascii="Arial" w:cs="Arial" w:eastAsia="Arial" w:hAnsi="Arial"/>
                <w:sz w:val="13"/>
                <w:szCs w:val="13"/>
                <w:color w:val="auto"/>
              </w:rPr>
              <w:t>Leasehold improvements</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503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503</w:t>
            </w:r>
          </w:p>
        </w:tc>
      </w:tr>
      <w:tr>
        <w:trPr>
          <w:trHeight w:val="172"/>
        </w:trPr>
        <w:tc>
          <w:tcPr>
            <w:tcW w:w="6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Furniture and fixtures</w:t>
            </w: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w:t>
            </w:r>
          </w:p>
        </w:tc>
      </w:tr>
      <w:tr>
        <w:trPr>
          <w:trHeight w:val="162"/>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14,247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9,484</w:t>
            </w:r>
          </w:p>
        </w:tc>
      </w:tr>
      <w:tr>
        <w:trPr>
          <w:trHeight w:val="172"/>
        </w:trPr>
        <w:tc>
          <w:tcPr>
            <w:tcW w:w="6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 Accumulated depreciation and amortization</w:t>
            </w: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(6,334)</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(4,957)</w:t>
            </w:r>
          </w:p>
        </w:tc>
      </w:tr>
      <w:tr>
        <w:trPr>
          <w:trHeight w:val="162"/>
        </w:trPr>
        <w:tc>
          <w:tcPr>
            <w:tcW w:w="6420" w:type="dxa"/>
            <w:vAlign w:val="bottom"/>
          </w:tcPr>
          <w:p>
            <w:pPr>
              <w:spacing w:after="0"/>
              <w:rPr>
                <w:sz w:val="14"/>
                <w:szCs w:val="14"/>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7,913</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4,527</w:t>
            </w: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3"/>
          <w:szCs w:val="13"/>
          <w:color w:val="auto"/>
        </w:rPr>
        <w:t>Construction in progress consists of cost of individual components of a custom instrument set used for surgical placement of the Company’s products that have not yet been placed into service of $2.8 million and construction costs related to the new lease in Santa Clara of $0.1 million. Depreciation expense was $0.6 million and $0.3 million for the three months ended September 30, 2021 and 2020, respectively, and $1.4 million and $0.8 million for the nine months ended September 30, 2021 and 2020, respectively.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Accrued Liabilities and Other</w:t>
      </w:r>
      <w:r>
        <w:rPr>
          <w:rFonts w:ascii="Arial" w:cs="Arial" w:eastAsia="Arial" w:hAnsi="Arial"/>
          <w:sz w:val="13"/>
          <w:szCs w:val="13"/>
          <w:color w:val="auto"/>
        </w:rPr>
        <w:t>:</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160"/>
        </w:trPr>
        <w:tc>
          <w:tcPr>
            <w:tcW w:w="6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30, 2021</w:t>
            </w: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w w:val="96"/>
              </w:rPr>
              <w:t>December 31, 2020</w:t>
            </w:r>
          </w:p>
        </w:tc>
      </w:tr>
      <w:tr>
        <w:trPr>
          <w:trHeight w:val="152"/>
        </w:trPr>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20" w:type="dxa"/>
            <w:vAlign w:val="bottom"/>
            <w:gridSpan w:val="4"/>
          </w:tcPr>
          <w:p>
            <w:pPr>
              <w:jc w:val="right"/>
              <w:ind w:right="1094"/>
              <w:spacing w:after="0"/>
              <w:rPr>
                <w:sz w:val="20"/>
                <w:szCs w:val="20"/>
                <w:color w:val="auto"/>
              </w:rPr>
            </w:pPr>
            <w:r>
              <w:rPr>
                <w:rFonts w:ascii="Arial" w:cs="Arial" w:eastAsia="Arial" w:hAnsi="Arial"/>
                <w:sz w:val="12"/>
                <w:szCs w:val="12"/>
                <w:b w:val="1"/>
                <w:bCs w:val="1"/>
                <w:color w:val="auto"/>
              </w:rPr>
              <w:t>(in thousands)</w:t>
            </w:r>
          </w:p>
        </w:tc>
      </w:tr>
      <w:tr>
        <w:trPr>
          <w:trHeight w:val="174"/>
        </w:trPr>
        <w:tc>
          <w:tcPr>
            <w:tcW w:w="6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compensation and related expenses</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9,175</w:t>
            </w:r>
          </w:p>
        </w:tc>
      </w:tr>
      <w:tr>
        <w:trPr>
          <w:trHeight w:val="172"/>
        </w:trPr>
        <w:tc>
          <w:tcPr>
            <w:tcW w:w="6420" w:type="dxa"/>
            <w:vAlign w:val="bottom"/>
          </w:tcPr>
          <w:p>
            <w:pPr>
              <w:ind w:left="140"/>
              <w:spacing w:after="0"/>
              <w:rPr>
                <w:sz w:val="20"/>
                <w:szCs w:val="20"/>
                <w:color w:val="auto"/>
              </w:rPr>
            </w:pPr>
            <w:r>
              <w:rPr>
                <w:rFonts w:ascii="Arial" w:cs="Arial" w:eastAsia="Arial" w:hAnsi="Arial"/>
                <w:sz w:val="13"/>
                <w:szCs w:val="13"/>
                <w:color w:val="auto"/>
              </w:rPr>
              <w:t>Accrued professional services</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511</w:t>
            </w:r>
          </w:p>
        </w:tc>
      </w:tr>
      <w:tr>
        <w:trPr>
          <w:trHeight w:val="172"/>
        </w:trPr>
        <w:tc>
          <w:tcPr>
            <w:tcW w:w="6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Others</w:t>
            </w: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w:t>
            </w:r>
          </w:p>
        </w:tc>
      </w:tr>
      <w:tr>
        <w:trPr>
          <w:trHeight w:val="162"/>
        </w:trPr>
        <w:tc>
          <w:tcPr>
            <w:tcW w:w="6420" w:type="dxa"/>
            <w:vAlign w:val="bottom"/>
          </w:tcPr>
          <w:p>
            <w:pPr>
              <w:spacing w:after="0"/>
              <w:rPr>
                <w:sz w:val="14"/>
                <w:szCs w:val="14"/>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10,425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10,199</w:t>
            </w: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340" w:right="9240" w:hanging="339"/>
        <w:spacing w:after="0" w:line="539" w:lineRule="auto"/>
        <w:tabs>
          <w:tab w:leader="none" w:pos="141" w:val="left"/>
        </w:tabs>
        <w:numPr>
          <w:ilvl w:val="0"/>
          <w:numId w:val="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Commitments and Contingencies </w:t>
      </w:r>
      <w:r>
        <w:rPr>
          <w:rFonts w:ascii="Arial" w:cs="Arial" w:eastAsia="Arial" w:hAnsi="Arial"/>
          <w:sz w:val="11"/>
          <w:szCs w:val="11"/>
          <w:b w:val="1"/>
          <w:bCs w:val="1"/>
          <w:i w:val="1"/>
          <w:iCs w:val="1"/>
          <w:color w:val="auto"/>
        </w:rPr>
        <w:t>Operating Leases</w:t>
      </w:r>
    </w:p>
    <w:p>
      <w:pPr>
        <w:spacing w:after="0" w:line="1" w:lineRule="exact"/>
        <w:rPr>
          <w:sz w:val="20"/>
          <w:szCs w:val="20"/>
          <w:color w:val="auto"/>
        </w:rPr>
      </w:pPr>
    </w:p>
    <w:p>
      <w:pPr>
        <w:jc w:val="both"/>
        <w:ind w:firstLine="334"/>
        <w:spacing w:after="0" w:line="267" w:lineRule="auto"/>
        <w:rPr>
          <w:sz w:val="20"/>
          <w:szCs w:val="20"/>
          <w:color w:val="auto"/>
        </w:rPr>
      </w:pPr>
      <w:r>
        <w:rPr>
          <w:rFonts w:ascii="Arial" w:cs="Arial" w:eastAsia="Arial" w:hAnsi="Arial"/>
          <w:sz w:val="13"/>
          <w:szCs w:val="13"/>
          <w:color w:val="auto"/>
        </w:rPr>
        <w:t>The Company has a non-cancelable operating lease for an office building space, located in Santa Clara, California which expires in May 2025. The Company also has non-cancelable operating leases for its office building spaces in Gallarate, Italy and Knaresborough, United Kingdom, which expire in August 2027 and December 2025, respectively. Effective April 30, 2021, the Company terminated its office lease in Mannheim, Germany, and commenced a new lease that can be terminated at any time with six months written notice to the landlord. Further, the Company also leases vehicles under operating lease arrangements for certain of its personnel in Europe which expire at various times throughout 2021 to 2025. In August 2021, the Company signed a new lease for 19,534 square feet of research and development and warehouse space in Santa Clara, California. The term of the new lease will commence on November 1, 2021 and will terminate on October 31, 2026, with an option to renew for one additional three year term.</w:t>
      </w:r>
    </w:p>
    <w:p>
      <w:pPr>
        <w:spacing w:after="0" w:line="95" w:lineRule="exact"/>
        <w:rPr>
          <w:sz w:val="20"/>
          <w:szCs w:val="20"/>
          <w:color w:val="auto"/>
        </w:rPr>
      </w:pPr>
    </w:p>
    <w:p>
      <w:pPr>
        <w:jc w:val="both"/>
        <w:ind w:firstLine="334"/>
        <w:spacing w:after="0" w:line="296" w:lineRule="auto"/>
        <w:rPr>
          <w:sz w:val="20"/>
          <w:szCs w:val="20"/>
          <w:color w:val="auto"/>
        </w:rPr>
      </w:pPr>
      <w:r>
        <w:rPr>
          <w:rFonts w:ascii="Arial" w:cs="Arial" w:eastAsia="Arial" w:hAnsi="Arial"/>
          <w:sz w:val="13"/>
          <w:szCs w:val="13"/>
          <w:color w:val="auto"/>
        </w:rPr>
        <w:t>Rent expense is recorded over the lease terms on a straight-line basis. Rent expenses charged to operations under operating leases were $0.3 million for the three months ended September 30, 2021 and 2020, and $0.9 million for the nine months ended September 30, 2021 and 2020,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9201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gridSpan w:val="2"/>
          </w:tcPr>
          <w:p>
            <w:pPr>
              <w:spacing w:after="0"/>
              <w:rPr>
                <w:sz w:val="20"/>
                <w:szCs w:val="20"/>
                <w:color w:val="auto"/>
              </w:rPr>
            </w:pPr>
            <w:r>
              <w:rPr>
                <w:rFonts w:ascii="Arial" w:cs="Arial" w:eastAsia="Arial" w:hAnsi="Arial"/>
                <w:sz w:val="13"/>
                <w:szCs w:val="13"/>
                <w:color w:val="auto"/>
              </w:rPr>
              <w:t>The table below summarizes aggregate future minimum lease payments under all leases as of September 30, 2021:</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75"/>
        </w:trPr>
        <w:tc>
          <w:tcPr>
            <w:tcW w:w="98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3"/>
                <w:szCs w:val="13"/>
                <w:b w:val="1"/>
                <w:bCs w:val="1"/>
                <w:color w:val="auto"/>
              </w:rPr>
              <w:t>Year ending December 31,</w:t>
            </w:r>
          </w:p>
        </w:tc>
        <w:tc>
          <w:tcPr>
            <w:tcW w:w="160" w:type="dxa"/>
            <w:vAlign w:val="bottom"/>
          </w:tcPr>
          <w:p>
            <w:pPr>
              <w:spacing w:after="0"/>
              <w:rPr>
                <w:sz w:val="24"/>
                <w:szCs w:val="24"/>
                <w:color w:val="auto"/>
              </w:rPr>
            </w:pPr>
          </w:p>
        </w:tc>
        <w:tc>
          <w:tcPr>
            <w:tcW w:w="1100" w:type="dxa"/>
            <w:vAlign w:val="bottom"/>
          </w:tcPr>
          <w:p>
            <w:pPr>
              <w:jc w:val="right"/>
              <w:ind w:right="193"/>
              <w:spacing w:after="0"/>
              <w:rPr>
                <w:sz w:val="20"/>
                <w:szCs w:val="20"/>
                <w:color w:val="auto"/>
              </w:rPr>
            </w:pPr>
            <w:r>
              <w:rPr>
                <w:rFonts w:ascii="Arial" w:cs="Arial" w:eastAsia="Arial" w:hAnsi="Arial"/>
                <w:sz w:val="12"/>
                <w:szCs w:val="12"/>
                <w:b w:val="1"/>
                <w:bCs w:val="1"/>
                <w:color w:val="auto"/>
                <w:w w:val="99"/>
              </w:rPr>
              <w:t>(in thousands)</w:t>
            </w:r>
          </w:p>
        </w:tc>
      </w:tr>
      <w:tr>
        <w:trPr>
          <w:trHeight w:val="172"/>
        </w:trPr>
        <w:tc>
          <w:tcPr>
            <w:tcW w:w="980" w:type="dxa"/>
            <w:vAlign w:val="bottom"/>
          </w:tcPr>
          <w:p>
            <w:pPr>
              <w:spacing w:after="0"/>
              <w:rPr>
                <w:sz w:val="14"/>
                <w:szCs w:val="14"/>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Remainder of 2021</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r>
      <w:tr>
        <w:trPr>
          <w:trHeight w:val="172"/>
        </w:trPr>
        <w:tc>
          <w:tcPr>
            <w:tcW w:w="980" w:type="dxa"/>
            <w:vAlign w:val="bottom"/>
          </w:tcPr>
          <w:p>
            <w:pPr>
              <w:spacing w:after="0"/>
              <w:rPr>
                <w:sz w:val="14"/>
                <w:szCs w:val="14"/>
                <w:color w:val="auto"/>
              </w:rPr>
            </w:pPr>
          </w:p>
        </w:tc>
        <w:tc>
          <w:tcPr>
            <w:tcW w:w="5920" w:type="dxa"/>
            <w:vAlign w:val="bottom"/>
          </w:tcPr>
          <w:p>
            <w:pPr>
              <w:spacing w:after="0"/>
              <w:rPr>
                <w:sz w:val="20"/>
                <w:szCs w:val="20"/>
                <w:color w:val="auto"/>
              </w:rPr>
            </w:pPr>
            <w:r>
              <w:rPr>
                <w:rFonts w:ascii="Arial" w:cs="Arial" w:eastAsia="Arial" w:hAnsi="Arial"/>
                <w:sz w:val="13"/>
                <w:szCs w:val="13"/>
                <w:color w:val="auto"/>
              </w:rPr>
              <w:t>2022</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1,641</w:t>
            </w:r>
          </w:p>
        </w:tc>
      </w:tr>
      <w:tr>
        <w:trPr>
          <w:trHeight w:val="172"/>
        </w:trPr>
        <w:tc>
          <w:tcPr>
            <w:tcW w:w="980" w:type="dxa"/>
            <w:vAlign w:val="bottom"/>
          </w:tcPr>
          <w:p>
            <w:pPr>
              <w:spacing w:after="0"/>
              <w:rPr>
                <w:sz w:val="14"/>
                <w:szCs w:val="14"/>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2023</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w:t>
            </w:r>
          </w:p>
        </w:tc>
      </w:tr>
      <w:tr>
        <w:trPr>
          <w:trHeight w:val="172"/>
        </w:trPr>
        <w:tc>
          <w:tcPr>
            <w:tcW w:w="980" w:type="dxa"/>
            <w:vAlign w:val="bottom"/>
          </w:tcPr>
          <w:p>
            <w:pPr>
              <w:spacing w:after="0"/>
              <w:rPr>
                <w:sz w:val="14"/>
                <w:szCs w:val="14"/>
                <w:color w:val="auto"/>
              </w:rPr>
            </w:pPr>
          </w:p>
        </w:tc>
        <w:tc>
          <w:tcPr>
            <w:tcW w:w="5920" w:type="dxa"/>
            <w:vAlign w:val="bottom"/>
          </w:tcPr>
          <w:p>
            <w:pPr>
              <w:spacing w:after="0"/>
              <w:rPr>
                <w:sz w:val="20"/>
                <w:szCs w:val="20"/>
                <w:color w:val="auto"/>
              </w:rPr>
            </w:pPr>
            <w:r>
              <w:rPr>
                <w:rFonts w:ascii="Arial" w:cs="Arial" w:eastAsia="Arial" w:hAnsi="Arial"/>
                <w:sz w:val="13"/>
                <w:szCs w:val="13"/>
                <w:color w:val="auto"/>
              </w:rPr>
              <w:t>2024</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1,510</w:t>
            </w:r>
          </w:p>
        </w:tc>
      </w:tr>
      <w:tr>
        <w:trPr>
          <w:trHeight w:val="172"/>
        </w:trPr>
        <w:tc>
          <w:tcPr>
            <w:tcW w:w="980" w:type="dxa"/>
            <w:vAlign w:val="bottom"/>
          </w:tcPr>
          <w:p>
            <w:pPr>
              <w:spacing w:after="0"/>
              <w:rPr>
                <w:sz w:val="14"/>
                <w:szCs w:val="14"/>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2025</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r>
      <w:tr>
        <w:trPr>
          <w:trHeight w:val="172"/>
        </w:trPr>
        <w:tc>
          <w:tcPr>
            <w:tcW w:w="980" w:type="dxa"/>
            <w:vAlign w:val="bottom"/>
          </w:tcPr>
          <w:p>
            <w:pPr>
              <w:spacing w:after="0"/>
              <w:rPr>
                <w:sz w:val="14"/>
                <w:szCs w:val="14"/>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Thereafter</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540</w:t>
            </w:r>
          </w:p>
        </w:tc>
      </w:tr>
      <w:tr>
        <w:trPr>
          <w:trHeight w:val="187"/>
        </w:trPr>
        <w:tc>
          <w:tcPr>
            <w:tcW w:w="980" w:type="dxa"/>
            <w:vAlign w:val="bottom"/>
          </w:tcPr>
          <w:p>
            <w:pPr>
              <w:spacing w:after="0"/>
              <w:rPr>
                <w:sz w:val="15"/>
                <w:szCs w:val="15"/>
                <w:color w:val="auto"/>
              </w:rPr>
            </w:pPr>
          </w:p>
        </w:tc>
        <w:tc>
          <w:tcPr>
            <w:tcW w:w="59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6,615</w:t>
            </w:r>
          </w:p>
        </w:tc>
      </w:tr>
      <w:tr>
        <w:trPr>
          <w:trHeight w:val="20"/>
        </w:trPr>
        <w:tc>
          <w:tcPr>
            <w:tcW w:w="98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Purchase Commitments and Obligations</w:t>
      </w:r>
    </w:p>
    <w:p>
      <w:pPr>
        <w:spacing w:after="0" w:line="174"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The Company has certain purchase commitments related to its inventory management and training materials with certain suppliers wherein the Company is required to provide forecasts and purchase certain amounts included in such forecasts.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$1.3 million and $0.3 million as of September 30, 2021 and December 31, 2020, respectively.</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Indemnification</w:t>
      </w:r>
    </w:p>
    <w:p>
      <w:pPr>
        <w:spacing w:after="0" w:line="134" w:lineRule="exact"/>
        <w:rPr>
          <w:sz w:val="20"/>
          <w:szCs w:val="20"/>
          <w:color w:val="auto"/>
        </w:rPr>
      </w:pPr>
    </w:p>
    <w:p>
      <w:pPr>
        <w:jc w:val="both"/>
        <w:ind w:firstLine="334"/>
        <w:spacing w:after="0" w:line="272" w:lineRule="auto"/>
        <w:rPr>
          <w:sz w:val="20"/>
          <w:szCs w:val="20"/>
          <w:color w:val="auto"/>
        </w:rPr>
      </w:pPr>
      <w:r>
        <w:rPr>
          <w:rFonts w:ascii="Arial" w:cs="Arial" w:eastAsia="Arial" w:hAnsi="Arial"/>
          <w:sz w:val="13"/>
          <w:szCs w:val="13"/>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92" w:lineRule="exact"/>
        <w:rPr>
          <w:sz w:val="20"/>
          <w:szCs w:val="20"/>
          <w:color w:val="auto"/>
        </w:rPr>
      </w:pPr>
    </w:p>
    <w:p>
      <w:pPr>
        <w:jc w:val="both"/>
        <w:ind w:firstLine="334"/>
        <w:spacing w:after="0" w:line="296" w:lineRule="auto"/>
        <w:rPr>
          <w:sz w:val="20"/>
          <w:szCs w:val="20"/>
          <w:color w:val="auto"/>
        </w:rPr>
      </w:pPr>
      <w:r>
        <w:rPr>
          <w:rFonts w:ascii="Arial" w:cs="Arial" w:eastAsia="Arial" w:hAnsi="Arial"/>
          <w:sz w:val="13"/>
          <w:szCs w:val="13"/>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Company has not incurred costs to defend lawsuits or settle claims related to these indemnification agreements. No liability associated with such indemnifications has been recorded to date.</w:t>
      </w:r>
    </w:p>
    <w:p>
      <w:pPr>
        <w:spacing w:after="0" w:line="184" w:lineRule="exact"/>
        <w:rPr>
          <w:sz w:val="20"/>
          <w:szCs w:val="20"/>
          <w:color w:val="auto"/>
        </w:rPr>
      </w:pPr>
    </w:p>
    <w:p>
      <w:pPr>
        <w:ind w:left="300" w:right="10360" w:hanging="299"/>
        <w:spacing w:after="0" w:line="494" w:lineRule="auto"/>
        <w:tabs>
          <w:tab w:leader="none" w:pos="131"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Borrowings </w:t>
      </w:r>
      <w:r>
        <w:rPr>
          <w:rFonts w:ascii="Arial" w:cs="Arial" w:eastAsia="Arial" w:hAnsi="Arial"/>
          <w:sz w:val="12"/>
          <w:szCs w:val="12"/>
          <w:b w:val="1"/>
          <w:bCs w:val="1"/>
          <w:i w:val="1"/>
          <w:iCs w:val="1"/>
          <w:color w:val="auto"/>
        </w:rPr>
        <w:t>Term Loan</w:t>
      </w:r>
    </w:p>
    <w:p>
      <w:pPr>
        <w:ind w:left="300"/>
        <w:spacing w:after="0"/>
        <w:rPr>
          <w:rFonts w:ascii="Arial" w:cs="Arial" w:eastAsia="Arial" w:hAnsi="Arial"/>
          <w:sz w:val="12"/>
          <w:szCs w:val="12"/>
          <w:b w:val="1"/>
          <w:bCs w:val="1"/>
          <w:color w:val="auto"/>
        </w:rPr>
      </w:pPr>
      <w:r>
        <w:rPr>
          <w:rFonts w:ascii="Arial" w:cs="Arial" w:eastAsia="Arial" w:hAnsi="Arial"/>
          <w:sz w:val="13"/>
          <w:szCs w:val="13"/>
          <w:color w:val="auto"/>
        </w:rPr>
        <w:t>The following table summarizes the outstanding borrowings from the term loan described below, as of the dates presented:</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160"/>
        </w:trPr>
        <w:tc>
          <w:tcPr>
            <w:tcW w:w="6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30, 2021</w:t>
            </w: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w w:val="98"/>
              </w:rPr>
              <w:t>December 31, 2020</w:t>
            </w:r>
          </w:p>
        </w:tc>
      </w:tr>
      <w:tr>
        <w:trPr>
          <w:trHeight w:val="152"/>
        </w:trPr>
        <w:tc>
          <w:tcPr>
            <w:tcW w:w="6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4"/>
          </w:tcPr>
          <w:p>
            <w:pPr>
              <w:jc w:val="right"/>
              <w:ind w:right="1114"/>
              <w:spacing w:after="0"/>
              <w:rPr>
                <w:sz w:val="20"/>
                <w:szCs w:val="20"/>
                <w:color w:val="auto"/>
              </w:rPr>
            </w:pPr>
            <w:r>
              <w:rPr>
                <w:rFonts w:ascii="Arial" w:cs="Arial" w:eastAsia="Arial" w:hAnsi="Arial"/>
                <w:sz w:val="12"/>
                <w:szCs w:val="12"/>
                <w:b w:val="1"/>
                <w:bCs w:val="1"/>
                <w:color w:val="auto"/>
              </w:rPr>
              <w:t>(in thousands)</w:t>
            </w:r>
          </w:p>
        </w:tc>
      </w:tr>
      <w:tr>
        <w:trPr>
          <w:trHeight w:val="174"/>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outstanding and final fee</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41,000</w:t>
            </w:r>
          </w:p>
        </w:tc>
      </w:tr>
      <w:tr>
        <w:trPr>
          <w:trHeight w:val="172"/>
        </w:trPr>
        <w:tc>
          <w:tcPr>
            <w:tcW w:w="6560" w:type="dxa"/>
            <w:vAlign w:val="bottom"/>
          </w:tcPr>
          <w:p>
            <w:pPr>
              <w:ind w:left="20"/>
              <w:spacing w:after="0"/>
              <w:rPr>
                <w:sz w:val="20"/>
                <w:szCs w:val="20"/>
                <w:color w:val="auto"/>
              </w:rPr>
            </w:pPr>
            <w:r>
              <w:rPr>
                <w:rFonts w:ascii="Arial" w:cs="Arial" w:eastAsia="Arial" w:hAnsi="Arial"/>
                <w:sz w:val="13"/>
                <w:szCs w:val="13"/>
                <w:color w:val="auto"/>
              </w:rPr>
              <w:t>Less: Unamortized debt issuance costs</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(661)</w:t>
            </w:r>
          </w:p>
        </w:tc>
      </w:tr>
      <w:tr>
        <w:trPr>
          <w:trHeight w:val="172"/>
        </w:trPr>
        <w:tc>
          <w:tcPr>
            <w:tcW w:w="65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Unaccreted value of final fee</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(884)</w:t>
            </w:r>
          </w:p>
        </w:tc>
      </w:tr>
      <w:tr>
        <w:trPr>
          <w:trHeight w:val="162"/>
        </w:trPr>
        <w:tc>
          <w:tcPr>
            <w:tcW w:w="6560" w:type="dxa"/>
            <w:vAlign w:val="bottom"/>
          </w:tcPr>
          <w:p>
            <w:pPr>
              <w:ind w:left="20"/>
              <w:spacing w:after="0"/>
              <w:rPr>
                <w:sz w:val="20"/>
                <w:szCs w:val="20"/>
                <w:color w:val="auto"/>
              </w:rPr>
            </w:pPr>
            <w:r>
              <w:rPr>
                <w:rFonts w:ascii="Arial" w:cs="Arial" w:eastAsia="Arial" w:hAnsi="Arial"/>
                <w:sz w:val="13"/>
                <w:szCs w:val="13"/>
                <w:color w:val="auto"/>
              </w:rPr>
              <w:t>Outstanding debt, net of debt issuance costs and unaccreted value of final fee</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34,922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39,455</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32"/>
        </w:trPr>
        <w:tc>
          <w:tcPr>
            <w:tcW w:w="65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Classified as:</w:t>
            </w: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72"/>
        </w:trPr>
        <w:tc>
          <w:tcPr>
            <w:tcW w:w="6560" w:type="dxa"/>
            <w:vAlign w:val="bottom"/>
          </w:tcPr>
          <w:p>
            <w:pPr>
              <w:ind w:left="180"/>
              <w:spacing w:after="0"/>
              <w:rPr>
                <w:sz w:val="20"/>
                <w:szCs w:val="20"/>
                <w:color w:val="auto"/>
              </w:rPr>
            </w:pPr>
            <w:r>
              <w:rPr>
                <w:rFonts w:ascii="Arial" w:cs="Arial" w:eastAsia="Arial" w:hAnsi="Arial"/>
                <w:sz w:val="13"/>
                <w:szCs w:val="13"/>
                <w:color w:val="auto"/>
              </w:rPr>
              <w:t>Long-term borrowings</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34,922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39,455</w:t>
            </w: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firstLine="304"/>
        <w:spacing w:after="0" w:line="280" w:lineRule="auto"/>
        <w:rPr>
          <w:sz w:val="20"/>
          <w:szCs w:val="20"/>
          <w:color w:val="auto"/>
        </w:rPr>
      </w:pPr>
      <w:r>
        <w:rPr>
          <w:rFonts w:ascii="Arial" w:cs="Arial" w:eastAsia="Arial" w:hAnsi="Arial"/>
          <w:sz w:val="13"/>
          <w:szCs w:val="13"/>
          <w:color w:val="auto"/>
        </w:rPr>
        <w:t>In October 2017, the Company entered into a term loan with Biopharma Credit Investments IV Sub LP (“Pharmakon”) in for total loan proceeds of $40.0 million (the “Pharmakon Term Loan”). The Pharmakon Term Loan included an interest-only period for 35 months through September 2020 and then equal quarterly principal payments plus interest through December 2022.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9201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Pharmakon Term Loan carried a fixed interest rate of 11.5% and allowed for early prepayment. The prepayment penalty fee was equal to the remaining interest due if prepaid within the first 30 months, a 2% penalty for months 31-48, and a 1% penalty for months 49-60. The Company paid in full and terminated the Pharmakon Term Loan in May 2020.</w:t>
      </w:r>
    </w:p>
    <w:p>
      <w:pPr>
        <w:spacing w:after="0" w:line="137" w:lineRule="exact"/>
        <w:rPr>
          <w:sz w:val="20"/>
          <w:szCs w:val="20"/>
          <w:color w:val="auto"/>
        </w:rPr>
      </w:pPr>
    </w:p>
    <w:p>
      <w:pPr>
        <w:jc w:val="both"/>
        <w:ind w:firstLine="304"/>
        <w:spacing w:after="0" w:line="246" w:lineRule="auto"/>
        <w:rPr>
          <w:sz w:val="20"/>
          <w:szCs w:val="20"/>
          <w:color w:val="auto"/>
        </w:rPr>
      </w:pPr>
      <w:r>
        <w:rPr>
          <w:rFonts w:ascii="Arial" w:cs="Arial" w:eastAsia="Arial" w:hAnsi="Arial"/>
          <w:sz w:val="13"/>
          <w:szCs w:val="13"/>
          <w:color w:val="auto"/>
        </w:rPr>
        <w:t>The outstanding debt as of December 31, 2020 is related to a term loan pursuant to the Loan and Security Agreement dated May 29, 2020, entered into by the Company with Solar Capital Partners (“Solar”). Pursuant to the Loan and Security Agreement, Solar provided an aggregate principal amount of $40.0 million term loan (the “Solar Term Loan”). The total debt issuance costs of $0.8 million associated with the Solar Term Loan were recorded in the condensed consolidated balance sheet as a direct deduction from the carrying amount of the loan, and are amortized as a component of interest expense using straight-line method over the life of the term loan. In accordance with the Loan and Security Agreement with Solar, the Company paid in full and terminated the Pharmakon Term Loan, which was accounted for as debt extinguishment in accordance with the accounting standards. The Company recognized the unamortized debt issuance costs of $0.7 million and the prepayment penalty and lender fees of $0.8 million related to Pharmakon Term Loan as a loss on debt extinguishment. The costs and fees are reflected as interest expense in the consolidated statement of operations for the year ended December 31, 2020. The Solar Term Loan bore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included an interest-only period of 36 months through June 2023, and then repaid in equal monthly principal payments plus interest through June 1, 2025. Pursuant to the Loan and Security Agreement with Solar, the Company could voluntarily prepay the Solar Term Loan, in full or in part, but only in increments of $10.0 million, for a prepayment premium in an amount equal to 3.0% of the principal if prepaid in year one, 1.25% of the principal if prepaid in year two, and 0.50% of the principal if prepaid in year three or later. The Solar Term Loan was secured by substantially all of the Company’s assets. The Company was also obligated to pay a final fee equal to $1.0 million or 2.5% of the aggregate principal amount of the Solar Term Loan, which was fully earned by Solar on the effective date of the Loan and Security Agreement with Solar. With respect to the Solar Term Loan, this final fee shall be due and payable on the earliest of (i) the maturity date, (ii) the acceleration of the loan balance or (iii) its full prepayment, refinancing, substitution or replacement. The final fee was included within the long-term borrowings and was accreted to interest expense using straight-line method over the life of the term loan. The Company paid in full and terminated the Solar Term Loan in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6337300</wp:posOffset>
            </wp:positionH>
            <wp:positionV relativeFrom="paragraph">
              <wp:posOffset>-436245</wp:posOffset>
            </wp:positionV>
            <wp:extent cx="2159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pacing w:after="0" w:line="141" w:lineRule="exact"/>
        <w:rPr>
          <w:sz w:val="20"/>
          <w:szCs w:val="20"/>
          <w:color w:val="auto"/>
        </w:rPr>
      </w:pPr>
    </w:p>
    <w:p>
      <w:pPr>
        <w:jc w:val="both"/>
        <w:ind w:firstLine="304"/>
        <w:spacing w:after="0" w:line="266" w:lineRule="auto"/>
        <w:rPr>
          <w:sz w:val="20"/>
          <w:szCs w:val="20"/>
          <w:color w:val="auto"/>
        </w:rPr>
      </w:pPr>
      <w:r>
        <w:rPr>
          <w:rFonts w:ascii="Arial" w:cs="Arial" w:eastAsia="Arial" w:hAnsi="Arial"/>
          <w:sz w:val="12"/>
          <w:szCs w:val="12"/>
          <w:color w:val="auto"/>
        </w:rPr>
        <w:t>The outstanding debt as of September 30, 2021 is related to a term loan pursuant to the Loan and Security Agreement dated August 12, 2021 (the “Effective Date”), entered into by the Company with Silicon Valley Bank (“SVB”). Pursuant the agreement, SVB provided an aggregate principal amount of $35.0 million to the Company (the “SVB Term Loan”). The Company used the proceeds of the SVB Term Loan to repay in full and terminate the Solar Term Loan, which was accounted for as debt extinguishment in accordance with the accounting standards. The Company recognized the unamortized debt issuance costs and unaccreted value of final fee of $1.3 million and the prepayment penalty and lender fees of $0.5 million related to Solar Term Loan as a loss on debt extinguishment. The costs and fees are reflected as interest expense in the condensed consolidated statement of operations for the three and nine months ended September 30, 2021. The total debt issuance costs of $0.1 million associated with the SVB Term Loan were recorded in the condensed consolidated balance sheet as a direct deduction from the carrying amount of the loan, and are amortized as a component of interest expense using straight-line method over the life of the term loan. The SVB Term Loan matures (the “Maturity Date”) on either (a) August 1, 2025 or (b) August 1, 2026 dependent on the Company’s achievement of a certain financial performance milestone as of December 31, 2022, as set forth in the Loan Agreement. Interest on the SVB Term Loan is payable monthly at an annual rate set at the greater of (a) 5.75% and (b) prime rate as published in the Wall Street Journal plus 2.5%. Commencing on September 1, 2023, the Company will be required to make monthly principal amortization payments. The Company may elect to prepay the SVB Term Loan prior to the Maturity Date subject to a prepayment fee equal to 1% if the prepayment occurs prior to the second anniversary of the Effective Date and —% if the prepayment occurs on or at any time after the second anniversary of the Effective Date. The SVB Term Loan is secured by substantially all the Company's assets other than the Company's intellectual property. The Company is also obligated to pay a final payment equal to $0.7 million or 2% of the aggregate principal amount of the SVB Term Loan, which is considered fully earned by SVB on the effective date of the Loan and Security Agreement with SVB. This final payment shall be due and payable on the earliest of (i) the maturity date, (ii) the full repayment of the loan, (iii) permitted prepayment and mandatory prepayment upon an</w:t>
      </w:r>
    </w:p>
    <w:p>
      <w:pPr>
        <w:spacing w:after="0" w:line="6"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acceleration as specified in the agreement or (iv) the termination of the agreement. The final payment is included within the long-term borrowings and is accreted to interest expense using straight-line method over the life of the term loan.</w:t>
      </w:r>
    </w:p>
    <w:p>
      <w:pPr>
        <w:spacing w:after="0" w:line="127" w:lineRule="exact"/>
        <w:rPr>
          <w:sz w:val="20"/>
          <w:szCs w:val="20"/>
          <w:color w:val="auto"/>
        </w:rPr>
      </w:pPr>
    </w:p>
    <w:p>
      <w:pPr>
        <w:jc w:val="both"/>
        <w:ind w:firstLine="304"/>
        <w:spacing w:after="0" w:line="261" w:lineRule="auto"/>
        <w:rPr>
          <w:sz w:val="20"/>
          <w:szCs w:val="20"/>
          <w:color w:val="auto"/>
        </w:rPr>
      </w:pPr>
      <w:r>
        <w:rPr>
          <w:rFonts w:ascii="Arial" w:cs="Arial" w:eastAsia="Arial" w:hAnsi="Arial"/>
          <w:sz w:val="13"/>
          <w:szCs w:val="13"/>
          <w:color w:val="auto"/>
        </w:rPr>
        <w:t>The effective interest rate related to the SVB Term Loan and Solar Term Loan (excluding the write-down of unamortized debt issuance costs and prepayment penalty related to the Solar Term Loan) was 8.5% for both the three and nine months ended September 30, 2021. The effective interest rate related to the Solar Term Loan and Pharmakon Term Loan (excluding the write-down of unamortized debt issuance costs and prepayment penalty related to the Pharmakon Term Loan) was 10.8% and 11.6% for the three and nine months ended September 30, 2020, respectively.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9201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7940" w:type="dxa"/>
            <w:vAlign w:val="bottom"/>
          </w:tcPr>
          <w:p>
            <w:pPr>
              <w:ind w:left="4720"/>
              <w:spacing w:after="0"/>
              <w:rPr>
                <w:sz w:val="20"/>
                <w:szCs w:val="20"/>
                <w:color w:val="auto"/>
              </w:rPr>
            </w:pPr>
            <w:r>
              <w:rPr>
                <w:rFonts w:ascii="Arial" w:cs="Arial" w:eastAsia="Arial" w:hAnsi="Arial"/>
                <w:sz w:val="13"/>
                <w:szCs w:val="13"/>
                <w:b w:val="1"/>
                <w:bCs w:val="1"/>
                <w:color w:val="auto"/>
              </w:rPr>
              <w:t>SI-BONE, INC.</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4"/>
        </w:trPr>
        <w:tc>
          <w:tcPr>
            <w:tcW w:w="480" w:type="dxa"/>
            <w:vAlign w:val="bottom"/>
          </w:tcPr>
          <w:p>
            <w:pPr>
              <w:spacing w:after="0"/>
              <w:rPr>
                <w:sz w:val="15"/>
                <w:szCs w:val="15"/>
                <w:color w:val="auto"/>
              </w:rPr>
            </w:pPr>
          </w:p>
        </w:tc>
        <w:tc>
          <w:tcPr>
            <w:tcW w:w="7940" w:type="dxa"/>
            <w:vAlign w:val="bottom"/>
          </w:tcPr>
          <w:p>
            <w:pPr>
              <w:ind w:left="2600"/>
              <w:spacing w:after="0"/>
              <w:rPr>
                <w:sz w:val="20"/>
                <w:szCs w:val="20"/>
                <w:color w:val="auto"/>
              </w:rPr>
            </w:pPr>
            <w:r>
              <w:rPr>
                <w:rFonts w:ascii="Arial" w:cs="Arial" w:eastAsia="Arial" w:hAnsi="Arial"/>
                <w:sz w:val="13"/>
                <w:szCs w:val="13"/>
                <w:b w:val="1"/>
                <w:bCs w:val="1"/>
                <w:color w:val="auto"/>
              </w:rPr>
              <w:t>NOTES TO CONDENSED CONSOLIDATED FINANCIAL STATEMENTS (Unaudited)</w:t>
            </w: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688"/>
        </w:trPr>
        <w:tc>
          <w:tcPr>
            <w:tcW w:w="8420" w:type="dxa"/>
            <w:vAlign w:val="bottom"/>
            <w:gridSpan w:val="2"/>
          </w:tcPr>
          <w:p>
            <w:pPr>
              <w:spacing w:after="0"/>
              <w:rPr>
                <w:sz w:val="20"/>
                <w:szCs w:val="20"/>
                <w:color w:val="auto"/>
              </w:rPr>
            </w:pPr>
            <w:r>
              <w:rPr>
                <w:rFonts w:ascii="Arial" w:cs="Arial" w:eastAsia="Arial" w:hAnsi="Arial"/>
                <w:sz w:val="13"/>
                <w:szCs w:val="13"/>
                <w:color w:val="auto"/>
              </w:rPr>
              <w:t>The table below summarizes the future principal and final fee payments under the SVB Term Loan as of September 30, 2021:</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5"/>
        </w:trPr>
        <w:tc>
          <w:tcPr>
            <w:tcW w:w="480" w:type="dxa"/>
            <w:vAlign w:val="bottom"/>
          </w:tcPr>
          <w:p>
            <w:pPr>
              <w:spacing w:after="0"/>
              <w:rPr>
                <w:sz w:val="24"/>
                <w:szCs w:val="24"/>
                <w:color w:val="auto"/>
              </w:rPr>
            </w:pPr>
          </w:p>
        </w:tc>
        <w:tc>
          <w:tcPr>
            <w:tcW w:w="7940" w:type="dxa"/>
            <w:vAlign w:val="bottom"/>
          </w:tcPr>
          <w:p>
            <w:pPr>
              <w:ind w:left="500"/>
              <w:spacing w:after="0"/>
              <w:rPr>
                <w:sz w:val="20"/>
                <w:szCs w:val="20"/>
                <w:color w:val="auto"/>
              </w:rPr>
            </w:pPr>
            <w:r>
              <w:rPr>
                <w:rFonts w:ascii="Arial" w:cs="Arial" w:eastAsia="Arial" w:hAnsi="Arial"/>
                <w:sz w:val="13"/>
                <w:szCs w:val="13"/>
                <w:b w:val="1"/>
                <w:bCs w:val="1"/>
                <w:color w:val="auto"/>
              </w:rPr>
              <w:t>Year ending December 31,</w:t>
            </w:r>
          </w:p>
        </w:tc>
        <w:tc>
          <w:tcPr>
            <w:tcW w:w="660" w:type="dxa"/>
            <w:vAlign w:val="bottom"/>
          </w:tcPr>
          <w:p>
            <w:pPr>
              <w:spacing w:after="0"/>
              <w:rPr>
                <w:sz w:val="24"/>
                <w:szCs w:val="24"/>
                <w:color w:val="auto"/>
              </w:rPr>
            </w:pPr>
          </w:p>
        </w:tc>
        <w:tc>
          <w:tcPr>
            <w:tcW w:w="1160" w:type="dxa"/>
            <w:vAlign w:val="bottom"/>
          </w:tcPr>
          <w:p>
            <w:pPr>
              <w:jc w:val="right"/>
              <w:ind w:right="233"/>
              <w:spacing w:after="0"/>
              <w:rPr>
                <w:sz w:val="20"/>
                <w:szCs w:val="20"/>
                <w:color w:val="auto"/>
              </w:rPr>
            </w:pPr>
            <w:r>
              <w:rPr>
                <w:rFonts w:ascii="Arial" w:cs="Arial" w:eastAsia="Arial" w:hAnsi="Arial"/>
                <w:sz w:val="12"/>
                <w:szCs w:val="12"/>
                <w:b w:val="1"/>
                <w:bCs w:val="1"/>
                <w:color w:val="auto"/>
              </w:rPr>
              <w:t>(in thousands)</w:t>
            </w:r>
          </w:p>
        </w:tc>
      </w:tr>
      <w:tr>
        <w:trPr>
          <w:trHeight w:val="172"/>
        </w:trPr>
        <w:tc>
          <w:tcPr>
            <w:tcW w:w="480" w:type="dxa"/>
            <w:vAlign w:val="bottom"/>
          </w:tcPr>
          <w:p>
            <w:pPr>
              <w:spacing w:after="0"/>
              <w:rPr>
                <w:sz w:val="14"/>
                <w:szCs w:val="14"/>
                <w:color w:val="auto"/>
              </w:rPr>
            </w:pPr>
          </w:p>
        </w:tc>
        <w:tc>
          <w:tcPr>
            <w:tcW w:w="7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2021 (remaining three months)</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80" w:type="dxa"/>
            <w:vAlign w:val="bottom"/>
          </w:tcPr>
          <w:p>
            <w:pPr>
              <w:spacing w:after="0"/>
              <w:rPr>
                <w:sz w:val="14"/>
                <w:szCs w:val="14"/>
                <w:color w:val="auto"/>
              </w:rPr>
            </w:pPr>
          </w:p>
        </w:tc>
        <w:tc>
          <w:tcPr>
            <w:tcW w:w="7940" w:type="dxa"/>
            <w:vAlign w:val="bottom"/>
          </w:tcPr>
          <w:p>
            <w:pPr>
              <w:ind w:left="500"/>
              <w:spacing w:after="0"/>
              <w:rPr>
                <w:sz w:val="20"/>
                <w:szCs w:val="20"/>
                <w:color w:val="auto"/>
              </w:rPr>
            </w:pPr>
            <w:r>
              <w:rPr>
                <w:rFonts w:ascii="Arial" w:cs="Arial" w:eastAsia="Arial" w:hAnsi="Arial"/>
                <w:sz w:val="13"/>
                <w:szCs w:val="13"/>
                <w:color w:val="auto"/>
              </w:rPr>
              <w:t>2022</w:t>
            </w:r>
          </w:p>
        </w:tc>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80" w:type="dxa"/>
            <w:vAlign w:val="bottom"/>
          </w:tcPr>
          <w:p>
            <w:pPr>
              <w:spacing w:after="0"/>
              <w:rPr>
                <w:sz w:val="14"/>
                <w:szCs w:val="14"/>
                <w:color w:val="auto"/>
              </w:rPr>
            </w:pPr>
          </w:p>
        </w:tc>
        <w:tc>
          <w:tcPr>
            <w:tcW w:w="7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2023</w:t>
            </w:r>
          </w:p>
        </w:tc>
        <w:tc>
          <w:tcPr>
            <w:tcW w:w="6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7,292</w:t>
            </w:r>
          </w:p>
        </w:tc>
      </w:tr>
      <w:tr>
        <w:trPr>
          <w:trHeight w:val="172"/>
        </w:trPr>
        <w:tc>
          <w:tcPr>
            <w:tcW w:w="480" w:type="dxa"/>
            <w:vAlign w:val="bottom"/>
          </w:tcPr>
          <w:p>
            <w:pPr>
              <w:spacing w:after="0"/>
              <w:rPr>
                <w:sz w:val="14"/>
                <w:szCs w:val="14"/>
                <w:color w:val="auto"/>
              </w:rPr>
            </w:pPr>
          </w:p>
        </w:tc>
        <w:tc>
          <w:tcPr>
            <w:tcW w:w="7940" w:type="dxa"/>
            <w:vAlign w:val="bottom"/>
          </w:tcPr>
          <w:p>
            <w:pPr>
              <w:ind w:left="500"/>
              <w:spacing w:after="0"/>
              <w:rPr>
                <w:sz w:val="20"/>
                <w:szCs w:val="20"/>
                <w:color w:val="auto"/>
              </w:rPr>
            </w:pPr>
            <w:r>
              <w:rPr>
                <w:rFonts w:ascii="Arial" w:cs="Arial" w:eastAsia="Arial" w:hAnsi="Arial"/>
                <w:sz w:val="13"/>
                <w:szCs w:val="13"/>
                <w:color w:val="auto"/>
              </w:rPr>
              <w:t>2024</w:t>
            </w:r>
          </w:p>
        </w:tc>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17,500</w:t>
            </w:r>
          </w:p>
        </w:tc>
      </w:tr>
      <w:tr>
        <w:trPr>
          <w:trHeight w:val="172"/>
        </w:trPr>
        <w:tc>
          <w:tcPr>
            <w:tcW w:w="480" w:type="dxa"/>
            <w:vAlign w:val="bottom"/>
          </w:tcPr>
          <w:p>
            <w:pPr>
              <w:spacing w:after="0"/>
              <w:rPr>
                <w:sz w:val="14"/>
                <w:szCs w:val="14"/>
                <w:color w:val="auto"/>
              </w:rPr>
            </w:pPr>
          </w:p>
        </w:tc>
        <w:tc>
          <w:tcPr>
            <w:tcW w:w="7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2025</w:t>
            </w:r>
          </w:p>
        </w:tc>
        <w:tc>
          <w:tcPr>
            <w:tcW w:w="6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10,908</w:t>
            </w:r>
          </w:p>
        </w:tc>
      </w:tr>
      <w:tr>
        <w:trPr>
          <w:trHeight w:val="162"/>
        </w:trPr>
        <w:tc>
          <w:tcPr>
            <w:tcW w:w="480" w:type="dxa"/>
            <w:vAlign w:val="bottom"/>
          </w:tcPr>
          <w:p>
            <w:pPr>
              <w:spacing w:after="0"/>
              <w:rPr>
                <w:sz w:val="14"/>
                <w:szCs w:val="14"/>
                <w:color w:val="auto"/>
              </w:rPr>
            </w:pPr>
          </w:p>
        </w:tc>
        <w:tc>
          <w:tcPr>
            <w:tcW w:w="7940" w:type="dxa"/>
            <w:vAlign w:val="bottom"/>
          </w:tcPr>
          <w:p>
            <w:pPr>
              <w:ind w:left="660"/>
              <w:spacing w:after="0"/>
              <w:rPr>
                <w:sz w:val="20"/>
                <w:szCs w:val="20"/>
                <w:color w:val="auto"/>
              </w:rPr>
            </w:pPr>
            <w:r>
              <w:rPr>
                <w:rFonts w:ascii="Arial" w:cs="Arial" w:eastAsia="Arial" w:hAnsi="Arial"/>
                <w:sz w:val="13"/>
                <w:szCs w:val="13"/>
                <w:color w:val="auto"/>
              </w:rPr>
              <w:t>Total principal and final fee payments</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35,700</w:t>
            </w:r>
          </w:p>
        </w:tc>
      </w:tr>
      <w:tr>
        <w:trPr>
          <w:trHeight w:val="20"/>
        </w:trPr>
        <w:tc>
          <w:tcPr>
            <w:tcW w:w="4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2"/>
          <w:szCs w:val="12"/>
          <w:color w:val="auto"/>
        </w:rPr>
        <w:t>The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September 30, 2021, the Company was in compliance with all debt covenants.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CARES Act</w:t>
      </w:r>
    </w:p>
    <w:p>
      <w:pPr>
        <w:spacing w:after="0" w:line="164"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2"/>
          <w:szCs w:val="12"/>
          <w:color w:val="auto"/>
        </w:rPr>
        <w:t>On March 27, 2020, the U.S. federal government enacted the “Coronavirus Aid, Relief and Economic Security (CARES) Act,” which, among other things, allowed employers to defer the deposit and payment of an employer's share of social security taxes through December 31, 2020. The Company recorded a total liability of $1.0 million related to the deferral of the social security taxes of which $0.5 million is included in each accrued liabilities and other and other long-term liabilities in the condensed consolidated balance sheets as of September 30, 2021 and December 31, 2020.</w:t>
      </w:r>
    </w:p>
    <w:p>
      <w:pPr>
        <w:spacing w:after="0" w:line="292" w:lineRule="exact"/>
        <w:rPr>
          <w:sz w:val="20"/>
          <w:szCs w:val="20"/>
          <w:color w:val="auto"/>
        </w:rPr>
      </w:pPr>
    </w:p>
    <w:p>
      <w:pPr>
        <w:ind w:left="340" w:right="8660" w:hanging="339"/>
        <w:spacing w:after="0" w:line="537" w:lineRule="auto"/>
        <w:tabs>
          <w:tab w:leader="none" w:pos="141"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Stock-Based Incentive Compensation Plans </w:t>
      </w:r>
      <w:r>
        <w:rPr>
          <w:rFonts w:ascii="Arial" w:cs="Arial" w:eastAsia="Arial" w:hAnsi="Arial"/>
          <w:sz w:val="13"/>
          <w:szCs w:val="13"/>
          <w:b w:val="1"/>
          <w:bCs w:val="1"/>
          <w:i w:val="1"/>
          <w:iCs w:val="1"/>
          <w:color w:val="auto"/>
        </w:rPr>
        <w:t>Stock Options</w:t>
      </w:r>
    </w:p>
    <w:p>
      <w:pPr>
        <w:spacing w:after="0" w:line="1" w:lineRule="exact"/>
        <w:rPr>
          <w:rFonts w:ascii="Arial" w:cs="Arial" w:eastAsia="Arial" w:hAnsi="Arial"/>
          <w:sz w:val="13"/>
          <w:szCs w:val="13"/>
          <w:b w:val="1"/>
          <w:bCs w:val="1"/>
          <w:color w:val="auto"/>
        </w:rPr>
      </w:pPr>
    </w:p>
    <w:p>
      <w:pPr>
        <w:ind w:left="340"/>
        <w:spacing w:after="0"/>
        <w:rPr>
          <w:rFonts w:ascii="Arial" w:cs="Arial" w:eastAsia="Arial" w:hAnsi="Arial"/>
          <w:sz w:val="13"/>
          <w:szCs w:val="13"/>
          <w:b w:val="1"/>
          <w:bCs w:val="1"/>
          <w:color w:val="auto"/>
        </w:rPr>
      </w:pPr>
      <w:r>
        <w:rPr>
          <w:rFonts w:ascii="Arial" w:cs="Arial" w:eastAsia="Arial" w:hAnsi="Arial"/>
          <w:sz w:val="13"/>
          <w:szCs w:val="13"/>
          <w:color w:val="auto"/>
        </w:rPr>
        <w:t>The table below summarizes the stock option activity for the nine months ended September 30, 2021:</w:t>
      </w:r>
    </w:p>
    <w:p>
      <w:pPr>
        <w:spacing w:after="0" w:line="148"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9"/>
              </w:rPr>
              <w:t>Weighted-</w:t>
            </w:r>
          </w:p>
        </w:tc>
        <w:tc>
          <w:tcPr>
            <w:tcW w:w="0" w:type="dxa"/>
            <w:vAlign w:val="bottom"/>
          </w:tcPr>
          <w:p>
            <w:pPr>
              <w:spacing w:after="0"/>
              <w:rPr>
                <w:sz w:val="1"/>
                <w:szCs w:val="1"/>
                <w:color w:val="auto"/>
              </w:rPr>
            </w:pPr>
          </w:p>
        </w:tc>
      </w:tr>
      <w:tr>
        <w:trPr>
          <w:trHeight w:val="121"/>
        </w:trPr>
        <w:tc>
          <w:tcPr>
            <w:tcW w:w="4600" w:type="dxa"/>
            <w:vAlign w:val="bottom"/>
          </w:tcPr>
          <w:p>
            <w:pPr>
              <w:spacing w:after="0"/>
              <w:rPr>
                <w:sz w:val="10"/>
                <w:szCs w:val="10"/>
                <w:color w:val="auto"/>
              </w:rPr>
            </w:pPr>
          </w:p>
        </w:tc>
        <w:tc>
          <w:tcPr>
            <w:tcW w:w="1240" w:type="dxa"/>
            <w:vAlign w:val="bottom"/>
            <w:vMerge w:val="restart"/>
          </w:tcPr>
          <w:p>
            <w:pPr>
              <w:jc w:val="right"/>
              <w:ind w:right="295"/>
              <w:spacing w:after="0"/>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1"/>
        </w:trPr>
        <w:tc>
          <w:tcPr>
            <w:tcW w:w="46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Exercise</w:t>
            </w:r>
          </w:p>
        </w:tc>
        <w:tc>
          <w:tcPr>
            <w:tcW w:w="0" w:type="dxa"/>
            <w:vAlign w:val="bottom"/>
          </w:tcPr>
          <w:p>
            <w:pPr>
              <w:spacing w:after="0"/>
              <w:rPr>
                <w:sz w:val="1"/>
                <w:szCs w:val="1"/>
                <w:color w:val="auto"/>
              </w:rPr>
            </w:pPr>
          </w:p>
        </w:tc>
      </w:tr>
      <w:tr>
        <w:trPr>
          <w:trHeight w:val="160"/>
        </w:trPr>
        <w:tc>
          <w:tcPr>
            <w:tcW w:w="46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Price</w:t>
            </w:r>
          </w:p>
        </w:tc>
        <w:tc>
          <w:tcPr>
            <w:tcW w:w="0" w:type="dxa"/>
            <w:vAlign w:val="bottom"/>
          </w:tcPr>
          <w:p>
            <w:pPr>
              <w:spacing w:after="0"/>
              <w:rPr>
                <w:sz w:val="1"/>
                <w:szCs w:val="1"/>
                <w:color w:val="auto"/>
              </w:rPr>
            </w:pPr>
          </w:p>
        </w:tc>
      </w:tr>
      <w:tr>
        <w:trPr>
          <w:trHeight w:val="164"/>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Outstanding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2,405,957</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$8.54</w:t>
            </w:r>
          </w:p>
        </w:tc>
        <w:tc>
          <w:tcPr>
            <w:tcW w:w="0" w:type="dxa"/>
            <w:vAlign w:val="bottom"/>
          </w:tcPr>
          <w:p>
            <w:pPr>
              <w:spacing w:after="0"/>
              <w:rPr>
                <w:sz w:val="1"/>
                <w:szCs w:val="1"/>
                <w:color w:val="auto"/>
              </w:rPr>
            </w:pPr>
          </w:p>
        </w:tc>
      </w:tr>
      <w:tr>
        <w:trPr>
          <w:trHeight w:val="182"/>
        </w:trPr>
        <w:tc>
          <w:tcPr>
            <w:tcW w:w="4600" w:type="dxa"/>
            <w:vAlign w:val="bottom"/>
          </w:tcPr>
          <w:p>
            <w:pPr>
              <w:ind w:left="40"/>
              <w:spacing w:after="0"/>
              <w:rPr>
                <w:sz w:val="20"/>
                <w:szCs w:val="20"/>
                <w:color w:val="auto"/>
              </w:rPr>
            </w:pPr>
            <w:r>
              <w:rPr>
                <w:rFonts w:ascii="Arial" w:cs="Arial" w:eastAsia="Arial" w:hAnsi="Arial"/>
                <w:sz w:val="13"/>
                <w:szCs w:val="13"/>
                <w:color w:val="auto"/>
              </w:rPr>
              <w:t>Exercised</w:t>
            </w:r>
          </w:p>
        </w:tc>
        <w:tc>
          <w:tcPr>
            <w:tcW w:w="1240" w:type="dxa"/>
            <w:vAlign w:val="bottom"/>
          </w:tcPr>
          <w:p>
            <w:pPr>
              <w:jc w:val="right"/>
              <w:spacing w:after="0"/>
              <w:rPr>
                <w:sz w:val="20"/>
                <w:szCs w:val="20"/>
                <w:color w:val="auto"/>
              </w:rPr>
            </w:pPr>
            <w:r>
              <w:rPr>
                <w:rFonts w:ascii="Arial" w:cs="Arial" w:eastAsia="Arial" w:hAnsi="Arial"/>
                <w:sz w:val="13"/>
                <w:szCs w:val="13"/>
                <w:color w:val="auto"/>
              </w:rPr>
              <w:t>(317,001)</w:t>
            </w:r>
          </w:p>
        </w:tc>
        <w:tc>
          <w:tcPr>
            <w:tcW w:w="1300" w:type="dxa"/>
            <w:vAlign w:val="bottom"/>
            <w:gridSpan w:val="2"/>
          </w:tcPr>
          <w:p>
            <w:pPr>
              <w:jc w:val="center"/>
              <w:ind w:left="33"/>
              <w:spacing w:after="0"/>
              <w:rPr>
                <w:sz w:val="20"/>
                <w:szCs w:val="20"/>
                <w:color w:val="auto"/>
              </w:rPr>
            </w:pPr>
            <w:r>
              <w:rPr>
                <w:rFonts w:ascii="Arial" w:cs="Arial" w:eastAsia="Arial" w:hAnsi="Arial"/>
                <w:sz w:val="13"/>
                <w:szCs w:val="13"/>
                <w:color w:val="auto"/>
                <w:w w:val="94"/>
              </w:rPr>
              <w:t>7.34</w:t>
            </w: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Canceled and forfeited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(25,217)</w:t>
            </w:r>
          </w:p>
        </w:tc>
        <w:tc>
          <w:tcPr>
            <w:tcW w:w="1300" w:type="dxa"/>
            <w:vAlign w:val="bottom"/>
            <w:gridSpan w:val="2"/>
            <w:shd w:val="clear" w:color="auto" w:fill="CCEEFF"/>
          </w:tcPr>
          <w:p>
            <w:pPr>
              <w:jc w:val="center"/>
              <w:ind w:left="13"/>
              <w:spacing w:after="0"/>
              <w:rPr>
                <w:sz w:val="20"/>
                <w:szCs w:val="20"/>
                <w:color w:val="auto"/>
              </w:rPr>
            </w:pPr>
            <w:r>
              <w:rPr>
                <w:rFonts w:ascii="Arial" w:cs="Arial" w:eastAsia="Arial" w:hAnsi="Arial"/>
                <w:sz w:val="13"/>
                <w:szCs w:val="13"/>
                <w:color w:val="auto"/>
                <w:w w:val="92"/>
              </w:rPr>
              <w:t>15.78</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Arial" w:cs="Arial" w:eastAsia="Arial" w:hAnsi="Arial"/>
                <w:sz w:val="13"/>
                <w:szCs w:val="13"/>
                <w:b w:val="1"/>
                <w:bCs w:val="1"/>
                <w:color w:val="auto"/>
              </w:rPr>
              <w:t>Outstanding as of September 30,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2,063,739</w:t>
            </w:r>
          </w:p>
        </w:tc>
        <w:tc>
          <w:tcPr>
            <w:tcW w:w="1300" w:type="dxa"/>
            <w:vAlign w:val="bottom"/>
            <w:gridSpan w:val="2"/>
          </w:tcPr>
          <w:p>
            <w:pPr>
              <w:jc w:val="center"/>
              <w:ind w:left="13"/>
              <w:spacing w:after="0"/>
              <w:rPr>
                <w:sz w:val="20"/>
                <w:szCs w:val="20"/>
                <w:color w:val="auto"/>
              </w:rPr>
            </w:pPr>
            <w:r>
              <w:rPr>
                <w:rFonts w:ascii="Arial" w:cs="Arial" w:eastAsia="Arial" w:hAnsi="Arial"/>
                <w:sz w:val="13"/>
                <w:szCs w:val="13"/>
                <w:color w:val="auto"/>
                <w:w w:val="92"/>
              </w:rPr>
              <w:t>10.00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As of September 30, 2021, the unrecognized compensation cost related to stock options was $1.7 million, which is expected to be recognized over a period of approximately 1.2 years.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9201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207" w:lineRule="exact"/>
        <w:rPr>
          <w:sz w:val="20"/>
          <w:szCs w:val="20"/>
          <w:color w:val="auto"/>
        </w:rPr>
      </w:pPr>
    </w:p>
    <w:p>
      <w:pPr>
        <w:jc w:val="both"/>
        <w:ind w:firstLine="364"/>
        <w:spacing w:after="0" w:line="341" w:lineRule="auto"/>
        <w:rPr>
          <w:sz w:val="20"/>
          <w:szCs w:val="20"/>
          <w:color w:val="auto"/>
        </w:rPr>
      </w:pPr>
      <w:r>
        <w:rPr>
          <w:rFonts w:ascii="Arial" w:cs="Arial" w:eastAsia="Arial" w:hAnsi="Arial"/>
          <w:sz w:val="12"/>
          <w:szCs w:val="12"/>
          <w:color w:val="auto"/>
        </w:rPr>
        <w:t>There were no stock options granted during the three months ended September 30, 2020 and nine months ended September 30, 2021. The table below summarizes the weighted average grant date fair value per share and the assumptions used to estimate the grant date fair value using the Black-Scholes option-pricing model of the stock options granted in the nine months ended September 30, 2020:</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60"/>
        </w:trPr>
        <w:tc>
          <w:tcPr>
            <w:tcW w:w="36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Nine Months Ended September 30,</w:t>
            </w:r>
          </w:p>
        </w:tc>
        <w:tc>
          <w:tcPr>
            <w:tcW w:w="1080" w:type="dxa"/>
            <w:vAlign w:val="bottom"/>
            <w:tcBorders>
              <w:bottom w:val="single" w:sz="8" w:color="auto"/>
            </w:tcBorders>
          </w:tcPr>
          <w:p>
            <w:pPr>
              <w:spacing w:after="0"/>
              <w:rPr>
                <w:sz w:val="13"/>
                <w:szCs w:val="13"/>
                <w:color w:val="auto"/>
              </w:rPr>
            </w:pPr>
          </w:p>
        </w:tc>
      </w:tr>
      <w:tr>
        <w:trPr>
          <w:trHeight w:val="152"/>
        </w:trPr>
        <w:tc>
          <w:tcPr>
            <w:tcW w:w="36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1080" w:type="dxa"/>
            <w:vAlign w:val="bottom"/>
            <w:tcBorders>
              <w:bottom w:val="single" w:sz="8" w:color="auto"/>
            </w:tcBorders>
          </w:tcPr>
          <w:p>
            <w:pPr>
              <w:spacing w:after="0"/>
              <w:rPr>
                <w:sz w:val="13"/>
                <w:szCs w:val="13"/>
                <w:color w:val="auto"/>
              </w:rPr>
            </w:pPr>
          </w:p>
        </w:tc>
      </w:tr>
      <w:tr>
        <w:trPr>
          <w:trHeight w:val="164"/>
        </w:trPr>
        <w:tc>
          <w:tcPr>
            <w:tcW w:w="3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Weighted average grant date fair value per share</w:t>
            </w:r>
          </w:p>
        </w:tc>
        <w:tc>
          <w:tcPr>
            <w:tcW w:w="1060" w:type="dxa"/>
            <w:vAlign w:val="bottom"/>
            <w:shd w:val="clear" w:color="auto" w:fill="CCEEFF"/>
          </w:tcPr>
          <w:p>
            <w:pPr>
              <w:spacing w:after="0"/>
              <w:rPr>
                <w:sz w:val="14"/>
                <w:szCs w:val="14"/>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$8.37</w:t>
            </w:r>
          </w:p>
        </w:tc>
        <w:tc>
          <w:tcPr>
            <w:tcW w:w="1080" w:type="dxa"/>
            <w:vAlign w:val="bottom"/>
            <w:shd w:val="clear" w:color="auto" w:fill="CCEEFF"/>
          </w:tcPr>
          <w:p>
            <w:pPr>
              <w:spacing w:after="0"/>
              <w:rPr>
                <w:sz w:val="14"/>
                <w:szCs w:val="14"/>
                <w:color w:val="auto"/>
              </w:rPr>
            </w:pPr>
          </w:p>
        </w:tc>
      </w:tr>
      <w:tr>
        <w:trPr>
          <w:trHeight w:val="172"/>
        </w:trPr>
        <w:tc>
          <w:tcPr>
            <w:tcW w:w="3640" w:type="dxa"/>
            <w:vAlign w:val="bottom"/>
          </w:tcPr>
          <w:p>
            <w:pPr>
              <w:ind w:left="40"/>
              <w:spacing w:after="0"/>
              <w:rPr>
                <w:sz w:val="20"/>
                <w:szCs w:val="20"/>
                <w:color w:val="auto"/>
              </w:rPr>
            </w:pPr>
            <w:r>
              <w:rPr>
                <w:rFonts w:ascii="Arial" w:cs="Arial" w:eastAsia="Arial" w:hAnsi="Arial"/>
                <w:sz w:val="13"/>
                <w:szCs w:val="13"/>
                <w:color w:val="auto"/>
              </w:rPr>
              <w:t>Expected term (years)</w:t>
            </w:r>
          </w:p>
        </w:tc>
        <w:tc>
          <w:tcPr>
            <w:tcW w:w="1060" w:type="dxa"/>
            <w:vAlign w:val="bottom"/>
          </w:tcPr>
          <w:p>
            <w:pPr>
              <w:jc w:val="center"/>
              <w:ind w:left="313"/>
              <w:spacing w:after="0"/>
              <w:rPr>
                <w:sz w:val="20"/>
                <w:szCs w:val="20"/>
                <w:color w:val="auto"/>
              </w:rPr>
            </w:pPr>
            <w:r>
              <w:rPr>
                <w:rFonts w:ascii="Arial" w:cs="Arial" w:eastAsia="Arial" w:hAnsi="Arial"/>
                <w:sz w:val="13"/>
                <w:szCs w:val="13"/>
                <w:color w:val="auto"/>
                <w:w w:val="88"/>
              </w:rPr>
              <w:t>5.5</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to</w:t>
            </w:r>
          </w:p>
        </w:tc>
        <w:tc>
          <w:tcPr>
            <w:tcW w:w="1080" w:type="dxa"/>
            <w:vAlign w:val="bottom"/>
          </w:tcPr>
          <w:p>
            <w:pPr>
              <w:jc w:val="center"/>
              <w:ind w:right="313"/>
              <w:spacing w:after="0"/>
              <w:rPr>
                <w:sz w:val="20"/>
                <w:szCs w:val="20"/>
                <w:color w:val="auto"/>
              </w:rPr>
            </w:pPr>
            <w:r>
              <w:rPr>
                <w:rFonts w:ascii="Arial" w:cs="Arial" w:eastAsia="Arial" w:hAnsi="Arial"/>
                <w:sz w:val="13"/>
                <w:szCs w:val="13"/>
                <w:color w:val="auto"/>
                <w:w w:val="99"/>
              </w:rPr>
              <w:t>7.0</w:t>
            </w:r>
          </w:p>
        </w:tc>
      </w:tr>
      <w:tr>
        <w:trPr>
          <w:trHeight w:val="172"/>
        </w:trPr>
        <w:tc>
          <w:tcPr>
            <w:tcW w:w="3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Expected volatility</w:t>
            </w:r>
          </w:p>
        </w:tc>
        <w:tc>
          <w:tcPr>
            <w:tcW w:w="1060" w:type="dxa"/>
            <w:vAlign w:val="bottom"/>
            <w:shd w:val="clear" w:color="auto" w:fill="CCEEFF"/>
          </w:tcPr>
          <w:p>
            <w:pPr>
              <w:jc w:val="center"/>
              <w:ind w:left="313"/>
              <w:spacing w:after="0"/>
              <w:rPr>
                <w:sz w:val="20"/>
                <w:szCs w:val="20"/>
                <w:color w:val="auto"/>
              </w:rPr>
            </w:pPr>
            <w:r>
              <w:rPr>
                <w:rFonts w:ascii="Arial" w:cs="Arial" w:eastAsia="Arial" w:hAnsi="Arial"/>
                <w:sz w:val="13"/>
                <w:szCs w:val="13"/>
                <w:color w:val="auto"/>
                <w:w w:val="97"/>
              </w:rPr>
              <w:t>46.7%</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to</w:t>
            </w:r>
          </w:p>
        </w:tc>
        <w:tc>
          <w:tcPr>
            <w:tcW w:w="1080" w:type="dxa"/>
            <w:vAlign w:val="bottom"/>
            <w:shd w:val="clear" w:color="auto" w:fill="CCEEFF"/>
          </w:tcPr>
          <w:p>
            <w:pPr>
              <w:jc w:val="center"/>
              <w:ind w:right="313"/>
              <w:spacing w:after="0"/>
              <w:rPr>
                <w:sz w:val="20"/>
                <w:szCs w:val="20"/>
                <w:color w:val="auto"/>
              </w:rPr>
            </w:pPr>
            <w:r>
              <w:rPr>
                <w:rFonts w:ascii="Arial" w:cs="Arial" w:eastAsia="Arial" w:hAnsi="Arial"/>
                <w:sz w:val="13"/>
                <w:szCs w:val="13"/>
                <w:color w:val="auto"/>
                <w:w w:val="92"/>
              </w:rPr>
              <w:t>47.2%</w:t>
            </w:r>
          </w:p>
        </w:tc>
      </w:tr>
      <w:tr>
        <w:trPr>
          <w:trHeight w:val="172"/>
        </w:trPr>
        <w:tc>
          <w:tcPr>
            <w:tcW w:w="3640" w:type="dxa"/>
            <w:vAlign w:val="bottom"/>
          </w:tcPr>
          <w:p>
            <w:pPr>
              <w:ind w:left="40"/>
              <w:spacing w:after="0"/>
              <w:rPr>
                <w:sz w:val="20"/>
                <w:szCs w:val="20"/>
                <w:color w:val="auto"/>
              </w:rPr>
            </w:pPr>
            <w:r>
              <w:rPr>
                <w:rFonts w:ascii="Arial" w:cs="Arial" w:eastAsia="Arial" w:hAnsi="Arial"/>
                <w:sz w:val="13"/>
                <w:szCs w:val="13"/>
                <w:color w:val="auto"/>
              </w:rPr>
              <w:t>Risk-free interest rate</w:t>
            </w:r>
          </w:p>
        </w:tc>
        <w:tc>
          <w:tcPr>
            <w:tcW w:w="1060" w:type="dxa"/>
            <w:vAlign w:val="bottom"/>
          </w:tcPr>
          <w:p>
            <w:pPr>
              <w:jc w:val="center"/>
              <w:ind w:left="313"/>
              <w:spacing w:after="0"/>
              <w:rPr>
                <w:sz w:val="20"/>
                <w:szCs w:val="20"/>
                <w:color w:val="auto"/>
              </w:rPr>
            </w:pPr>
            <w:r>
              <w:rPr>
                <w:rFonts w:ascii="Arial" w:cs="Arial" w:eastAsia="Arial" w:hAnsi="Arial"/>
                <w:sz w:val="13"/>
                <w:szCs w:val="13"/>
                <w:color w:val="auto"/>
                <w:w w:val="97"/>
              </w:rPr>
              <w:t>1.56%</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to</w:t>
            </w:r>
          </w:p>
        </w:tc>
        <w:tc>
          <w:tcPr>
            <w:tcW w:w="1080" w:type="dxa"/>
            <w:vAlign w:val="bottom"/>
          </w:tcPr>
          <w:p>
            <w:pPr>
              <w:jc w:val="center"/>
              <w:ind w:right="313"/>
              <w:spacing w:after="0"/>
              <w:rPr>
                <w:sz w:val="20"/>
                <w:szCs w:val="20"/>
                <w:color w:val="auto"/>
              </w:rPr>
            </w:pPr>
            <w:r>
              <w:rPr>
                <w:rFonts w:ascii="Arial" w:cs="Arial" w:eastAsia="Arial" w:hAnsi="Arial"/>
                <w:sz w:val="13"/>
                <w:szCs w:val="13"/>
                <w:color w:val="auto"/>
                <w:w w:val="92"/>
              </w:rPr>
              <w:t>1.64%</w:t>
            </w:r>
          </w:p>
        </w:tc>
      </w:tr>
      <w:tr>
        <w:trPr>
          <w:trHeight w:val="172"/>
        </w:trPr>
        <w:tc>
          <w:tcPr>
            <w:tcW w:w="3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 yield</w:t>
            </w:r>
          </w:p>
        </w:tc>
        <w:tc>
          <w:tcPr>
            <w:tcW w:w="1060" w:type="dxa"/>
            <w:vAlign w:val="bottom"/>
            <w:shd w:val="clear" w:color="auto" w:fill="CCEEFF"/>
          </w:tcPr>
          <w:p>
            <w:pPr>
              <w:spacing w:after="0"/>
              <w:rPr>
                <w:sz w:val="14"/>
                <w:szCs w:val="14"/>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w:t>
            </w:r>
          </w:p>
        </w:tc>
        <w:tc>
          <w:tcPr>
            <w:tcW w:w="108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Early Exercise of Unvested Stock Options</w:t>
      </w:r>
    </w:p>
    <w:p>
      <w:pPr>
        <w:spacing w:after="0" w:line="93" w:lineRule="exact"/>
        <w:rPr>
          <w:sz w:val="20"/>
          <w:szCs w:val="20"/>
          <w:color w:val="auto"/>
        </w:rPr>
      </w:pPr>
    </w:p>
    <w:p>
      <w:pPr>
        <w:jc w:val="both"/>
        <w:ind w:firstLine="334"/>
        <w:spacing w:after="0" w:line="272" w:lineRule="auto"/>
        <w:rPr>
          <w:sz w:val="20"/>
          <w:szCs w:val="20"/>
          <w:color w:val="auto"/>
        </w:rPr>
      </w:pPr>
      <w:r>
        <w:rPr>
          <w:rFonts w:ascii="Arial" w:cs="Arial" w:eastAsia="Arial" w:hAnsi="Arial"/>
          <w:sz w:val="13"/>
          <w:szCs w:val="13"/>
          <w:color w:val="auto"/>
        </w:rPr>
        <w:t>Early exercises of stock options under the Company's 2008 Stock Option Plan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September 30, 2021, the Company had no shares subject to repurchase. As of December 31, 2020, the Company had a total of 5,836 shares of common stock subject to repurchase under the 2008 Stock Option Plan.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Restricted Stock Units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table below summarizes restricted stock units activity for the nine months ended September 30, 2021:</w:t>
      </w:r>
    </w:p>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138"/>
        </w:trPr>
        <w:tc>
          <w:tcPr>
            <w:tcW w:w="5000" w:type="dxa"/>
            <w:vAlign w:val="bottom"/>
          </w:tcPr>
          <w:p>
            <w:pPr>
              <w:spacing w:after="0"/>
              <w:rPr>
                <w:sz w:val="12"/>
                <w:szCs w:val="12"/>
                <w:color w:val="auto"/>
              </w:rPr>
            </w:pPr>
          </w:p>
        </w:tc>
        <w:tc>
          <w:tcPr>
            <w:tcW w:w="128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2"/>
                <w:szCs w:val="12"/>
                <w:color w:val="auto"/>
              </w:rPr>
            </w:pPr>
          </w:p>
        </w:tc>
        <w:tc>
          <w:tcPr>
            <w:tcW w:w="1280" w:type="dxa"/>
            <w:vAlign w:val="bottom"/>
          </w:tcPr>
          <w:p>
            <w:pPr>
              <w:ind w:left="560"/>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21"/>
        </w:trPr>
        <w:tc>
          <w:tcPr>
            <w:tcW w:w="5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Average Grant Date</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Outstanding as of December 31, 2020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1,165,295</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ind w:left="258"/>
              <w:spacing w:after="0"/>
              <w:rPr>
                <w:sz w:val="20"/>
                <w:szCs w:val="20"/>
                <w:color w:val="auto"/>
              </w:rPr>
            </w:pPr>
            <w:r>
              <w:rPr>
                <w:rFonts w:ascii="Arial" w:cs="Arial" w:eastAsia="Arial" w:hAnsi="Arial"/>
                <w:sz w:val="13"/>
                <w:szCs w:val="13"/>
                <w:color w:val="auto"/>
                <w:w w:val="90"/>
              </w:rPr>
              <w:t>$20.07</w:t>
            </w:r>
          </w:p>
        </w:tc>
        <w:tc>
          <w:tcPr>
            <w:tcW w:w="0" w:type="dxa"/>
            <w:vAlign w:val="bottom"/>
          </w:tcPr>
          <w:p>
            <w:pPr>
              <w:spacing w:after="0"/>
              <w:rPr>
                <w:sz w:val="1"/>
                <w:szCs w:val="1"/>
                <w:color w:val="auto"/>
              </w:rPr>
            </w:pPr>
          </w:p>
        </w:tc>
      </w:tr>
      <w:tr>
        <w:trPr>
          <w:trHeight w:val="172"/>
        </w:trPr>
        <w:tc>
          <w:tcPr>
            <w:tcW w:w="5000" w:type="dxa"/>
            <w:vAlign w:val="bottom"/>
          </w:tcPr>
          <w:p>
            <w:pPr>
              <w:ind w:left="340"/>
              <w:spacing w:after="0"/>
              <w:rPr>
                <w:sz w:val="20"/>
                <w:szCs w:val="20"/>
                <w:color w:val="auto"/>
              </w:rPr>
            </w:pPr>
            <w:r>
              <w:rPr>
                <w:rFonts w:ascii="Arial" w:cs="Arial" w:eastAsia="Arial" w:hAnsi="Arial"/>
                <w:sz w:val="13"/>
                <w:szCs w:val="13"/>
                <w:color w:val="auto"/>
              </w:rPr>
              <w:t>Granted</w:t>
            </w:r>
          </w:p>
        </w:tc>
        <w:tc>
          <w:tcPr>
            <w:tcW w:w="1280" w:type="dxa"/>
            <w:vAlign w:val="bottom"/>
          </w:tcPr>
          <w:p>
            <w:pPr>
              <w:jc w:val="right"/>
              <w:spacing w:after="0"/>
              <w:rPr>
                <w:sz w:val="20"/>
                <w:szCs w:val="20"/>
                <w:color w:val="auto"/>
              </w:rPr>
            </w:pPr>
            <w:r>
              <w:rPr>
                <w:rFonts w:ascii="Arial" w:cs="Arial" w:eastAsia="Arial" w:hAnsi="Arial"/>
                <w:sz w:val="13"/>
                <w:szCs w:val="13"/>
                <w:color w:val="auto"/>
              </w:rPr>
              <w:t>1,049,699</w:t>
            </w:r>
          </w:p>
        </w:tc>
        <w:tc>
          <w:tcPr>
            <w:tcW w:w="1460" w:type="dxa"/>
            <w:vAlign w:val="bottom"/>
            <w:gridSpan w:val="2"/>
          </w:tcPr>
          <w:p>
            <w:pPr>
              <w:jc w:val="center"/>
              <w:ind w:left="453"/>
              <w:spacing w:after="0"/>
              <w:rPr>
                <w:sz w:val="20"/>
                <w:szCs w:val="20"/>
                <w:color w:val="auto"/>
              </w:rPr>
            </w:pPr>
            <w:r>
              <w:rPr>
                <w:rFonts w:ascii="Arial" w:cs="Arial" w:eastAsia="Arial" w:hAnsi="Arial"/>
                <w:sz w:val="13"/>
                <w:szCs w:val="13"/>
                <w:color w:val="auto"/>
                <w:w w:val="92"/>
              </w:rPr>
              <w:t>29.56</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(445,913)</w:t>
            </w:r>
          </w:p>
        </w:tc>
        <w:tc>
          <w:tcPr>
            <w:tcW w:w="1460" w:type="dxa"/>
            <w:vAlign w:val="bottom"/>
            <w:gridSpan w:val="2"/>
            <w:shd w:val="clear" w:color="auto" w:fill="CCEEFF"/>
          </w:tcPr>
          <w:p>
            <w:pPr>
              <w:jc w:val="center"/>
              <w:ind w:left="453"/>
              <w:spacing w:after="0"/>
              <w:rPr>
                <w:sz w:val="20"/>
                <w:szCs w:val="20"/>
                <w:color w:val="auto"/>
              </w:rPr>
            </w:pPr>
            <w:r>
              <w:rPr>
                <w:rFonts w:ascii="Arial" w:cs="Arial" w:eastAsia="Arial" w:hAnsi="Arial"/>
                <w:sz w:val="13"/>
                <w:szCs w:val="13"/>
                <w:color w:val="auto"/>
                <w:w w:val="92"/>
              </w:rPr>
              <w:t>21.19</w:t>
            </w:r>
          </w:p>
        </w:tc>
        <w:tc>
          <w:tcPr>
            <w:tcW w:w="0" w:type="dxa"/>
            <w:vAlign w:val="bottom"/>
          </w:tcPr>
          <w:p>
            <w:pPr>
              <w:spacing w:after="0"/>
              <w:rPr>
                <w:sz w:val="1"/>
                <w:szCs w:val="1"/>
                <w:color w:val="auto"/>
              </w:rPr>
            </w:pPr>
          </w:p>
        </w:tc>
      </w:tr>
      <w:tr>
        <w:trPr>
          <w:trHeight w:val="172"/>
        </w:trPr>
        <w:tc>
          <w:tcPr>
            <w:tcW w:w="50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Canceled and 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(171,872)</w:t>
            </w:r>
          </w:p>
        </w:tc>
        <w:tc>
          <w:tcPr>
            <w:tcW w:w="1460" w:type="dxa"/>
            <w:vAlign w:val="bottom"/>
            <w:tcBorders>
              <w:bottom w:val="single" w:sz="8" w:color="CCEEFF"/>
            </w:tcBorders>
            <w:gridSpan w:val="2"/>
          </w:tcPr>
          <w:p>
            <w:pPr>
              <w:jc w:val="center"/>
              <w:ind w:left="453"/>
              <w:spacing w:after="0"/>
              <w:rPr>
                <w:sz w:val="20"/>
                <w:szCs w:val="20"/>
                <w:color w:val="auto"/>
              </w:rPr>
            </w:pPr>
            <w:r>
              <w:rPr>
                <w:rFonts w:ascii="Arial" w:cs="Arial" w:eastAsia="Arial" w:hAnsi="Arial"/>
                <w:sz w:val="13"/>
                <w:szCs w:val="13"/>
                <w:color w:val="auto"/>
                <w:w w:val="92"/>
              </w:rPr>
              <w:t>24.84</w:t>
            </w:r>
          </w:p>
        </w:tc>
        <w:tc>
          <w:tcPr>
            <w:tcW w:w="0" w:type="dxa"/>
            <w:vAlign w:val="bottom"/>
          </w:tcPr>
          <w:p>
            <w:pPr>
              <w:spacing w:after="0"/>
              <w:rPr>
                <w:sz w:val="1"/>
                <w:szCs w:val="1"/>
                <w:color w:val="auto"/>
              </w:rPr>
            </w:pPr>
          </w:p>
        </w:tc>
      </w:tr>
      <w:tr>
        <w:trPr>
          <w:trHeight w:val="187"/>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b w:val="1"/>
                <w:bCs w:val="1"/>
                <w:color w:val="auto"/>
              </w:rPr>
              <w:t>Outstanding as of September 30, 2021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1,597,209</w:t>
            </w:r>
          </w:p>
        </w:tc>
        <w:tc>
          <w:tcPr>
            <w:tcW w:w="1460" w:type="dxa"/>
            <w:vAlign w:val="bottom"/>
            <w:tcBorders>
              <w:bottom w:val="single" w:sz="8" w:color="CCEEFF"/>
            </w:tcBorders>
            <w:gridSpan w:val="2"/>
            <w:shd w:val="clear" w:color="auto" w:fill="CCEEFF"/>
          </w:tcPr>
          <w:p>
            <w:pPr>
              <w:jc w:val="center"/>
              <w:ind w:left="453"/>
              <w:spacing w:after="0"/>
              <w:rPr>
                <w:sz w:val="20"/>
                <w:szCs w:val="20"/>
                <w:color w:val="auto"/>
              </w:rPr>
            </w:pPr>
            <w:r>
              <w:rPr>
                <w:rFonts w:ascii="Arial" w:cs="Arial" w:eastAsia="Arial" w:hAnsi="Arial"/>
                <w:sz w:val="13"/>
                <w:szCs w:val="13"/>
                <w:color w:val="auto"/>
                <w:w w:val="92"/>
              </w:rPr>
              <w:t>25.48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of September 30, 2021, the unrecognized compensation cost related to the restricted stock units was $34.4 million, which is expected to be recognized over a period of approximately 2.9 years.</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174" w:lineRule="exact"/>
        <w:rPr>
          <w:sz w:val="20"/>
          <w:szCs w:val="20"/>
          <w:color w:val="auto"/>
        </w:rPr>
      </w:pPr>
    </w:p>
    <w:p>
      <w:pPr>
        <w:jc w:val="both"/>
        <w:ind w:firstLine="304"/>
        <w:spacing w:after="0" w:line="269" w:lineRule="auto"/>
        <w:rPr>
          <w:sz w:val="20"/>
          <w:szCs w:val="20"/>
          <w:color w:val="auto"/>
        </w:rPr>
      </w:pPr>
      <w:r>
        <w:rPr>
          <w:rFonts w:ascii="Arial" w:cs="Arial" w:eastAsia="Arial" w:hAnsi="Arial"/>
          <w:sz w:val="13"/>
          <w:szCs w:val="13"/>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 The current offering period under the ESPP began on May 17, 2021 and the related purchase will occur on November 15, 2021.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9201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69"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3"/>
          <w:szCs w:val="13"/>
          <w:color w:val="auto"/>
        </w:rPr>
        <w:t>The fair value of the ESPP shares is estimated using the Black-Scholes option pricing model, which is being amortized over the requisite service period. The Company issued 104,861 shares and 74,685 shares under the ESPP, representing approximately $1.6 million and $1.0 million in employee contributions, for nine months ended September 30, 2021 and September 30, 2020, respectively. As of September 30, 2021 and December 31, 2020, total accumulated ESPP related employee payroll deductions amounted to $0.7 million and $0.4 million, respectively, which were included within accrued compensation and related expenses in the condensed consolidated balance sheets.</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table below presents the detail of stock-based compensation expense amounts included in the condensed consolidated statements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gridSpan w:val="5"/>
          </w:tcPr>
          <w:p>
            <w:pPr>
              <w:jc w:val="right"/>
              <w:ind w:right="15"/>
              <w:spacing w:after="0"/>
              <w:rPr>
                <w:sz w:val="20"/>
                <w:szCs w:val="20"/>
                <w:color w:val="auto"/>
              </w:rPr>
            </w:pPr>
            <w:r>
              <w:rPr>
                <w:rFonts w:ascii="Arial" w:cs="Arial" w:eastAsia="Arial" w:hAnsi="Arial"/>
                <w:sz w:val="12"/>
                <w:szCs w:val="12"/>
                <w:b w:val="1"/>
                <w:bCs w:val="1"/>
                <w:color w:val="auto"/>
              </w:rPr>
              <w:t>Three Months Ended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Nine Months Ended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2"/>
                <w:szCs w:val="12"/>
                <w:b w:val="1"/>
                <w:bCs w:val="1"/>
                <w:color w:val="auto"/>
              </w:rPr>
              <w:t>September 30,</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September 30,</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right"/>
              <w:ind w:right="535"/>
              <w:spacing w:after="0"/>
              <w:rPr>
                <w:sz w:val="20"/>
                <w:szCs w:val="20"/>
                <w:color w:val="auto"/>
              </w:rPr>
            </w:pPr>
            <w:r>
              <w:rPr>
                <w:rFonts w:ascii="Arial" w:cs="Arial" w:eastAsia="Arial" w:hAnsi="Arial"/>
                <w:sz w:val="12"/>
                <w:szCs w:val="12"/>
                <w:b w:val="1"/>
                <w:bCs w:val="1"/>
                <w:color w:val="auto"/>
                <w:w w:val="96"/>
              </w:rPr>
              <w:t>(in thousands)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 w:type="dxa"/>
            <w:vAlign w:val="bottom"/>
            <w:tcBorders>
              <w:right w:val="single" w:sz="8" w:color="CCEEFF"/>
            </w:tcBorders>
          </w:tcPr>
          <w:p>
            <w:pPr>
              <w:spacing w:after="0"/>
              <w:rPr>
                <w:sz w:val="15"/>
                <w:szCs w:val="15"/>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35"/>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4"/>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Sales and marketing</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color w:val="auto"/>
              </w:rPr>
              <w:t>2,153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1,488</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6,177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3,976</w:t>
            </w:r>
          </w:p>
        </w:tc>
        <w:tc>
          <w:tcPr>
            <w:tcW w:w="0" w:type="dxa"/>
            <w:vAlign w:val="bottom"/>
          </w:tcPr>
          <w:p>
            <w:pPr>
              <w:spacing w:after="0"/>
              <w:rPr>
                <w:sz w:val="1"/>
                <w:szCs w:val="1"/>
                <w:color w:val="auto"/>
              </w:rPr>
            </w:pPr>
          </w:p>
        </w:tc>
      </w:tr>
      <w:tr>
        <w:trPr>
          <w:trHeight w:val="172"/>
        </w:trPr>
        <w:tc>
          <w:tcPr>
            <w:tcW w:w="340" w:type="dxa"/>
            <w:vAlign w:val="bottom"/>
            <w:tcBorders>
              <w:right w:val="single" w:sz="8" w:color="CCEEFF"/>
            </w:tcBorders>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1,526</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1,306</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4,662</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3,711</w:t>
            </w:r>
          </w:p>
        </w:tc>
        <w:tc>
          <w:tcPr>
            <w:tcW w:w="0" w:type="dxa"/>
            <w:vAlign w:val="bottom"/>
          </w:tcPr>
          <w:p>
            <w:pPr>
              <w:spacing w:after="0"/>
              <w:rPr>
                <w:sz w:val="1"/>
                <w:szCs w:val="1"/>
                <w:color w:val="auto"/>
              </w:rPr>
            </w:pPr>
          </w:p>
        </w:tc>
      </w:tr>
      <w:tr>
        <w:trPr>
          <w:trHeight w:val="162"/>
        </w:trPr>
        <w:tc>
          <w:tcPr>
            <w:tcW w:w="340" w:type="dxa"/>
            <w:vAlign w:val="bottom"/>
            <w:tcBorders>
              <w:right w:val="single" w:sz="8" w:color="CCEEFF"/>
            </w:tcBorders>
          </w:tcPr>
          <w:p>
            <w:pPr>
              <w:spacing w:after="0"/>
              <w:rPr>
                <w:sz w:val="14"/>
                <w:szCs w:val="14"/>
                <w:color w:val="auto"/>
              </w:rPr>
            </w:pPr>
          </w:p>
        </w:tc>
        <w:tc>
          <w:tcPr>
            <w:tcW w:w="4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4,241</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3,180</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12,528</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8,757</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9. Net Loss Per Share of Common Stock</w:t>
            </w: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4880" w:type="dxa"/>
            <w:vAlign w:val="bottom"/>
            <w:gridSpan w:val="3"/>
          </w:tcPr>
          <w:p>
            <w:pPr>
              <w:ind w:left="60"/>
              <w:spacing w:after="0"/>
              <w:rPr>
                <w:sz w:val="20"/>
                <w:szCs w:val="20"/>
                <w:color w:val="auto"/>
              </w:rPr>
            </w:pPr>
            <w:r>
              <w:rPr>
                <w:rFonts w:ascii="Arial" w:cs="Arial" w:eastAsia="Arial" w:hAnsi="Arial"/>
                <w:sz w:val="13"/>
                <w:szCs w:val="13"/>
                <w:color w:val="auto"/>
                <w:w w:val="98"/>
              </w:rPr>
              <w:t>The table below summarizes the computation of basic and diluted net loss per share: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gridSpan w:val="5"/>
          </w:tcPr>
          <w:p>
            <w:pPr>
              <w:jc w:val="right"/>
              <w:spacing w:after="0"/>
              <w:rPr>
                <w:sz w:val="20"/>
                <w:szCs w:val="20"/>
                <w:color w:val="auto"/>
              </w:rPr>
            </w:pPr>
            <w:r>
              <w:rPr>
                <w:rFonts w:ascii="Arial" w:cs="Arial" w:eastAsia="Arial" w:hAnsi="Arial"/>
                <w:sz w:val="12"/>
                <w:szCs w:val="12"/>
                <w:b w:val="1"/>
                <w:bCs w:val="1"/>
                <w:color w:val="auto"/>
                <w:w w:val="92"/>
              </w:rPr>
              <w:t>Three Months Ended September 30,</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6"/>
          </w:tcPr>
          <w:p>
            <w:pPr>
              <w:jc w:val="right"/>
              <w:ind w:right="700"/>
              <w:spacing w:after="0"/>
              <w:rPr>
                <w:sz w:val="20"/>
                <w:szCs w:val="20"/>
                <w:color w:val="auto"/>
              </w:rPr>
            </w:pPr>
            <w:r>
              <w:rPr>
                <w:rFonts w:ascii="Arial" w:cs="Arial" w:eastAsia="Arial" w:hAnsi="Arial"/>
                <w:sz w:val="12"/>
                <w:szCs w:val="12"/>
                <w:b w:val="1"/>
                <w:bCs w:val="1"/>
                <w:color w:val="auto"/>
              </w:rPr>
              <w:t>Nine Months Ended September 30,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gridSpan w:val="6"/>
          </w:tcPr>
          <w:p>
            <w:pPr>
              <w:jc w:val="right"/>
              <w:ind w:right="175"/>
              <w:spacing w:after="0"/>
              <w:rPr>
                <w:sz w:val="20"/>
                <w:szCs w:val="20"/>
                <w:color w:val="auto"/>
              </w:rPr>
            </w:pPr>
            <w:r>
              <w:rPr>
                <w:rFonts w:ascii="Arial" w:cs="Arial" w:eastAsia="Arial" w:hAnsi="Arial"/>
                <w:sz w:val="12"/>
                <w:szCs w:val="12"/>
                <w:b w:val="1"/>
                <w:bCs w:val="1"/>
                <w:color w:val="auto"/>
                <w:w w:val="90"/>
              </w:rPr>
              <w:t>(in thousands, except share and per share data)</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4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(9,474)</w:t>
            </w:r>
          </w:p>
        </w:tc>
        <w:tc>
          <w:tcPr>
            <w:tcW w:w="320" w:type="dxa"/>
            <w:vAlign w:val="bottom"/>
            <w:gridSpan w:val="2"/>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(42,095)</w:t>
            </w:r>
          </w:p>
        </w:tc>
        <w:tc>
          <w:tcPr>
            <w:tcW w:w="460" w:type="dxa"/>
            <w:vAlign w:val="bottom"/>
            <w:gridSpan w:val="2"/>
            <w:shd w:val="clear" w:color="auto" w:fill="CCEEFF"/>
          </w:tcPr>
          <w:p>
            <w:pPr>
              <w:jc w:val="right"/>
              <w:ind w:right="21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(34,718)</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340" w:type="dxa"/>
            <w:vAlign w:val="bottom"/>
          </w:tcPr>
          <w:p>
            <w:pPr>
              <w:spacing w:after="0"/>
              <w:rPr>
                <w:sz w:val="24"/>
                <w:szCs w:val="24"/>
                <w:color w:val="auto"/>
              </w:rPr>
            </w:pPr>
          </w:p>
        </w:tc>
        <w:tc>
          <w:tcPr>
            <w:tcW w:w="4380" w:type="dxa"/>
            <w:vAlign w:val="bottom"/>
          </w:tcPr>
          <w:p>
            <w:pPr>
              <w:ind w:left="40"/>
              <w:spacing w:after="0"/>
              <w:rPr>
                <w:sz w:val="20"/>
                <w:szCs w:val="20"/>
                <w:color w:val="auto"/>
              </w:rPr>
            </w:pPr>
            <w:r>
              <w:rPr>
                <w:rFonts w:ascii="Arial" w:cs="Arial" w:eastAsia="Arial" w:hAnsi="Arial"/>
                <w:sz w:val="13"/>
                <w:szCs w:val="13"/>
                <w:color w:val="auto"/>
                <w:w w:val="94"/>
              </w:rPr>
              <w:t>Weighted-average shares used to compute basic and diluted net loss per share</w:t>
            </w:r>
          </w:p>
        </w:tc>
        <w:tc>
          <w:tcPr>
            <w:tcW w:w="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33,340,093</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28,713,418</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33,005,904</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28,155,561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4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(0.33)</w:t>
            </w:r>
          </w:p>
        </w:tc>
        <w:tc>
          <w:tcPr>
            <w:tcW w:w="320" w:type="dxa"/>
            <w:vAlign w:val="bottom"/>
            <w:gridSpan w:val="2"/>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460" w:type="dxa"/>
            <w:vAlign w:val="bottom"/>
            <w:gridSpan w:val="2"/>
            <w:shd w:val="clear" w:color="auto" w:fill="CCEEFF"/>
          </w:tcPr>
          <w:p>
            <w:pPr>
              <w:jc w:val="right"/>
              <w:ind w:right="21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425"/>
        <w:spacing w:after="0" w:line="278" w:lineRule="auto"/>
        <w:rPr>
          <w:sz w:val="20"/>
          <w:szCs w:val="20"/>
          <w:color w:val="auto"/>
        </w:rPr>
      </w:pPr>
      <w:r>
        <w:rPr>
          <w:rFonts w:ascii="Arial" w:cs="Arial" w:eastAsia="Arial" w:hAnsi="Arial"/>
          <w:sz w:val="13"/>
          <w:szCs w:val="13"/>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9201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3"/>
          <w:szCs w:val="13"/>
          <w:b w:val="1"/>
          <w:bCs w:val="1"/>
          <w:color w:val="auto"/>
        </w:rPr>
        <w:t>SI-BONE,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60" w:type="dxa"/>
            <w:vAlign w:val="bottom"/>
          </w:tcPr>
          <w:p>
            <w:pPr>
              <w:spacing w:after="0"/>
              <w:rPr>
                <w:sz w:val="13"/>
                <w:szCs w:val="13"/>
                <w:color w:val="auto"/>
              </w:rPr>
            </w:pPr>
          </w:p>
        </w:tc>
        <w:tc>
          <w:tcPr>
            <w:tcW w:w="3100" w:type="dxa"/>
            <w:vAlign w:val="bottom"/>
            <w:gridSpan w:val="4"/>
          </w:tcPr>
          <w:p>
            <w:pPr>
              <w:ind w:left="560"/>
              <w:spacing w:after="0"/>
              <w:rPr>
                <w:sz w:val="20"/>
                <w:szCs w:val="20"/>
                <w:color w:val="auto"/>
              </w:rPr>
            </w:pPr>
            <w:r>
              <w:rPr>
                <w:rFonts w:ascii="Arial" w:cs="Arial" w:eastAsia="Arial" w:hAnsi="Arial"/>
                <w:sz w:val="12"/>
                <w:szCs w:val="12"/>
                <w:b w:val="1"/>
                <w:bCs w:val="1"/>
                <w:color w:val="auto"/>
              </w:rPr>
              <w:t>Three Months Ended September 30,</w:t>
            </w:r>
          </w:p>
        </w:tc>
        <w:tc>
          <w:tcPr>
            <w:tcW w:w="3000" w:type="dxa"/>
            <w:vAlign w:val="bottom"/>
            <w:gridSpan w:val="3"/>
          </w:tcPr>
          <w:p>
            <w:pPr>
              <w:jc w:val="right"/>
              <w:ind w:right="533"/>
              <w:spacing w:after="0"/>
              <w:rPr>
                <w:sz w:val="20"/>
                <w:szCs w:val="20"/>
                <w:color w:val="auto"/>
              </w:rPr>
            </w:pPr>
            <w:r>
              <w:rPr>
                <w:rFonts w:ascii="Arial" w:cs="Arial" w:eastAsia="Arial" w:hAnsi="Arial"/>
                <w:sz w:val="12"/>
                <w:szCs w:val="12"/>
                <w:b w:val="1"/>
                <w:bCs w:val="1"/>
                <w:color w:val="auto"/>
              </w:rPr>
              <w:t>Nine Months Ended September 30,</w:t>
            </w:r>
          </w:p>
        </w:tc>
      </w:tr>
      <w:tr>
        <w:trPr>
          <w:trHeight w:val="152"/>
        </w:trPr>
        <w:tc>
          <w:tcPr>
            <w:tcW w:w="4560" w:type="dxa"/>
            <w:vAlign w:val="bottom"/>
            <w:tcBorders>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2"/>
                <w:szCs w:val="12"/>
                <w:b w:val="1"/>
                <w:bCs w:val="1"/>
                <w:color w:val="auto"/>
              </w:rPr>
              <w:t>2020</w:t>
            </w:r>
          </w:p>
        </w:tc>
      </w:tr>
      <w:tr>
        <w:trPr>
          <w:trHeight w:val="16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2,063,739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2,504,349</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2,063,739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2,504,349</w:t>
            </w:r>
          </w:p>
        </w:tc>
      </w:tr>
      <w:tr>
        <w:trPr>
          <w:trHeight w:val="172"/>
        </w:trPr>
        <w:tc>
          <w:tcPr>
            <w:tcW w:w="4560" w:type="dxa"/>
            <w:vAlign w:val="bottom"/>
          </w:tcPr>
          <w:p>
            <w:pPr>
              <w:ind w:left="40"/>
              <w:spacing w:after="0"/>
              <w:rPr>
                <w:sz w:val="20"/>
                <w:szCs w:val="20"/>
                <w:color w:val="auto"/>
              </w:rPr>
            </w:pPr>
            <w:r>
              <w:rPr>
                <w:rFonts w:ascii="Arial" w:cs="Arial" w:eastAsia="Arial" w:hAnsi="Arial"/>
                <w:sz w:val="13"/>
                <w:szCs w:val="13"/>
                <w:color w:val="auto"/>
              </w:rPr>
              <w:t>Restricted stock units</w:t>
            </w:r>
          </w:p>
        </w:tc>
        <w:tc>
          <w:tcPr>
            <w:tcW w:w="1460" w:type="dxa"/>
            <w:vAlign w:val="bottom"/>
          </w:tcPr>
          <w:p>
            <w:pPr>
              <w:jc w:val="right"/>
              <w:spacing w:after="0"/>
              <w:rPr>
                <w:sz w:val="20"/>
                <w:szCs w:val="20"/>
                <w:color w:val="auto"/>
              </w:rPr>
            </w:pPr>
            <w:r>
              <w:rPr>
                <w:rFonts w:ascii="Arial" w:cs="Arial" w:eastAsia="Arial" w:hAnsi="Arial"/>
                <w:sz w:val="13"/>
                <w:szCs w:val="13"/>
                <w:color w:val="auto"/>
              </w:rPr>
              <w:t>1,597,209</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1,250,173</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1,597,209</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1,250,173</w:t>
            </w:r>
          </w:p>
        </w:tc>
      </w:tr>
      <w:tr>
        <w:trPr>
          <w:trHeight w:val="172"/>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 subject to repurchase</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7,784</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260"/>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7,784</w:t>
            </w:r>
          </w:p>
        </w:tc>
      </w:tr>
      <w:tr>
        <w:trPr>
          <w:trHeight w:val="172"/>
        </w:trPr>
        <w:tc>
          <w:tcPr>
            <w:tcW w:w="4560" w:type="dxa"/>
            <w:vAlign w:val="bottom"/>
          </w:tcPr>
          <w:p>
            <w:pPr>
              <w:ind w:left="40"/>
              <w:spacing w:after="0"/>
              <w:rPr>
                <w:sz w:val="20"/>
                <w:szCs w:val="20"/>
                <w:color w:val="auto"/>
              </w:rPr>
            </w:pPr>
            <w:r>
              <w:rPr>
                <w:rFonts w:ascii="Arial" w:cs="Arial" w:eastAsia="Arial" w:hAnsi="Arial"/>
                <w:sz w:val="13"/>
                <w:szCs w:val="13"/>
                <w:color w:val="auto"/>
              </w:rPr>
              <w:t>ESPP purchase rights</w:t>
            </w:r>
          </w:p>
        </w:tc>
        <w:tc>
          <w:tcPr>
            <w:tcW w:w="1460" w:type="dxa"/>
            <w:vAlign w:val="bottom"/>
          </w:tcPr>
          <w:p>
            <w:pPr>
              <w:jc w:val="right"/>
              <w:spacing w:after="0"/>
              <w:rPr>
                <w:sz w:val="20"/>
                <w:szCs w:val="20"/>
                <w:color w:val="auto"/>
              </w:rPr>
            </w:pPr>
            <w:r>
              <w:rPr>
                <w:rFonts w:ascii="Arial" w:cs="Arial" w:eastAsia="Arial" w:hAnsi="Arial"/>
                <w:sz w:val="13"/>
                <w:szCs w:val="13"/>
                <w:color w:val="auto"/>
              </w:rPr>
              <w:t>34,070</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138,950</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34,070</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138,950</w:t>
            </w:r>
          </w:p>
        </w:tc>
      </w:tr>
      <w:tr>
        <w:trPr>
          <w:trHeight w:val="172"/>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stock warrants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118,122</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118,122</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118,122</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118,122</w:t>
            </w:r>
          </w:p>
        </w:tc>
      </w:tr>
      <w:tr>
        <w:trPr>
          <w:trHeight w:val="162"/>
        </w:trPr>
        <w:tc>
          <w:tcPr>
            <w:tcW w:w="456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3,813,140</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4,019,378</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3,813,140</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4,019,378</w:t>
            </w:r>
          </w:p>
        </w:tc>
      </w:tr>
      <w:tr>
        <w:trPr>
          <w:trHeight w:val="20"/>
        </w:trPr>
        <w:tc>
          <w:tcPr>
            <w:tcW w:w="4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Related Party Transaction</w:t>
      </w:r>
    </w:p>
    <w:p>
      <w:pPr>
        <w:spacing w:after="0" w:line="176"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3"/>
          <w:szCs w:val="13"/>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w:t>
      </w:r>
    </w:p>
    <w:p>
      <w:pPr>
        <w:spacing w:after="0" w:line="132"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2"/>
          <w:szCs w:val="12"/>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months ended September 30, 2021 and 2020, the Company expensed $5,000 and $40,000, respectively, of the reimbursement charges from SeaSpine. For the nine months ended September 30, 2021 and 2020, the Company expensed $29,000 and $86,000, respectively, of the reimbursement charges from SeaSpine. The reimbursement charges were recorded within research and development expense in the condensed consolidated statements of operations. There were no outstanding liabilities to SeaSpine as of September 30, 2021 and December 31, 2020.</w:t>
      </w:r>
    </w:p>
    <w:p>
      <w:pPr>
        <w:spacing w:after="0" w:line="121" w:lineRule="exact"/>
        <w:rPr>
          <w:sz w:val="20"/>
          <w:szCs w:val="20"/>
          <w:color w:val="auto"/>
        </w:rPr>
      </w:pPr>
    </w:p>
    <w:p>
      <w:pPr>
        <w:jc w:val="both"/>
        <w:ind w:firstLine="364"/>
        <w:spacing w:after="0" w:line="269" w:lineRule="auto"/>
        <w:rPr>
          <w:sz w:val="20"/>
          <w:szCs w:val="20"/>
          <w:color w:val="auto"/>
        </w:rPr>
      </w:pPr>
      <w:r>
        <w:rPr>
          <w:rFonts w:ascii="Arial" w:cs="Arial" w:eastAsia="Arial" w:hAnsi="Arial"/>
          <w:sz w:val="13"/>
          <w:szCs w:val="13"/>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Income Taxes</w:t>
      </w:r>
    </w:p>
    <w:p>
      <w:pPr>
        <w:spacing w:after="0" w:line="197" w:lineRule="exact"/>
        <w:rPr>
          <w:sz w:val="20"/>
          <w:szCs w:val="20"/>
          <w:color w:val="auto"/>
        </w:rPr>
      </w:pPr>
    </w:p>
    <w:p>
      <w:pPr>
        <w:jc w:val="both"/>
        <w:ind w:firstLine="364"/>
        <w:spacing w:after="0" w:line="301" w:lineRule="auto"/>
        <w:rPr>
          <w:sz w:val="20"/>
          <w:szCs w:val="20"/>
          <w:color w:val="auto"/>
        </w:rPr>
      </w:pPr>
      <w:r>
        <w:rPr>
          <w:rFonts w:ascii="Arial" w:cs="Arial" w:eastAsia="Arial" w:hAnsi="Arial"/>
          <w:sz w:val="12"/>
          <w:szCs w:val="12"/>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nine months ended September 30, 2021 and 2020. The Company continues to maintain a full valuation allowance against its net deferred tax assets due to the uncertainty surrounding realization of such assets.</w:t>
      </w:r>
    </w:p>
    <w:p>
      <w:pPr>
        <w:spacing w:after="0" w:line="118" w:lineRule="exact"/>
        <w:rPr>
          <w:sz w:val="20"/>
          <w:szCs w:val="20"/>
          <w:color w:val="auto"/>
        </w:rPr>
      </w:pPr>
    </w:p>
    <w:p>
      <w:pPr>
        <w:jc w:val="both"/>
        <w:ind w:firstLine="364"/>
        <w:spacing w:after="0" w:line="341" w:lineRule="auto"/>
        <w:rPr>
          <w:sz w:val="20"/>
          <w:szCs w:val="20"/>
          <w:color w:val="auto"/>
        </w:rPr>
      </w:pPr>
      <w:r>
        <w:rPr>
          <w:rFonts w:ascii="Arial" w:cs="Arial" w:eastAsia="Arial" w:hAnsi="Arial"/>
          <w:sz w:val="12"/>
          <w:szCs w:val="12"/>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December 31, 2020.</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9201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76" w:lineRule="exact"/>
        <w:rPr>
          <w:sz w:val="20"/>
          <w:szCs w:val="20"/>
          <w:color w:val="auto"/>
        </w:rPr>
      </w:pPr>
    </w:p>
    <w:p>
      <w:pPr>
        <w:jc w:val="both"/>
        <w:ind w:firstLine="148"/>
        <w:spacing w:after="0" w:line="251" w:lineRule="auto"/>
        <w:rPr>
          <w:sz w:val="20"/>
          <w:szCs w:val="20"/>
          <w:color w:val="auto"/>
        </w:rPr>
      </w:pPr>
      <w:r>
        <w:rPr>
          <w:rFonts w:ascii="Arial" w:cs="Arial" w:eastAsia="Arial" w:hAnsi="Arial"/>
          <w:sz w:val="13"/>
          <w:szCs w:val="13"/>
          <w:i w:val="1"/>
          <w:iCs w:val="1"/>
          <w:color w:val="auto"/>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10, 2021.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rFonts w:ascii="Arial" w:cs="Arial" w:eastAsia="Arial" w:hAnsi="Arial"/>
          <w:sz w:val="13"/>
          <w:szCs w:val="13"/>
          <w:color w:val="auto"/>
        </w:rPr>
        <w:t>“</w:t>
      </w:r>
      <w:r>
        <w:rPr>
          <w:rFonts w:ascii="Arial" w:cs="Arial" w:eastAsia="Arial" w:hAnsi="Arial"/>
          <w:sz w:val="13"/>
          <w:szCs w:val="13"/>
          <w:i w:val="1"/>
          <w:iCs w:val="1"/>
          <w:color w:val="auto"/>
        </w:rPr>
        <w:t>Risk Factors</w:t>
      </w:r>
      <w:r>
        <w:rPr>
          <w:rFonts w:ascii="Arial" w:cs="Arial" w:eastAsia="Arial" w:hAnsi="Arial"/>
          <w:sz w:val="13"/>
          <w:szCs w:val="13"/>
          <w:color w:val="auto"/>
        </w:rPr>
        <w:t>”</w:t>
      </w:r>
      <w:r>
        <w:rPr>
          <w:rFonts w:ascii="Arial" w:cs="Arial" w:eastAsia="Arial" w:hAnsi="Arial"/>
          <w:sz w:val="13"/>
          <w:szCs w:val="13"/>
          <w:i w:val="1"/>
          <w:iCs w:val="1"/>
          <w:color w:val="auto"/>
        </w:rPr>
        <w:t xml:space="preserve"> section of this Quarterly Report on Form 10-Q, our actual results could differ materially from the results described in, or implied, by these forward-looking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7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3"/>
          <w:szCs w:val="13"/>
          <w:color w:val="auto"/>
        </w:rPr>
        <w:t>We are a medical device company dedicated to solving musculoskeletal disorders of the scropelvic anatomy. We have pioneered a proprietary minimally invasive surgical implant system, which we call iFuse, to fuse the sacroiliac joint and treat sacroiliac joint dysfunction, which often causes severe lower back pain. Since we introduced iFuse in 2009, as of September 30, 2021, more than 60,000 procedures have been performed by over 2,500 surgeons in the U.S. and 36 other countries.</w:t>
      </w:r>
    </w:p>
    <w:p>
      <w:pPr>
        <w:spacing w:after="0" w:line="130"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2"/>
          <w:szCs w:val="12"/>
          <w:color w:val="auto"/>
        </w:rPr>
        <w:t>Our iFuse Implant System includes a series of patented triangular titanium implants and the instruments we have developed to enable surgeons to perform the procedure. Surgeons place our implants across the sacroiliac joint, either from a lateral approach through the iliac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112"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2"/>
          <w:szCs w:val="12"/>
          <w:color w:val="auto"/>
        </w:rPr>
        <w:t>Our iFuse implants have a triangular cross section that resists twisting or rotation of the implant within the bone in which it is implanted, regardless of the surgical approach and technique used to place the implants. The triangular shape of our implants helps stabilize the joint, and the implants’ porous surface enables biologic fixation of the bone onto the implant, or bony ongrowth and ingrowth, that results in fusion. Each titanium iFuse implant has at least three times the strength of a typical eight-millimeter cannulated surgical screw. We hold issued patents on implants with cross-sections of many non-round shapes, including the triangular shape of the iFuse implant. We also hold issued patents for the method of placing those implants across the sacroiliac joint, as well as other parts of the spine and pelvis.</w:t>
      </w:r>
    </w:p>
    <w:p>
      <w:pPr>
        <w:spacing w:after="0" w:line="11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3"/>
          <w:szCs w:val="13"/>
          <w:color w:val="auto"/>
        </w:rPr>
        <w:t>We introduced our second-generation implant, the iFuse-3D, in 2017. This patented titanium implant combines the triangular cross-section of the iFuse implant with the proprietary 3D-printed porous surface and fenestrated design. This design also allows the surgeon to fill the implant with ground-up bone before implantation, which some surgeons believe accelerates bone through-growth and biological fixation. iFuse-3D implants have shown positive bony ingrowth, ongrowth and through-growth and in animal studies, whether or not ground-up bone is used. We hold issued patents on 3D-printed triangular implants with fenestrations, or holes, which allow bone to grow into and through the implants.</w:t>
      </w:r>
    </w:p>
    <w:p>
      <w:pPr>
        <w:spacing w:after="0" w:line="132"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3"/>
          <w:szCs w:val="13"/>
          <w:color w:val="auto"/>
        </w:rPr>
        <w:t>In April 2019, we received clearance from the United States Food and Drug Administration, or FDA, to promote the use of our iFuse Implant System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our iFuse Implant System for this indication and surgical technique in Europe in December 2019. In March 2020, we received FDA 510(k) clearance for an expanded indication for the iFuse Implant System to support our trauma program.</w:t>
      </w:r>
    </w:p>
    <w:p>
      <w:pPr>
        <w:spacing w:after="0" w:line="92" w:lineRule="exact"/>
        <w:rPr>
          <w:sz w:val="20"/>
          <w:szCs w:val="20"/>
          <w:color w:val="auto"/>
        </w:rPr>
      </w:pPr>
    </w:p>
    <w:p>
      <w:pPr>
        <w:jc w:val="both"/>
        <w:ind w:firstLine="304"/>
        <w:spacing w:after="0" w:line="261" w:lineRule="auto"/>
        <w:rPr>
          <w:sz w:val="20"/>
          <w:szCs w:val="20"/>
          <w:color w:val="auto"/>
        </w:rPr>
      </w:pPr>
      <w:r>
        <w:rPr>
          <w:rFonts w:ascii="Arial" w:cs="Arial" w:eastAsia="Arial" w:hAnsi="Arial"/>
          <w:sz w:val="13"/>
          <w:szCs w:val="13"/>
          <w:color w:val="auto"/>
        </w:rPr>
        <w:t>In February 2021, we received clearance from the FDA for iFuse-TORQ, a 3D-printed portfolio of threaded implants designed to meet the needs of pelvic trauma and minimally invasive sacroiliac joint fusion applications. In the pelvic trauma segment, we are targeting an unmet clinical needs for low energy pelvic ring fractures and chronic sacroiliac joint pain after high energy pelvic ring trauma. iFuse-TORQ also provides an opportunity for us to convert competitive screw business for minimally invasive sacroiliac joint fusions.</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We market our products primarily with a direct sales force as well as a number of distributors in the U.S., and with a combination of a direct sales force and distributors in other countries.</w:t>
      </w:r>
    </w:p>
    <w:p>
      <w:pPr>
        <w:spacing w:after="0" w:line="124" w:lineRule="exact"/>
        <w:rPr>
          <w:sz w:val="20"/>
          <w:szCs w:val="20"/>
          <w:color w:val="auto"/>
        </w:rPr>
      </w:pPr>
    </w:p>
    <w:p>
      <w:pPr>
        <w:jc w:val="both"/>
        <w:ind w:firstLine="304"/>
        <w:spacing w:after="0" w:line="261" w:lineRule="auto"/>
        <w:rPr>
          <w:sz w:val="20"/>
          <w:szCs w:val="20"/>
          <w:color w:val="auto"/>
        </w:rPr>
      </w:pPr>
      <w:r>
        <w:rPr>
          <w:rFonts w:ascii="Arial" w:cs="Arial" w:eastAsia="Arial" w:hAnsi="Arial"/>
          <w:sz w:val="13"/>
          <w:szCs w:val="13"/>
          <w:color w:val="auto"/>
        </w:rPr>
        <w:t>In October 2018, we completed our initial public offering (“IPO”) resulting in net proceeds of $113.4 million after deducting underwriting discounts and commissions and offering expenses. In January and February 2020, we received a total of $63.0 million of net proceeds, after deducting the underwriting discounts, commissions and offering costs, from our first follow-on public offering of our common stock. In October 2020, we received a total of $71.6 million of net proceeds from our second follow-on offering of our common stock.</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6"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color w:val="auto"/>
        </w:rPr>
        <w:t>Impact of the COVID-19 Pandemic</w:t>
      </w:r>
    </w:p>
    <w:p>
      <w:pPr>
        <w:spacing w:after="0" w:line="187" w:lineRule="exact"/>
        <w:rPr>
          <w:sz w:val="20"/>
          <w:szCs w:val="20"/>
          <w:color w:val="auto"/>
        </w:rPr>
      </w:pPr>
    </w:p>
    <w:p>
      <w:pPr>
        <w:jc w:val="both"/>
        <w:ind w:firstLine="304"/>
        <w:spacing w:after="0" w:line="245" w:lineRule="auto"/>
        <w:rPr>
          <w:sz w:val="20"/>
          <w:szCs w:val="20"/>
          <w:color w:val="auto"/>
        </w:rPr>
      </w:pPr>
      <w:r>
        <w:rPr>
          <w:rFonts w:ascii="Arial" w:cs="Arial" w:eastAsia="Arial" w:hAnsi="Arial"/>
          <w:sz w:val="13"/>
          <w:szCs w:val="13"/>
          <w:color w:val="auto"/>
        </w:rPr>
        <w:t>The global COVID-19 pandemic presents significant risks to us and has impacted, and continues to impact our business, operations, and financial results and condition, directly and indirectly, including, without limitation, impacts on the health of our management and employees; our manufacturing, distribution, marketing and sales operations; our research and development activities, including clinical activities; and customer and patient behaviors.</w:t>
      </w:r>
    </w:p>
    <w:p>
      <w:pPr>
        <w:spacing w:after="0" w:line="149" w:lineRule="exact"/>
        <w:rPr>
          <w:sz w:val="20"/>
          <w:szCs w:val="20"/>
          <w:color w:val="auto"/>
        </w:rPr>
      </w:pPr>
    </w:p>
    <w:p>
      <w:pPr>
        <w:jc w:val="both"/>
        <w:ind w:firstLine="304"/>
        <w:spacing w:after="0" w:line="235" w:lineRule="auto"/>
        <w:rPr>
          <w:sz w:val="20"/>
          <w:szCs w:val="20"/>
          <w:color w:val="auto"/>
        </w:rPr>
      </w:pPr>
      <w:r>
        <w:rPr>
          <w:rFonts w:ascii="Arial" w:cs="Arial" w:eastAsia="Arial" w:hAnsi="Arial"/>
          <w:sz w:val="13"/>
          <w:szCs w:val="13"/>
          <w:color w:val="auto"/>
        </w:rPr>
        <w:t>Access to many hospitals and other customer sites continues to be impacted by prevalence of COVID-19, which negatively impacts our ability to promote the use of our products with physicians. Additionally, many hospitals and ambulatory surgery centers have in the past suspended and may suspend or continue to suspend in the future, many elective procedures, resulting in a reduced volume of procedures using our products. Our customer behavior is impacted by the prevalence of COVID-19 and changes in the infection rates in the locations where our customers reside. Quarantines, shelter-in-place, elective procedure moratoria and similar government orders have also impacted, and may continue to impact, our third-party manufacturers and suppliers, and could in turn adversely impact the availability or cost of materials, which could disrupt our supply chain. Resurgence of the COVID-19 pandemic driven by the Delta variant negatively impacted our revenues for the three months ended September 30, 2021, as evidenced by increased case cancellations attributed to COVID-19 recorded in August 2021 and September 2021.</w:t>
      </w:r>
    </w:p>
    <w:p>
      <w:pPr>
        <w:spacing w:after="0" w:line="154" w:lineRule="exact"/>
        <w:rPr>
          <w:sz w:val="20"/>
          <w:szCs w:val="20"/>
          <w:color w:val="auto"/>
        </w:rPr>
      </w:pPr>
    </w:p>
    <w:p>
      <w:pPr>
        <w:jc w:val="both"/>
        <w:ind w:firstLine="304"/>
        <w:spacing w:after="0" w:line="235" w:lineRule="auto"/>
        <w:rPr>
          <w:sz w:val="20"/>
          <w:szCs w:val="20"/>
          <w:color w:val="auto"/>
        </w:rPr>
      </w:pPr>
      <w:r>
        <w:rPr>
          <w:rFonts w:ascii="Arial" w:cs="Arial" w:eastAsia="Arial" w:hAnsi="Arial"/>
          <w:sz w:val="13"/>
          <w:szCs w:val="13"/>
          <w:color w:val="auto"/>
        </w:rPr>
        <w:t>We took a variety of steps to address the impact of the COVID-19 pandemic, while attempting to minimize business disruption. Essential staff in operations and limited support functions worked from our Santa Clara headquarters throughout the pandemic, following appropriate hygiene and social distancing protocols. To reduce risk to our employees and families from potential exposure to COVID-19, other staff in our Santa Clara headquarters worked from home. We also restricted non-essential travel to protect the health and safety of our employees and customers. Starting June 15, 2021, we began the return to work for many of our headquarter-based personnel based upon new guidelines from the State of California. We are continuing to monitor the impact of the COVID-19 pandemic on our employees and customers and on the markets in which we operate, and will take further actions that are considered prudent to address the COVID-19 pandemic, while ensuring that we can support our customers and continue to develop our products.</w:t>
      </w:r>
    </w:p>
    <w:p>
      <w:pPr>
        <w:spacing w:after="0" w:line="154" w:lineRule="exact"/>
        <w:rPr>
          <w:sz w:val="20"/>
          <w:szCs w:val="20"/>
          <w:color w:val="auto"/>
        </w:rPr>
      </w:pPr>
    </w:p>
    <w:p>
      <w:pPr>
        <w:jc w:val="both"/>
        <w:ind w:firstLine="304"/>
        <w:spacing w:after="0" w:line="245" w:lineRule="auto"/>
        <w:rPr>
          <w:sz w:val="20"/>
          <w:szCs w:val="20"/>
          <w:color w:val="auto"/>
        </w:rPr>
      </w:pPr>
      <w:r>
        <w:rPr>
          <w:rFonts w:ascii="Arial" w:cs="Arial" w:eastAsia="Arial" w:hAnsi="Arial"/>
          <w:sz w:val="13"/>
          <w:szCs w:val="13"/>
          <w:color w:val="auto"/>
        </w:rPr>
        <w:t>While we have not experienced material disruptions to our supply chain to date, certain of our third-party suppliers have faced delays, product shortages and rising costs resulting from disruptions in the global supply chain, primarily related to our instruments. As a result, we are continuing to work closely with our manufacturing partners and suppliers, as well as determining alternative sourcing strategies to enable us to source key components and maintain appropriate inventory levels to meet customer demand.</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existence and further duration of the COVID-19 pandemic may also further exacerbate certain risks as described in “Item 1A - Risk Factors”.</w:t>
      </w:r>
    </w:p>
    <w:p>
      <w:pPr>
        <w:spacing w:after="0" w:line="185" w:lineRule="exact"/>
        <w:rPr>
          <w:sz w:val="20"/>
          <w:szCs w:val="20"/>
          <w:color w:val="auto"/>
        </w:rPr>
      </w:pPr>
    </w:p>
    <w:p>
      <w:pPr>
        <w:jc w:val="both"/>
        <w:ind w:firstLine="304"/>
        <w:spacing w:after="0" w:line="280" w:lineRule="auto"/>
        <w:rPr>
          <w:sz w:val="20"/>
          <w:szCs w:val="20"/>
          <w:color w:val="auto"/>
        </w:rPr>
      </w:pPr>
      <w:r>
        <w:rPr>
          <w:rFonts w:ascii="Arial" w:cs="Arial" w:eastAsia="Arial" w:hAnsi="Arial"/>
          <w:sz w:val="13"/>
          <w:szCs w:val="13"/>
          <w:color w:val="auto"/>
        </w:rPr>
        <w:t>We cannot currently predict with certainty the full extent to which the COVID-19 pandemic will impact demand for our products in the future, or the impact of the COVID-19 pandemic on our supply chain or other aspects of our business. Accordingly, the COVID-19 pandemic could have a material adverse effect on our results of operations, financial condition and capital resources.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Factors Affecting Results of Operations and Key Performance Indicators</w:t>
      </w:r>
    </w:p>
    <w:p>
      <w:pPr>
        <w:spacing w:after="0" w:line="176" w:lineRule="exact"/>
        <w:rPr>
          <w:sz w:val="20"/>
          <w:szCs w:val="20"/>
          <w:color w:val="auto"/>
        </w:rPr>
      </w:pPr>
    </w:p>
    <w:p>
      <w:pPr>
        <w:jc w:val="both"/>
        <w:ind w:firstLine="304"/>
        <w:spacing w:after="0" w:line="278" w:lineRule="auto"/>
        <w:rPr>
          <w:sz w:val="20"/>
          <w:szCs w:val="20"/>
          <w:color w:val="auto"/>
        </w:rPr>
      </w:pPr>
      <w:r>
        <w:rPr>
          <w:rFonts w:ascii="Arial" w:cs="Arial" w:eastAsia="Arial" w:hAnsi="Arial"/>
          <w:sz w:val="13"/>
          <w:szCs w:val="13"/>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leverage our sales force, increase surgeon activity and training, engage key opinion leaders, and leverage broad coverage.</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Leverage our sales force</w:t>
      </w:r>
    </w:p>
    <w:p>
      <w:pPr>
        <w:spacing w:after="0" w:line="164" w:lineRule="exact"/>
        <w:rPr>
          <w:sz w:val="20"/>
          <w:szCs w:val="20"/>
          <w:color w:val="auto"/>
        </w:rPr>
      </w:pPr>
    </w:p>
    <w:p>
      <w:pPr>
        <w:ind w:right="180" w:firstLine="304"/>
        <w:spacing w:after="0" w:line="245" w:lineRule="auto"/>
        <w:rPr>
          <w:sz w:val="20"/>
          <w:szCs w:val="20"/>
          <w:color w:val="auto"/>
        </w:rPr>
      </w:pPr>
      <w:r>
        <w:rPr>
          <w:rFonts w:ascii="Arial" w:cs="Arial" w:eastAsia="Arial" w:hAnsi="Arial"/>
          <w:sz w:val="13"/>
          <w:szCs w:val="13"/>
          <w:color w:val="auto"/>
        </w:rPr>
        <w:t>We have made significant investments in our sales force since our initial public offering in 2018. We have built a valuable sales team, and we believe they are the key to the recovery that follows the pandemic. We limited new sales force hiring in the second and third quarter of 2020 due to uncertainty from the COVID-19 pandemic and focused on sales force productivity during this period, but resumed hiring of salespeople in the fourth quarter of 2020, expanded the sales team in the first nine months of 2021 and expect to further expand it in the remainder of 2021.</w:t>
      </w:r>
    </w:p>
    <w:p>
      <w:pPr>
        <w:spacing w:after="0" w:line="139" w:lineRule="exact"/>
        <w:rPr>
          <w:sz w:val="20"/>
          <w:szCs w:val="20"/>
          <w:color w:val="auto"/>
        </w:rPr>
      </w:pPr>
    </w:p>
    <w:p>
      <w:pPr>
        <w:jc w:val="both"/>
        <w:ind w:firstLine="304"/>
        <w:spacing w:after="0" w:line="311" w:lineRule="auto"/>
        <w:rPr>
          <w:sz w:val="20"/>
          <w:szCs w:val="20"/>
          <w:color w:val="auto"/>
        </w:rPr>
      </w:pPr>
      <w:r>
        <w:rPr>
          <w:rFonts w:ascii="Arial" w:cs="Arial" w:eastAsia="Arial" w:hAnsi="Arial"/>
          <w:sz w:val="12"/>
          <w:szCs w:val="12"/>
          <w:color w:val="auto"/>
        </w:rPr>
        <w:t>As of September 30, 2021, our U.S. sales force consisted of 78 territory sales managers and 57 clinical support specialists directly employed by us and 53 third-party distributors, compared to 59 territory sales managers and 57 clinical support specialists directly employed by us and 39 third-party distributors as of September 30, 2020. As of September 30, 2021, our international sales force consisted of 20 sales representatives directly employed by us and 33 third-party distributors, compared to 20 sales representatives directly employed by us and 31 third-party distributors as of September 30, 2020.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6" w:right="319" w:bottom="1440" w:gutter="0" w:footer="0" w:header="0"/>
        </w:sectPr>
      </w:pPr>
    </w:p>
    <w:bookmarkStart w:id="23" w:name="page24"/>
    <w:bookmarkEnd w:id="23"/>
    <w:p>
      <w:pPr>
        <w:ind w:left="300"/>
        <w:spacing w:after="0"/>
        <w:rPr>
          <w:sz w:val="20"/>
          <w:szCs w:val="20"/>
          <w:color w:val="auto"/>
        </w:rPr>
      </w:pPr>
      <w:r>
        <w:rPr>
          <w:rFonts w:ascii="Arial" w:cs="Arial" w:eastAsia="Arial" w:hAnsi="Arial"/>
          <w:sz w:val="13"/>
          <w:szCs w:val="13"/>
          <w:b w:val="1"/>
          <w:bCs w:val="1"/>
          <w:i w:val="1"/>
          <w:iCs w:val="1"/>
          <w:color w:val="auto"/>
        </w:rPr>
        <w:t>Increase surgeon activity and training</w:t>
      </w:r>
    </w:p>
    <w:p>
      <w:pPr>
        <w:spacing w:after="0" w:line="195"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3"/>
          <w:szCs w:val="13"/>
          <w:color w:val="auto"/>
        </w:rPr>
        <w:t>Our medical affairs team works closely with our sales team to increase surgeon activity and training. Surgeon activity includes both the number of surgeons performing iFuse procedures as well as the number of procedures performed per surgeon. As of September 30, 2021 and 2020, in the U.S., more than 1,700 surgeons and 1,500 surgeons, respectively, have been trained on our products and have treated at least one patient. Outside the U.S., as of September 30, 2021 and 2020, more than 700 surgeons and 600 surgeons, respectively, have been trained on iFuse and have treated at least one patient. We will continue to pursue the remainder of the approximately 7,500 target surgeons in the U.S., as well as international surgeons for training in the future.</w:t>
      </w:r>
    </w:p>
    <w:p>
      <w:pPr>
        <w:spacing w:after="0" w:line="152" w:lineRule="exact"/>
        <w:rPr>
          <w:sz w:val="20"/>
          <w:szCs w:val="20"/>
          <w:color w:val="auto"/>
        </w:rPr>
      </w:pPr>
    </w:p>
    <w:p>
      <w:pPr>
        <w:jc w:val="both"/>
        <w:ind w:firstLine="304"/>
        <w:spacing w:after="0" w:line="278" w:lineRule="auto"/>
        <w:rPr>
          <w:sz w:val="20"/>
          <w:szCs w:val="20"/>
          <w:color w:val="auto"/>
        </w:rPr>
      </w:pPr>
      <w:r>
        <w:rPr>
          <w:rFonts w:ascii="Arial" w:cs="Arial" w:eastAsia="Arial" w:hAnsi="Arial"/>
          <w:sz w:val="13"/>
          <w:szCs w:val="13"/>
          <w:color w:val="auto"/>
        </w:rPr>
        <w:t>The COVID-19 outbreak challenged our traditional method of hands-on cadaveric and dry-lab training. Therefore, in addition to utilizing a virtual education series for surgeons and mid-level practitioners for training activities, we began using the SI-BONE SImulator; a portable, radiation-free, haptics and computer-based simulator for training purposes. Starting in July 2020 we began deploying the SImulators to cover all US regions and European subsidiaries and had 24 SImulators in our offices and the field as of the date of this report.</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Launch new products</w:t>
      </w:r>
    </w:p>
    <w:p>
      <w:pPr>
        <w:spacing w:after="0" w:line="195" w:lineRule="exact"/>
        <w:rPr>
          <w:sz w:val="20"/>
          <w:szCs w:val="20"/>
          <w:color w:val="auto"/>
        </w:rPr>
      </w:pPr>
    </w:p>
    <w:p>
      <w:pPr>
        <w:jc w:val="both"/>
        <w:ind w:firstLine="304"/>
        <w:spacing w:after="0" w:line="267" w:lineRule="auto"/>
        <w:rPr>
          <w:sz w:val="20"/>
          <w:szCs w:val="20"/>
          <w:color w:val="auto"/>
        </w:rPr>
      </w:pPr>
      <w:r>
        <w:rPr>
          <w:rFonts w:ascii="Arial" w:cs="Arial" w:eastAsia="Arial" w:hAnsi="Arial"/>
          <w:sz w:val="13"/>
          <w:szCs w:val="13"/>
          <w:color w:val="auto"/>
        </w:rPr>
        <w:t>Our Bedrock technique is used in the treatment of adult spinal deformity. We introduced this technique in June 2019 for use in the fusion of the sacroiliac joints in conjunction with a multi-segment spinal fusion, or long construct, procedure. The Bedrock technique utilizes our proprietary iFuse Implants, with one implant placed across each sacroiliac joint (for a total of two implants per case) using a posterior approach, through the sacrum, across the sacroiliac joint, and into the ilium. The Bedrock technique differs from our traditional iFuse procedure, whereby three iFuse Implants are placed across one sacroiliac joint via a lateral transarticular approach through the ilium and into the sacrum. The Bedrock technique is performed to increase stability at the base of a long construct. Biomechanical testing has shown that iFuse Implants placed in this position reduce sacroiliac joint motion by approximately 30% in conjunction with a long construct. We received CE mark clearance for the promotion of the Bedrock technique in Europe in November 2019 and we launched the promotion of this technique in select European markets in December 2019.</w:t>
      </w:r>
    </w:p>
    <w:p>
      <w:pPr>
        <w:spacing w:after="0" w:line="156" w:lineRule="exact"/>
        <w:rPr>
          <w:sz w:val="20"/>
          <w:szCs w:val="20"/>
          <w:color w:val="auto"/>
        </w:rPr>
      </w:pPr>
    </w:p>
    <w:p>
      <w:pPr>
        <w:jc w:val="both"/>
        <w:ind w:firstLine="304"/>
        <w:spacing w:after="0" w:line="267" w:lineRule="auto"/>
        <w:rPr>
          <w:sz w:val="20"/>
          <w:szCs w:val="20"/>
          <w:color w:val="auto"/>
        </w:rPr>
      </w:pPr>
      <w:r>
        <w:rPr>
          <w:rFonts w:ascii="Arial" w:cs="Arial" w:eastAsia="Arial" w:hAnsi="Arial"/>
          <w:sz w:val="13"/>
          <w:szCs w:val="13"/>
          <w:color w:val="auto"/>
        </w:rPr>
        <w:t>In addition, we received FDA clearance for our new trauma product, iFuse-TORQ, in the first quarter of 2021. iFuse-TORQ is a highly differentiated 3D-printed threaded implant for pelvic trauma and minimally invasive sacroiliac joint fusion applications. Relative to competitive trauma products, iFuse-TORQ is roughly 2 times stronger in bending and requires 10 times the rotational resistance, or torque, to insert due to its porosity and other design features. We believe that this rotational resistance gives surgeons confidence in the strength of mechanical fixation that iFuse-TORQ provides, and that the technological advancements incorporated into iFuse-TORQ represent a significant improvement compared to conventional trauma screws. Furthermore, iFuse-TORQ has a larger surface area for bone ingrowth than competitive trauma products and was specifically designed to allow for osteointegration. The addition of iFuse-TORQ to our product portfolio will allow us to serve a significant unmet need for patients with pelvic trauma, as well as sacroiliac joint dysfunction and degeneration.</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Engage key opinion leaders</w:t>
      </w:r>
    </w:p>
    <w:p>
      <w:pPr>
        <w:spacing w:after="0" w:line="185" w:lineRule="exact"/>
        <w:rPr>
          <w:sz w:val="20"/>
          <w:szCs w:val="20"/>
          <w:color w:val="auto"/>
        </w:rPr>
      </w:pPr>
    </w:p>
    <w:p>
      <w:pPr>
        <w:jc w:val="both"/>
        <w:ind w:firstLine="304"/>
        <w:spacing w:after="0" w:line="239" w:lineRule="auto"/>
        <w:rPr>
          <w:sz w:val="20"/>
          <w:szCs w:val="20"/>
          <w:color w:val="auto"/>
        </w:rPr>
      </w:pPr>
      <w:r>
        <w:rPr>
          <w:rFonts w:ascii="Arial" w:cs="Arial" w:eastAsia="Arial" w:hAnsi="Arial"/>
          <w:sz w:val="13"/>
          <w:szCs w:val="13"/>
          <w:color w:val="auto"/>
        </w:rPr>
        <w:t>We conduct training courses in several academic centers in the U.S. and engage key opinion leaders to support our development efforts. Interest in the Bedrock technique among deformity surgeons, including many key opinion leaders, has provided our sales representatives with access to important academic medical centers in the U.S. This enables our representatives to train a broader group of spine surgeons, including residents and fellows at these centers, on both the Bedrock technique and minimally invasive sacroiliac fusion. To date, we have trained residents and fellows in approximately 150 academic programs in the U.S., resulting in the training of approximately 800 surgical residents and fellows since August 1, 2018.</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Leverage broad coverage</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We made significant progress in the number of covered lives for minimally invasive sacroiliac fusion in the U.S.</w:t>
      </w:r>
    </w:p>
    <w:p>
      <w:pPr>
        <w:spacing w:after="0" w:line="185" w:lineRule="exact"/>
        <w:rPr>
          <w:sz w:val="20"/>
          <w:szCs w:val="20"/>
          <w:color w:val="auto"/>
        </w:rPr>
      </w:pPr>
    </w:p>
    <w:p>
      <w:pPr>
        <w:ind w:right="140" w:firstLine="304"/>
        <w:spacing w:after="0" w:line="263" w:lineRule="auto"/>
        <w:rPr>
          <w:sz w:val="20"/>
          <w:szCs w:val="20"/>
          <w:color w:val="auto"/>
        </w:rPr>
      </w:pPr>
      <w:r>
        <w:rPr>
          <w:rFonts w:ascii="Arial" w:cs="Arial" w:eastAsia="Arial" w:hAnsi="Arial"/>
          <w:sz w:val="13"/>
          <w:szCs w:val="13"/>
          <w:color w:val="auto"/>
        </w:rPr>
        <w:t>As of September 30, 2021, substantially all U.S. payors reimburse for iFuse. As of September 30, 2021, over 35 U.S. payors have issued positive coverage policies exclusive to iFuse for sacroiliac joint fusion because of the clinical evidence.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24" w:name="page25"/>
    <w:bookmarkEnd w:id="24"/>
    <w:p>
      <w:pPr>
        <w:jc w:val="both"/>
        <w:ind w:firstLine="304"/>
        <w:spacing w:after="0" w:line="291" w:lineRule="auto"/>
        <w:rPr>
          <w:sz w:val="20"/>
          <w:szCs w:val="20"/>
          <w:color w:val="auto"/>
        </w:rPr>
      </w:pPr>
      <w:r>
        <w:rPr>
          <w:rFonts w:ascii="Arial" w:cs="Arial" w:eastAsia="Arial" w:hAnsi="Arial"/>
          <w:sz w:val="12"/>
          <w:szCs w:val="12"/>
          <w:color w:val="auto"/>
        </w:rPr>
        <w:t>Effective July 3, 2021, Centene established positive coverage for minimally invasive SI joint fusion. Centene is a major intermediary for both government-sponsored and privately insured health care programs and covers more than 25 million members. Anthem adopted coverage guidelines that are exclusive to our iFuse triangular titanium implants for minimally invasive SI joint fusion which begin taking effect on July 30, 2021. Anthem is the second largest private payor in the U.S. with over 40 million members. Effective October 1, 2021, UnitedHealthcare has changed its minimally invasive SI joint fusion policy from covering all devices to covering exclusively our triangular iFuse Implants. UnitedHealthcare is the largest commercial payor in the U.S. with over 45 million members. With this updated policy, UnitedHealthcare joins more than 35 other health plans that collectively cover approximately 160 million insured, requiring the use of the iFuse Implant System for minimally invasive SI joint fusion. We believe that the full impact of each coverage decision grows over time as surgeons gain confidence that they will receive reimbursement for the majority of their diagnosed patients. With recent payor decisions, over 300 million people in the U.S. now have access to minimally invasive SI joint fusion, representing nearly universal coverage of the procedure.</w:t>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Components of Results of Operations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Revenue</w:t>
      </w:r>
    </w:p>
    <w:p>
      <w:pPr>
        <w:spacing w:after="0" w:line="174" w:lineRule="exact"/>
        <w:rPr>
          <w:sz w:val="20"/>
          <w:szCs w:val="20"/>
          <w:color w:val="auto"/>
        </w:rPr>
      </w:pPr>
    </w:p>
    <w:p>
      <w:pPr>
        <w:jc w:val="both"/>
        <w:ind w:firstLine="334"/>
        <w:spacing w:after="0" w:line="293" w:lineRule="auto"/>
        <w:rPr>
          <w:sz w:val="20"/>
          <w:szCs w:val="20"/>
          <w:color w:val="auto"/>
        </w:rPr>
      </w:pPr>
      <w:r>
        <w:rPr>
          <w:rFonts w:ascii="Arial" w:cs="Arial" w:eastAsia="Arial" w:hAnsi="Arial"/>
          <w:sz w:val="12"/>
          <w:szCs w:val="12"/>
          <w:color w:val="auto"/>
        </w:rPr>
        <w:t>We generate most of our revenue from sales of iFuse. Revenue from sales of iFuse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and seasonality. In addition, our revenue is impacted by changes in average selling price as we respond to the competitive landscape and price differences at different medical facilities, such as hospitals and ambulatory surgical centers, or ASCs.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13"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13"/>
          <w:szCs w:val="13"/>
          <w:color w:val="auto"/>
        </w:rPr>
        <w:t>Starting March 2020, the impact of COVID-19 pandemic on our revenue has varied by period and region based on various factors, including stage of containment, resurgence of variants, success of regional vaccination campaigns, and associated government and hospital actions around elective procedures.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Cost of Goods Sold, Gross Profit, and Gross Margin</w:t>
      </w:r>
    </w:p>
    <w:p>
      <w:pPr>
        <w:spacing w:after="0" w:line="174" w:lineRule="exact"/>
        <w:rPr>
          <w:sz w:val="20"/>
          <w:szCs w:val="20"/>
          <w:color w:val="auto"/>
        </w:rPr>
      </w:pPr>
    </w:p>
    <w:p>
      <w:pPr>
        <w:jc w:val="both"/>
        <w:ind w:firstLine="334"/>
        <w:spacing w:after="0" w:line="341" w:lineRule="auto"/>
        <w:rPr>
          <w:sz w:val="20"/>
          <w:szCs w:val="20"/>
          <w:color w:val="auto"/>
        </w:rPr>
      </w:pPr>
      <w:r>
        <w:rPr>
          <w:rFonts w:ascii="Arial" w:cs="Arial" w:eastAsia="Arial" w:hAnsi="Arial"/>
          <w:sz w:val="12"/>
          <w:szCs w:val="12"/>
          <w:color w:val="auto"/>
        </w:rPr>
        <w:t>We utilize third-party manufacturers for production of our implants and instrument sets. Cost of goods sold consists primarily of costs of the components of iFuse implants and instruments, instrument set depreciation, scrap and inventory obsolescence, as well as distribution-related expenses such as logistics and shipping costs. Our cost of goods sold has historically increased as case levels increase.</w:t>
      </w:r>
    </w:p>
    <w:p>
      <w:pPr>
        <w:spacing w:after="0" w:line="94"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3"/>
          <w:szCs w:val="13"/>
          <w:color w:val="auto"/>
        </w:rPr>
        <w:t>Our gross profit and gross margin are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3" w:lineRule="exact"/>
        <w:rPr>
          <w:sz w:val="20"/>
          <w:szCs w:val="20"/>
          <w:color w:val="auto"/>
        </w:rPr>
      </w:pPr>
    </w:p>
    <w:p>
      <w:pPr>
        <w:jc w:val="both"/>
        <w:ind w:firstLine="364"/>
        <w:spacing w:after="0" w:line="269" w:lineRule="auto"/>
        <w:rPr>
          <w:sz w:val="20"/>
          <w:szCs w:val="20"/>
          <w:color w:val="auto"/>
        </w:rPr>
      </w:pPr>
      <w:r>
        <w:rPr>
          <w:rFonts w:ascii="Arial" w:cs="Arial" w:eastAsia="Arial" w:hAnsi="Arial"/>
          <w:sz w:val="13"/>
          <w:szCs w:val="13"/>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anticipate operating expenses will continue to increase to support our growth. During the second quarter of 2020, we took steps to reduce variable expenses that were ineffective and slowed down hiring due to the impact to our revenue from COVID-19. We returned to more normalized spending levels in the fourth quarter of 2020. We continue to monitor the rapidly evolving situation, but as operations return to normal levels, we intend to make investments to execute our strategic plans and operational initiatives.</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Sales and Marketing Expenses</w:t>
      </w:r>
    </w:p>
    <w:p>
      <w:pPr>
        <w:spacing w:after="0" w:line="195" w:lineRule="exact"/>
        <w:rPr>
          <w:sz w:val="20"/>
          <w:szCs w:val="20"/>
          <w:color w:val="auto"/>
        </w:rPr>
      </w:pPr>
    </w:p>
    <w:p>
      <w:pPr>
        <w:jc w:val="both"/>
        <w:ind w:firstLine="304"/>
        <w:spacing w:after="0" w:line="278" w:lineRule="auto"/>
        <w:rPr>
          <w:sz w:val="20"/>
          <w:szCs w:val="20"/>
          <w:color w:val="auto"/>
        </w:rPr>
      </w:pPr>
      <w:r>
        <w:rPr>
          <w:rFonts w:ascii="Arial" w:cs="Arial" w:eastAsia="Arial" w:hAnsi="Arial"/>
          <w:sz w:val="13"/>
          <w:szCs w:val="13"/>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direct territory sales managers, clinical support specialists and third-party distributors.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25" w:name="page26"/>
    <w:bookmarkEnd w:id="25"/>
    <w:p>
      <w:pPr>
        <w:ind w:left="300"/>
        <w:spacing w:after="0"/>
        <w:rPr>
          <w:sz w:val="20"/>
          <w:szCs w:val="20"/>
          <w:color w:val="auto"/>
        </w:rPr>
      </w:pPr>
      <w:r>
        <w:rPr>
          <w:rFonts w:ascii="Arial" w:cs="Arial" w:eastAsia="Arial" w:hAnsi="Arial"/>
          <w:sz w:val="13"/>
          <w:szCs w:val="13"/>
          <w:i w:val="1"/>
          <w:iCs w:val="1"/>
          <w:color w:val="auto"/>
        </w:rPr>
        <w:t>Research and Development Expenses</w:t>
      </w:r>
    </w:p>
    <w:p>
      <w:pPr>
        <w:spacing w:after="0" w:line="195" w:lineRule="exact"/>
        <w:rPr>
          <w:sz w:val="20"/>
          <w:szCs w:val="20"/>
          <w:color w:val="auto"/>
        </w:rPr>
      </w:pPr>
    </w:p>
    <w:p>
      <w:pPr>
        <w:jc w:val="both"/>
        <w:ind w:firstLine="304"/>
        <w:spacing w:after="0" w:line="278" w:lineRule="auto"/>
        <w:rPr>
          <w:sz w:val="20"/>
          <w:szCs w:val="20"/>
          <w:color w:val="auto"/>
        </w:rPr>
      </w:pPr>
      <w:r>
        <w:rPr>
          <w:rFonts w:ascii="Arial" w:cs="Arial" w:eastAsia="Arial" w:hAnsi="Arial"/>
          <w:sz w:val="13"/>
          <w:szCs w:val="13"/>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149" w:lineRule="exact"/>
        <w:rPr>
          <w:sz w:val="20"/>
          <w:szCs w:val="20"/>
          <w:color w:val="auto"/>
        </w:rPr>
      </w:pPr>
    </w:p>
    <w:p>
      <w:pPr>
        <w:jc w:val="both"/>
        <w:ind w:firstLine="304"/>
        <w:spacing w:after="0" w:line="296" w:lineRule="auto"/>
        <w:rPr>
          <w:sz w:val="20"/>
          <w:szCs w:val="20"/>
          <w:color w:val="auto"/>
        </w:rPr>
      </w:pPr>
      <w:r>
        <w:rPr>
          <w:rFonts w:ascii="Arial" w:cs="Arial" w:eastAsia="Arial" w:hAnsi="Arial"/>
          <w:sz w:val="13"/>
          <w:szCs w:val="13"/>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General and Administrative Expenses</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General and administrative expenses primarily consist of salaries, stock-based compensation expense, and other costs for finance, accounting, legal, insurance, compliance, and administrative matters.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Interest Income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Interest income is primarily related to our investments of excess cash in money market funds and marketable securities.</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Interest expense is primarily related to borrowings, amortization of debt issuance costs and accretion of final fees on our Solar Term Loan.</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Other income (expense), net consists primarily of net foreign exchange gains and losses on foreign transactions.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color w:val="auto"/>
        </w:rPr>
        <w:t>Results of Operations</w:t>
      </w:r>
    </w:p>
    <w:p>
      <w:pPr>
        <w:spacing w:after="0" w:line="176" w:lineRule="exact"/>
        <w:rPr>
          <w:sz w:val="20"/>
          <w:szCs w:val="20"/>
          <w:color w:val="auto"/>
        </w:rPr>
      </w:pPr>
    </w:p>
    <w:p>
      <w:pPr>
        <w:ind w:right="80" w:firstLine="364"/>
        <w:spacing w:after="0" w:line="296" w:lineRule="auto"/>
        <w:rPr>
          <w:sz w:val="20"/>
          <w:szCs w:val="20"/>
          <w:color w:val="auto"/>
        </w:rPr>
      </w:pPr>
      <w:r>
        <w:rPr>
          <w:rFonts w:ascii="Arial" w:cs="Arial" w:eastAsia="Arial" w:hAnsi="Arial"/>
          <w:sz w:val="13"/>
          <w:szCs w:val="13"/>
          <w:color w:val="auto"/>
        </w:rPr>
        <w:t>We manage and operate as one reportable segment. The table below summarizes our results of operations for the periods presented (percentages are amounts as a percentage of revenue), which we derived from the accompanying condensed consolidated financial statements:</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160"/>
        </w:trPr>
        <w:tc>
          <w:tcPr>
            <w:tcW w:w="10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2"/>
                <w:szCs w:val="12"/>
                <w:b w:val="1"/>
                <w:bCs w:val="1"/>
                <w:color w:val="auto"/>
              </w:rPr>
              <w:t>Three Months Ended September 30,</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2"/>
                <w:szCs w:val="12"/>
                <w:b w:val="1"/>
                <w:bCs w:val="1"/>
                <w:color w:val="auto"/>
                <w:w w:val="97"/>
              </w:rPr>
              <w:t>Nine Months Ended September 30,</w:t>
            </w: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93"/>
              <w:spacing w:after="0"/>
              <w:rPr>
                <w:sz w:val="20"/>
                <w:szCs w:val="20"/>
                <w:color w:val="auto"/>
              </w:rPr>
            </w:pPr>
            <w:r>
              <w:rPr>
                <w:rFonts w:ascii="Arial" w:cs="Arial" w:eastAsia="Arial" w:hAnsi="Arial"/>
                <w:sz w:val="12"/>
                <w:szCs w:val="12"/>
                <w:b w:val="1"/>
                <w:bCs w:val="1"/>
                <w:color w:val="auto"/>
                <w:w w:val="82"/>
              </w:rPr>
              <w:t>2021</w:t>
            </w: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93"/>
              <w:spacing w:after="0"/>
              <w:rPr>
                <w:sz w:val="20"/>
                <w:szCs w:val="20"/>
                <w:color w:val="auto"/>
              </w:rPr>
            </w:pPr>
            <w:r>
              <w:rPr>
                <w:rFonts w:ascii="Arial" w:cs="Arial" w:eastAsia="Arial" w:hAnsi="Arial"/>
                <w:sz w:val="12"/>
                <w:szCs w:val="12"/>
                <w:b w:val="1"/>
                <w:bCs w:val="1"/>
                <w:color w:val="auto"/>
                <w:w w:val="82"/>
              </w:rPr>
              <w:t>2020</w:t>
            </w: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Amount</w:t>
            </w: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2"/>
                <w:szCs w:val="12"/>
                <w:b w:val="1"/>
                <w:bCs w:val="1"/>
                <w:color w:val="auto"/>
              </w:rPr>
              <w:t>Amount</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2"/>
                <w:szCs w:val="12"/>
                <w:b w:val="1"/>
                <w:bCs w:val="1"/>
                <w:color w:val="auto"/>
              </w:rPr>
              <w:t>Amount</w:t>
            </w: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Amount</w:t>
            </w: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0"/>
        </w:trPr>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00" w:type="dxa"/>
            <w:vAlign w:val="bottom"/>
            <w:gridSpan w:val="5"/>
          </w:tcPr>
          <w:p>
            <w:pPr>
              <w:jc w:val="right"/>
              <w:ind w:right="413"/>
              <w:spacing w:after="0"/>
              <w:rPr>
                <w:sz w:val="20"/>
                <w:szCs w:val="20"/>
                <w:color w:val="auto"/>
              </w:rPr>
            </w:pPr>
            <w:r>
              <w:rPr>
                <w:rFonts w:ascii="Arial" w:cs="Arial" w:eastAsia="Arial" w:hAnsi="Arial"/>
                <w:sz w:val="12"/>
                <w:szCs w:val="12"/>
                <w:b w:val="1"/>
                <w:bCs w:val="1"/>
                <w:color w:val="auto"/>
                <w:w w:val="90"/>
              </w:rPr>
              <w:t>(in thousands, except for percentages)</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40" w:type="dxa"/>
            <w:vAlign w:val="bottom"/>
            <w:gridSpan w:val="4"/>
          </w:tcPr>
          <w:p>
            <w:pPr>
              <w:ind w:left="380"/>
              <w:spacing w:after="0"/>
              <w:rPr>
                <w:sz w:val="20"/>
                <w:szCs w:val="20"/>
                <w:color w:val="auto"/>
              </w:rPr>
            </w:pPr>
            <w:r>
              <w:rPr>
                <w:rFonts w:ascii="Arial" w:cs="Arial" w:eastAsia="Arial" w:hAnsi="Arial"/>
                <w:sz w:val="13"/>
                <w:szCs w:val="13"/>
                <w:b w:val="1"/>
                <w:bCs w:val="1"/>
                <w:color w:val="auto"/>
                <w:w w:val="94"/>
              </w:rPr>
              <w:t>Consolidated Statements of Operations Data: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Revenue</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22,286</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20,373</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64,922</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51,243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1040" w:type="dxa"/>
            <w:vAlign w:val="bottom"/>
          </w:tcPr>
          <w:p>
            <w:pPr>
              <w:ind w:left="380"/>
              <w:spacing w:after="0" w:line="132" w:lineRule="exact"/>
              <w:rPr>
                <w:sz w:val="20"/>
                <w:szCs w:val="20"/>
                <w:color w:val="auto"/>
              </w:rPr>
            </w:pPr>
            <w:r>
              <w:rPr>
                <w:rFonts w:ascii="Arial" w:cs="Arial" w:eastAsia="Arial" w:hAnsi="Arial"/>
                <w:sz w:val="13"/>
                <w:szCs w:val="13"/>
                <w:color w:val="auto"/>
              </w:rPr>
              <w:t>Cost of</w:t>
            </w:r>
          </w:p>
        </w:tc>
        <w:tc>
          <w:tcPr>
            <w:tcW w:w="5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2,478</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vMerge w:val="restart"/>
          </w:tcPr>
          <w:p>
            <w:pPr>
              <w:jc w:val="right"/>
              <w:ind w:right="353"/>
              <w:spacing w:after="0"/>
              <w:rPr>
                <w:sz w:val="20"/>
                <w:szCs w:val="20"/>
                <w:color w:val="auto"/>
              </w:rPr>
            </w:pPr>
            <w:r>
              <w:rPr>
                <w:rFonts w:ascii="Arial" w:cs="Arial" w:eastAsia="Arial" w:hAnsi="Arial"/>
                <w:sz w:val="13"/>
                <w:szCs w:val="13"/>
                <w:color w:val="auto"/>
              </w:rPr>
              <w:t>2,578</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vMerge w:val="restart"/>
          </w:tcPr>
          <w:p>
            <w:pPr>
              <w:jc w:val="right"/>
              <w:ind w:right="333"/>
              <w:spacing w:after="0"/>
              <w:rPr>
                <w:sz w:val="20"/>
                <w:szCs w:val="20"/>
                <w:color w:val="auto"/>
              </w:rPr>
            </w:pPr>
            <w:r>
              <w:rPr>
                <w:rFonts w:ascii="Arial" w:cs="Arial" w:eastAsia="Arial" w:hAnsi="Arial"/>
                <w:sz w:val="13"/>
                <w:szCs w:val="13"/>
                <w:color w:val="auto"/>
              </w:rPr>
              <w:t>7,053</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6,627</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goods sold</w:t>
            </w: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040" w:type="dxa"/>
            <w:vAlign w:val="bottom"/>
            <w:shd w:val="clear" w:color="auto" w:fill="CCEEFF"/>
          </w:tcPr>
          <w:p>
            <w:pPr>
              <w:ind w:left="540"/>
              <w:spacing w:after="0" w:line="112" w:lineRule="exact"/>
              <w:rPr>
                <w:sz w:val="20"/>
                <w:szCs w:val="20"/>
                <w:color w:val="auto"/>
              </w:rPr>
            </w:pPr>
            <w:r>
              <w:rPr>
                <w:rFonts w:ascii="Arial" w:cs="Arial" w:eastAsia="Arial" w:hAnsi="Arial"/>
                <w:sz w:val="12"/>
                <w:szCs w:val="12"/>
                <w:color w:val="auto"/>
              </w:rPr>
              <w:t>Gross</w:t>
            </w:r>
          </w:p>
        </w:tc>
        <w:tc>
          <w:tcPr>
            <w:tcW w:w="5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19,808</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353"/>
              <w:spacing w:after="0"/>
              <w:rPr>
                <w:sz w:val="20"/>
                <w:szCs w:val="20"/>
                <w:color w:val="auto"/>
              </w:rPr>
            </w:pPr>
            <w:r>
              <w:rPr>
                <w:rFonts w:ascii="Arial" w:cs="Arial" w:eastAsia="Arial" w:hAnsi="Arial"/>
                <w:sz w:val="13"/>
                <w:szCs w:val="13"/>
                <w:color w:val="auto"/>
              </w:rPr>
              <w:t>17,795</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ind w:right="333"/>
              <w:spacing w:after="0"/>
              <w:rPr>
                <w:sz w:val="20"/>
                <w:szCs w:val="20"/>
                <w:color w:val="auto"/>
              </w:rPr>
            </w:pPr>
            <w:r>
              <w:rPr>
                <w:rFonts w:ascii="Arial" w:cs="Arial" w:eastAsia="Arial" w:hAnsi="Arial"/>
                <w:sz w:val="13"/>
                <w:szCs w:val="13"/>
                <w:color w:val="auto"/>
              </w:rPr>
              <w:t>57,869</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44,616</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profit</w:t>
            </w:r>
          </w:p>
        </w:tc>
        <w:tc>
          <w:tcPr>
            <w:tcW w:w="5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040" w:type="dxa"/>
            <w:vAlign w:val="bottom"/>
          </w:tcPr>
          <w:p>
            <w:pPr>
              <w:ind w:left="380"/>
              <w:spacing w:after="0" w:line="112" w:lineRule="exact"/>
              <w:rPr>
                <w:sz w:val="20"/>
                <w:szCs w:val="20"/>
                <w:color w:val="auto"/>
              </w:rPr>
            </w:pPr>
            <w:r>
              <w:rPr>
                <w:rFonts w:ascii="Arial" w:cs="Arial" w:eastAsia="Arial" w:hAnsi="Arial"/>
                <w:sz w:val="12"/>
                <w:szCs w:val="12"/>
                <w:color w:val="auto"/>
              </w:rPr>
              <w:t>Operating</w:t>
            </w: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040" w:type="dxa"/>
            <w:vAlign w:val="bottom"/>
          </w:tcPr>
          <w:p>
            <w:pPr>
              <w:ind w:left="20"/>
              <w:spacing w:after="0"/>
              <w:rPr>
                <w:sz w:val="20"/>
                <w:szCs w:val="20"/>
                <w:color w:val="auto"/>
              </w:rPr>
            </w:pPr>
            <w:r>
              <w:rPr>
                <w:rFonts w:ascii="Arial" w:cs="Arial" w:eastAsia="Arial" w:hAnsi="Arial"/>
                <w:sz w:val="13"/>
                <w:szCs w:val="13"/>
                <w:color w:val="auto"/>
              </w:rPr>
              <w:t>expenses:</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040" w:type="dxa"/>
            <w:vAlign w:val="bottom"/>
            <w:shd w:val="clear" w:color="auto" w:fill="CCEEFF"/>
          </w:tcPr>
          <w:p>
            <w:pPr>
              <w:ind w:left="540"/>
              <w:spacing w:after="0" w:line="132" w:lineRule="exact"/>
              <w:rPr>
                <w:sz w:val="20"/>
                <w:szCs w:val="20"/>
                <w:color w:val="auto"/>
              </w:rPr>
            </w:pPr>
            <w:r>
              <w:rPr>
                <w:rFonts w:ascii="Arial" w:cs="Arial" w:eastAsia="Arial" w:hAnsi="Arial"/>
                <w:sz w:val="13"/>
                <w:szCs w:val="13"/>
                <w:color w:val="auto"/>
              </w:rPr>
              <w:t>Sales</w:t>
            </w:r>
          </w:p>
        </w:tc>
        <w:tc>
          <w:tcPr>
            <w:tcW w:w="5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23,525</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353"/>
              <w:spacing w:after="0"/>
              <w:rPr>
                <w:sz w:val="20"/>
                <w:szCs w:val="20"/>
                <w:color w:val="auto"/>
              </w:rPr>
            </w:pPr>
            <w:r>
              <w:rPr>
                <w:rFonts w:ascii="Arial" w:cs="Arial" w:eastAsia="Arial" w:hAnsi="Arial"/>
                <w:sz w:val="13"/>
                <w:szCs w:val="13"/>
                <w:color w:val="auto"/>
              </w:rPr>
              <w:t>18,772</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333"/>
              <w:spacing w:after="0"/>
              <w:rPr>
                <w:sz w:val="20"/>
                <w:szCs w:val="20"/>
                <w:color w:val="auto"/>
              </w:rPr>
            </w:pPr>
            <w:r>
              <w:rPr>
                <w:rFonts w:ascii="Arial" w:cs="Arial" w:eastAsia="Arial" w:hAnsi="Arial"/>
                <w:sz w:val="13"/>
                <w:szCs w:val="13"/>
                <w:color w:val="auto"/>
              </w:rPr>
              <w:t>67,531</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53,808</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and marketing</w:t>
            </w:r>
          </w:p>
        </w:tc>
        <w:tc>
          <w:tcPr>
            <w:tcW w:w="5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040" w:type="dxa"/>
            <w:vAlign w:val="bottom"/>
          </w:tcPr>
          <w:p>
            <w:pPr>
              <w:ind w:left="540"/>
              <w:spacing w:after="0" w:line="132" w:lineRule="exact"/>
              <w:rPr>
                <w:sz w:val="20"/>
                <w:szCs w:val="20"/>
                <w:color w:val="auto"/>
              </w:rPr>
            </w:pPr>
            <w:r>
              <w:rPr>
                <w:rFonts w:ascii="Arial" w:cs="Arial" w:eastAsia="Arial" w:hAnsi="Arial"/>
                <w:sz w:val="13"/>
                <w:szCs w:val="13"/>
                <w:color w:val="auto"/>
                <w:w w:val="86"/>
              </w:rPr>
              <w:t>Research</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40" w:type="dxa"/>
            <w:vAlign w:val="bottom"/>
          </w:tcPr>
          <w:p>
            <w:pPr>
              <w:ind w:left="180"/>
              <w:spacing w:after="0" w:line="132" w:lineRule="exact"/>
              <w:rPr>
                <w:sz w:val="20"/>
                <w:szCs w:val="20"/>
                <w:color w:val="auto"/>
              </w:rPr>
            </w:pPr>
            <w:r>
              <w:rPr>
                <w:rFonts w:ascii="Arial" w:cs="Arial" w:eastAsia="Arial" w:hAnsi="Arial"/>
                <w:sz w:val="13"/>
                <w:szCs w:val="13"/>
                <w:color w:val="auto"/>
              </w:rPr>
              <w:t>and</w:t>
            </w:r>
          </w:p>
        </w:tc>
        <w:tc>
          <w:tcPr>
            <w:tcW w:w="5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3,288</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vMerge w:val="restart"/>
          </w:tcPr>
          <w:p>
            <w:pPr>
              <w:jc w:val="right"/>
              <w:ind w:right="353"/>
              <w:spacing w:after="0"/>
              <w:rPr>
                <w:sz w:val="20"/>
                <w:szCs w:val="20"/>
                <w:color w:val="auto"/>
              </w:rPr>
            </w:pPr>
            <w:r>
              <w:rPr>
                <w:rFonts w:ascii="Arial" w:cs="Arial" w:eastAsia="Arial" w:hAnsi="Arial"/>
                <w:sz w:val="13"/>
                <w:szCs w:val="13"/>
                <w:color w:val="auto"/>
              </w:rPr>
              <w:t>2,778</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vMerge w:val="restart"/>
          </w:tcPr>
          <w:p>
            <w:pPr>
              <w:jc w:val="right"/>
              <w:ind w:right="333"/>
              <w:spacing w:after="0"/>
              <w:rPr>
                <w:sz w:val="20"/>
                <w:szCs w:val="20"/>
                <w:color w:val="auto"/>
              </w:rPr>
            </w:pPr>
            <w:r>
              <w:rPr>
                <w:rFonts w:ascii="Arial" w:cs="Arial" w:eastAsia="Arial" w:hAnsi="Arial"/>
                <w:sz w:val="13"/>
                <w:szCs w:val="13"/>
                <w:color w:val="auto"/>
              </w:rPr>
              <w:t>9,392</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7,033</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tcPr>
          <w:p>
            <w:pPr>
              <w:ind w:left="180"/>
              <w:spacing w:after="0"/>
              <w:rPr>
                <w:sz w:val="20"/>
                <w:szCs w:val="20"/>
                <w:color w:val="auto"/>
              </w:rPr>
            </w:pPr>
            <w:r>
              <w:rPr>
                <w:rFonts w:ascii="Arial" w:cs="Arial" w:eastAsia="Arial" w:hAnsi="Arial"/>
                <w:sz w:val="13"/>
                <w:szCs w:val="13"/>
                <w:color w:val="auto"/>
              </w:rPr>
              <w:t>development</w:t>
            </w:r>
          </w:p>
        </w:tc>
        <w:tc>
          <w:tcPr>
            <w:tcW w:w="5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040" w:type="dxa"/>
            <w:vAlign w:val="bottom"/>
            <w:shd w:val="clear" w:color="auto" w:fill="CCEEFF"/>
          </w:tcPr>
          <w:p>
            <w:pPr>
              <w:ind w:left="540"/>
              <w:spacing w:after="0" w:line="132" w:lineRule="exact"/>
              <w:rPr>
                <w:sz w:val="20"/>
                <w:szCs w:val="20"/>
                <w:color w:val="auto"/>
              </w:rPr>
            </w:pPr>
            <w:r>
              <w:rPr>
                <w:rFonts w:ascii="Arial" w:cs="Arial" w:eastAsia="Arial" w:hAnsi="Arial"/>
                <w:sz w:val="13"/>
                <w:szCs w:val="13"/>
                <w:color w:val="auto"/>
              </w:rPr>
              <w:t>General</w:t>
            </w: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40" w:type="dxa"/>
            <w:vAlign w:val="bottom"/>
            <w:shd w:val="clear" w:color="auto" w:fill="CCEEFF"/>
          </w:tcPr>
          <w:p>
            <w:pPr>
              <w:ind w:left="180"/>
              <w:spacing w:after="0" w:line="132" w:lineRule="exact"/>
              <w:rPr>
                <w:sz w:val="20"/>
                <w:szCs w:val="20"/>
                <w:color w:val="auto"/>
              </w:rPr>
            </w:pPr>
            <w:r>
              <w:rPr>
                <w:rFonts w:ascii="Arial" w:cs="Arial" w:eastAsia="Arial" w:hAnsi="Arial"/>
                <w:sz w:val="13"/>
                <w:szCs w:val="13"/>
                <w:color w:val="auto"/>
              </w:rPr>
              <w:t>and</w:t>
            </w:r>
          </w:p>
        </w:tc>
        <w:tc>
          <w:tcPr>
            <w:tcW w:w="5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6,194</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353"/>
              <w:spacing w:after="0"/>
              <w:rPr>
                <w:sz w:val="20"/>
                <w:szCs w:val="20"/>
                <w:color w:val="auto"/>
              </w:rPr>
            </w:pPr>
            <w:r>
              <w:rPr>
                <w:rFonts w:ascii="Arial" w:cs="Arial" w:eastAsia="Arial" w:hAnsi="Arial"/>
                <w:sz w:val="13"/>
                <w:szCs w:val="13"/>
                <w:color w:val="auto"/>
              </w:rPr>
              <w:t>4,920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333"/>
              <w:spacing w:after="0"/>
              <w:rPr>
                <w:sz w:val="20"/>
                <w:szCs w:val="20"/>
                <w:color w:val="auto"/>
              </w:rPr>
            </w:pPr>
            <w:r>
              <w:rPr>
                <w:rFonts w:ascii="Arial" w:cs="Arial" w:eastAsia="Arial" w:hAnsi="Arial"/>
                <w:sz w:val="13"/>
                <w:szCs w:val="13"/>
                <w:color w:val="auto"/>
              </w:rPr>
              <w:t>18,685</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14,471</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administrative</w:t>
            </w:r>
          </w:p>
        </w:tc>
        <w:tc>
          <w:tcPr>
            <w:tcW w:w="5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040" w:type="dxa"/>
            <w:vAlign w:val="bottom"/>
          </w:tcPr>
          <w:p>
            <w:pPr>
              <w:ind w:left="380"/>
              <w:spacing w:after="0" w:line="112" w:lineRule="exact"/>
              <w:rPr>
                <w:sz w:val="20"/>
                <w:szCs w:val="20"/>
                <w:color w:val="auto"/>
              </w:rPr>
            </w:pPr>
            <w:r>
              <w:rPr>
                <w:rFonts w:ascii="Arial" w:cs="Arial" w:eastAsia="Arial" w:hAnsi="Arial"/>
                <w:sz w:val="12"/>
                <w:szCs w:val="12"/>
                <w:color w:val="auto"/>
              </w:rPr>
              <w:t>Total</w:t>
            </w: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040" w:type="dxa"/>
            <w:vAlign w:val="bottom"/>
          </w:tcPr>
          <w:p>
            <w:pPr>
              <w:ind w:left="20"/>
              <w:spacing w:after="0" w:line="132" w:lineRule="exact"/>
              <w:rPr>
                <w:sz w:val="20"/>
                <w:szCs w:val="20"/>
                <w:color w:val="auto"/>
              </w:rPr>
            </w:pPr>
            <w:r>
              <w:rPr>
                <w:rFonts w:ascii="Arial" w:cs="Arial" w:eastAsia="Arial" w:hAnsi="Arial"/>
                <w:sz w:val="13"/>
                <w:szCs w:val="13"/>
                <w:color w:val="auto"/>
              </w:rPr>
              <w:t>operating</w:t>
            </w:r>
          </w:p>
        </w:tc>
        <w:tc>
          <w:tcPr>
            <w:tcW w:w="5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33,007</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149</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vMerge w:val="restart"/>
          </w:tcPr>
          <w:p>
            <w:pPr>
              <w:jc w:val="right"/>
              <w:ind w:right="353"/>
              <w:spacing w:after="0"/>
              <w:rPr>
                <w:sz w:val="20"/>
                <w:szCs w:val="20"/>
                <w:color w:val="auto"/>
              </w:rPr>
            </w:pPr>
            <w:r>
              <w:rPr>
                <w:rFonts w:ascii="Arial" w:cs="Arial" w:eastAsia="Arial" w:hAnsi="Arial"/>
                <w:sz w:val="13"/>
                <w:szCs w:val="13"/>
                <w:color w:val="auto"/>
              </w:rPr>
              <w:t>26,470</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130</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vMerge w:val="restart"/>
          </w:tcPr>
          <w:p>
            <w:pPr>
              <w:jc w:val="right"/>
              <w:ind w:right="333"/>
              <w:spacing w:after="0"/>
              <w:rPr>
                <w:sz w:val="20"/>
                <w:szCs w:val="20"/>
                <w:color w:val="auto"/>
              </w:rPr>
            </w:pPr>
            <w:r>
              <w:rPr>
                <w:rFonts w:ascii="Arial" w:cs="Arial" w:eastAsia="Arial" w:hAnsi="Arial"/>
                <w:sz w:val="13"/>
                <w:szCs w:val="13"/>
                <w:color w:val="auto"/>
              </w:rPr>
              <w:t>95,608</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147</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75,312</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147</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expenses</w:t>
            </w: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040" w:type="dxa"/>
            <w:vAlign w:val="bottom"/>
            <w:shd w:val="clear" w:color="auto" w:fill="CCEEFF"/>
          </w:tcPr>
          <w:p>
            <w:pPr>
              <w:ind w:left="380"/>
              <w:spacing w:after="0" w:line="112" w:lineRule="exact"/>
              <w:rPr>
                <w:sz w:val="20"/>
                <w:szCs w:val="20"/>
                <w:color w:val="auto"/>
              </w:rPr>
            </w:pPr>
            <w:r>
              <w:rPr>
                <w:rFonts w:ascii="Arial" w:cs="Arial" w:eastAsia="Arial" w:hAnsi="Arial"/>
                <w:sz w:val="12"/>
                <w:szCs w:val="12"/>
                <w:color w:val="auto"/>
              </w:rPr>
              <w:t>Loss from</w:t>
            </w:r>
          </w:p>
        </w:tc>
        <w:tc>
          <w:tcPr>
            <w:tcW w:w="5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(13,199)</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313"/>
              <w:spacing w:after="0"/>
              <w:rPr>
                <w:sz w:val="20"/>
                <w:szCs w:val="20"/>
                <w:color w:val="auto"/>
              </w:rPr>
            </w:pPr>
            <w:r>
              <w:rPr>
                <w:rFonts w:ascii="Arial" w:cs="Arial" w:eastAsia="Arial" w:hAnsi="Arial"/>
                <w:sz w:val="13"/>
                <w:szCs w:val="13"/>
                <w:color w:val="auto"/>
              </w:rPr>
              <w:t>(8,675)</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ind w:right="293"/>
              <w:spacing w:after="0"/>
              <w:rPr>
                <w:sz w:val="20"/>
                <w:szCs w:val="20"/>
                <w:color w:val="auto"/>
              </w:rPr>
            </w:pPr>
            <w:r>
              <w:rPr>
                <w:rFonts w:ascii="Arial" w:cs="Arial" w:eastAsia="Arial" w:hAnsi="Arial"/>
                <w:sz w:val="13"/>
                <w:szCs w:val="13"/>
                <w:color w:val="auto"/>
              </w:rPr>
              <w:t>(37,739)</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(30,696)</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operations</w:t>
            </w:r>
          </w:p>
        </w:tc>
        <w:tc>
          <w:tcPr>
            <w:tcW w:w="5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340" w:type="dxa"/>
            <w:vAlign w:val="bottom"/>
            <w:gridSpan w:val="3"/>
          </w:tcPr>
          <w:p>
            <w:pPr>
              <w:ind w:left="380"/>
              <w:spacing w:after="0" w:line="132" w:lineRule="exact"/>
              <w:rPr>
                <w:sz w:val="20"/>
                <w:szCs w:val="20"/>
                <w:color w:val="auto"/>
              </w:rPr>
            </w:pPr>
            <w:r>
              <w:rPr>
                <w:rFonts w:ascii="Arial" w:cs="Arial" w:eastAsia="Arial" w:hAnsi="Arial"/>
                <w:sz w:val="13"/>
                <w:szCs w:val="13"/>
                <w:color w:val="auto"/>
              </w:rPr>
              <w:t>Interest and other income</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40" w:type="dxa"/>
            <w:vAlign w:val="bottom"/>
          </w:tcPr>
          <w:p>
            <w:pPr>
              <w:ind w:left="20"/>
              <w:spacing w:after="0"/>
              <w:rPr>
                <w:sz w:val="20"/>
                <w:szCs w:val="20"/>
                <w:color w:val="auto"/>
              </w:rPr>
            </w:pPr>
            <w:r>
              <w:rPr>
                <w:rFonts w:ascii="Arial" w:cs="Arial" w:eastAsia="Arial" w:hAnsi="Arial"/>
                <w:sz w:val="13"/>
                <w:szCs w:val="13"/>
                <w:color w:val="auto"/>
              </w:rPr>
              <w:t>(expense), net:</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040" w:type="dxa"/>
            <w:vAlign w:val="bottom"/>
            <w:shd w:val="clear" w:color="auto" w:fill="CCEEFF"/>
          </w:tcPr>
          <w:p>
            <w:pPr>
              <w:ind w:left="540"/>
              <w:spacing w:after="0" w:line="132" w:lineRule="exact"/>
              <w:rPr>
                <w:sz w:val="20"/>
                <w:szCs w:val="20"/>
                <w:color w:val="auto"/>
              </w:rPr>
            </w:pPr>
            <w:r>
              <w:rPr>
                <w:rFonts w:ascii="Arial" w:cs="Arial" w:eastAsia="Arial" w:hAnsi="Arial"/>
                <w:sz w:val="13"/>
                <w:szCs w:val="13"/>
                <w:color w:val="auto"/>
              </w:rPr>
              <w:t>Interest</w:t>
            </w:r>
          </w:p>
        </w:tc>
        <w:tc>
          <w:tcPr>
            <w:tcW w:w="5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353"/>
              <w:spacing w:after="0"/>
              <w:rPr>
                <w:sz w:val="20"/>
                <w:szCs w:val="20"/>
                <w:color w:val="auto"/>
              </w:rPr>
            </w:pPr>
            <w:r>
              <w:rPr>
                <w:rFonts w:ascii="Arial" w:cs="Arial" w:eastAsia="Arial" w:hAnsi="Arial"/>
                <w:sz w:val="13"/>
                <w:szCs w:val="13"/>
                <w:color w:val="auto"/>
              </w:rPr>
              <w:t>192</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333"/>
              <w:spacing w:after="0"/>
              <w:rPr>
                <w:sz w:val="20"/>
                <w:szCs w:val="20"/>
                <w:color w:val="auto"/>
              </w:rPr>
            </w:pPr>
            <w:r>
              <w:rPr>
                <w:rFonts w:ascii="Arial" w:cs="Arial" w:eastAsia="Arial" w:hAnsi="Arial"/>
                <w:sz w:val="13"/>
                <w:szCs w:val="13"/>
                <w:color w:val="auto"/>
              </w:rPr>
              <w:t>151</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1,019</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w:t>
            </w:r>
          </w:p>
        </w:tc>
        <w:tc>
          <w:tcPr>
            <w:tcW w:w="5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040" w:type="dxa"/>
            <w:vAlign w:val="bottom"/>
          </w:tcPr>
          <w:p>
            <w:pPr>
              <w:ind w:left="540"/>
              <w:spacing w:after="0" w:line="132" w:lineRule="exact"/>
              <w:rPr>
                <w:sz w:val="20"/>
                <w:szCs w:val="20"/>
                <w:color w:val="auto"/>
              </w:rPr>
            </w:pPr>
            <w:r>
              <w:rPr>
                <w:rFonts w:ascii="Arial" w:cs="Arial" w:eastAsia="Arial" w:hAnsi="Arial"/>
                <w:sz w:val="13"/>
                <w:szCs w:val="13"/>
                <w:color w:val="auto"/>
              </w:rPr>
              <w:t>Interest</w:t>
            </w:r>
          </w:p>
        </w:tc>
        <w:tc>
          <w:tcPr>
            <w:tcW w:w="5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(2,658)</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3"/>
                <w:szCs w:val="13"/>
                <w:color w:val="auto"/>
              </w:rPr>
              <w:t>(1,102)</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vMerge w:val="restart"/>
          </w:tcPr>
          <w:p>
            <w:pPr>
              <w:jc w:val="right"/>
              <w:ind w:right="293"/>
              <w:spacing w:after="0"/>
              <w:rPr>
                <w:sz w:val="20"/>
                <w:szCs w:val="20"/>
                <w:color w:val="auto"/>
              </w:rPr>
            </w:pPr>
            <w:r>
              <w:rPr>
                <w:rFonts w:ascii="Arial" w:cs="Arial" w:eastAsia="Arial" w:hAnsi="Arial"/>
                <w:sz w:val="13"/>
                <w:szCs w:val="13"/>
                <w:color w:val="auto"/>
              </w:rPr>
              <w:t>(4,797)</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(5,016)</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tcPr>
          <w:p>
            <w:pPr>
              <w:ind w:left="180"/>
              <w:spacing w:after="0"/>
              <w:rPr>
                <w:sz w:val="20"/>
                <w:szCs w:val="20"/>
                <w:color w:val="auto"/>
              </w:rPr>
            </w:pPr>
            <w:r>
              <w:rPr>
                <w:rFonts w:ascii="Arial" w:cs="Arial" w:eastAsia="Arial" w:hAnsi="Arial"/>
                <w:sz w:val="13"/>
                <w:szCs w:val="13"/>
                <w:color w:val="auto"/>
              </w:rPr>
              <w:t>expense</w:t>
            </w:r>
          </w:p>
        </w:tc>
        <w:tc>
          <w:tcPr>
            <w:tcW w:w="5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040" w:type="dxa"/>
            <w:vAlign w:val="bottom"/>
            <w:shd w:val="clear" w:color="auto" w:fill="CCEEFF"/>
          </w:tcPr>
          <w:p>
            <w:pPr>
              <w:ind w:left="540"/>
              <w:spacing w:after="0" w:line="132" w:lineRule="exact"/>
              <w:rPr>
                <w:sz w:val="20"/>
                <w:szCs w:val="20"/>
                <w:color w:val="auto"/>
              </w:rPr>
            </w:pPr>
            <w:r>
              <w:rPr>
                <w:rFonts w:ascii="Arial" w:cs="Arial" w:eastAsia="Arial" w:hAnsi="Arial"/>
                <w:sz w:val="13"/>
                <w:szCs w:val="13"/>
                <w:color w:val="auto"/>
              </w:rPr>
              <w:t>Other</w:t>
            </w: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40" w:type="dxa"/>
            <w:vAlign w:val="bottom"/>
            <w:shd w:val="clear" w:color="auto" w:fill="CCEEFF"/>
          </w:tcPr>
          <w:p>
            <w:pPr>
              <w:ind w:left="180"/>
              <w:spacing w:after="0" w:line="132" w:lineRule="exact"/>
              <w:rPr>
                <w:sz w:val="20"/>
                <w:szCs w:val="20"/>
                <w:color w:val="auto"/>
              </w:rPr>
            </w:pPr>
            <w:r>
              <w:rPr>
                <w:rFonts w:ascii="Arial" w:cs="Arial" w:eastAsia="Arial" w:hAnsi="Arial"/>
                <w:sz w:val="13"/>
                <w:szCs w:val="13"/>
                <w:color w:val="auto"/>
              </w:rPr>
              <w:t>income</w:t>
            </w:r>
          </w:p>
        </w:tc>
        <w:tc>
          <w:tcPr>
            <w:tcW w:w="5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353"/>
              <w:spacing w:after="0"/>
              <w:rPr>
                <w:sz w:val="20"/>
                <w:szCs w:val="20"/>
                <w:color w:val="auto"/>
              </w:rPr>
            </w:pPr>
            <w:r>
              <w:rPr>
                <w:rFonts w:ascii="Arial" w:cs="Arial" w:eastAsia="Arial" w:hAnsi="Arial"/>
                <w:sz w:val="13"/>
                <w:szCs w:val="13"/>
                <w:color w:val="auto"/>
              </w:rPr>
              <w:t>111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333"/>
              <w:spacing w:after="0"/>
              <w:rPr>
                <w:sz w:val="20"/>
                <w:szCs w:val="20"/>
                <w:color w:val="auto"/>
              </w:rPr>
            </w:pPr>
            <w:r>
              <w:rPr>
                <w:rFonts w:ascii="Arial" w:cs="Arial" w:eastAsia="Arial" w:hAnsi="Arial"/>
                <w:sz w:val="13"/>
                <w:szCs w:val="13"/>
                <w:color w:val="auto"/>
              </w:rPr>
              <w:t>290</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(expense), net</w:t>
            </w:r>
          </w:p>
        </w:tc>
        <w:tc>
          <w:tcPr>
            <w:tcW w:w="5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380"/>
              <w:spacing w:after="0"/>
              <w:rPr>
                <w:sz w:val="20"/>
                <w:szCs w:val="20"/>
                <w:color w:val="auto"/>
              </w:rPr>
            </w:pPr>
            <w:r>
              <w:rPr>
                <w:rFonts w:ascii="Arial" w:cs="Arial" w:eastAsia="Arial" w:hAnsi="Arial"/>
                <w:sz w:val="13"/>
                <w:szCs w:val="13"/>
                <w:color w:val="auto"/>
              </w:rPr>
              <w:t>Net loss</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(15,872)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(9,474)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(42,095)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80" w:firstLine="364"/>
        <w:spacing w:after="0" w:line="296" w:lineRule="auto"/>
        <w:rPr>
          <w:sz w:val="20"/>
          <w:szCs w:val="20"/>
          <w:color w:val="auto"/>
        </w:rPr>
      </w:pPr>
      <w:r>
        <w:rPr>
          <w:rFonts w:ascii="Arial" w:cs="Arial" w:eastAsia="Arial" w:hAnsi="Arial"/>
          <w:sz w:val="13"/>
          <w:szCs w:val="13"/>
          <w:color w:val="auto"/>
        </w:rPr>
        <w:t>We derive the majority of our revenue from sales to customers in the U.S. Revenue by geography is based on billing address of the customer. No single country outside the U.S. accounts for more than 10% of the total revenue during the periods presented. The table below summarizes our revenue by geography:</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160"/>
        </w:trPr>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5"/>
          </w:tcPr>
          <w:p>
            <w:pPr>
              <w:jc w:val="right"/>
              <w:ind w:right="435"/>
              <w:spacing w:after="0"/>
              <w:rPr>
                <w:sz w:val="20"/>
                <w:szCs w:val="20"/>
                <w:color w:val="auto"/>
              </w:rPr>
            </w:pPr>
            <w:r>
              <w:rPr>
                <w:rFonts w:ascii="Arial" w:cs="Arial" w:eastAsia="Arial" w:hAnsi="Arial"/>
                <w:sz w:val="12"/>
                <w:szCs w:val="12"/>
                <w:b w:val="1"/>
                <w:bCs w:val="1"/>
                <w:color w:val="auto"/>
                <w:w w:val="95"/>
              </w:rPr>
              <w:t>Three Months Ended September 30,</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jc w:val="right"/>
              <w:ind w:right="114"/>
              <w:spacing w:after="0"/>
              <w:rPr>
                <w:sz w:val="20"/>
                <w:szCs w:val="20"/>
                <w:color w:val="auto"/>
              </w:rPr>
            </w:pPr>
            <w:r>
              <w:rPr>
                <w:rFonts w:ascii="Arial" w:cs="Arial" w:eastAsia="Arial" w:hAnsi="Arial"/>
                <w:sz w:val="12"/>
                <w:szCs w:val="12"/>
                <w:b w:val="1"/>
                <w:bCs w:val="1"/>
                <w:color w:val="auto"/>
                <w:w w:val="98"/>
              </w:rPr>
              <w:t>Nine Months Ended September 30,</w:t>
            </w: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74"/>
              <w:spacing w:after="0"/>
              <w:rPr>
                <w:sz w:val="20"/>
                <w:szCs w:val="20"/>
                <w:color w:val="auto"/>
              </w:rPr>
            </w:pPr>
            <w:r>
              <w:rPr>
                <w:rFonts w:ascii="Arial" w:cs="Arial" w:eastAsia="Arial" w:hAnsi="Arial"/>
                <w:sz w:val="12"/>
                <w:szCs w:val="12"/>
                <w:b w:val="1"/>
                <w:bCs w:val="1"/>
                <w:color w:val="auto"/>
                <w:w w:val="97"/>
              </w:rPr>
              <w:t>2020</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2"/>
                <w:szCs w:val="12"/>
                <w:b w:val="1"/>
                <w:bCs w:val="1"/>
                <w:color w:val="auto"/>
              </w:rPr>
              <w:t>Amount</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4"/>
              <w:spacing w:after="0"/>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2"/>
                <w:szCs w:val="12"/>
                <w:b w:val="1"/>
                <w:bCs w:val="1"/>
                <w:color w:val="auto"/>
              </w:rPr>
              <w:t>Amount</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34"/>
              <w:spacing w:after="0"/>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Amount</w:t>
            </w: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54"/>
              <w:spacing w:after="0"/>
              <w:rPr>
                <w:sz w:val="20"/>
                <w:szCs w:val="20"/>
                <w:color w:val="auto"/>
              </w:rPr>
            </w:pPr>
            <w:r>
              <w:rPr>
                <w:rFonts w:ascii="Arial" w:cs="Arial" w:eastAsia="Arial" w:hAnsi="Arial"/>
                <w:sz w:val="12"/>
                <w:szCs w:val="12"/>
                <w:b w:val="1"/>
                <w:bCs w:val="1"/>
                <w:color w:val="auto"/>
              </w:rPr>
              <w:t>%</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rPr>
              <w:t>Amount</w:t>
            </w: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54"/>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80" w:type="dxa"/>
            <w:vAlign w:val="bottom"/>
            <w:gridSpan w:val="5"/>
          </w:tcPr>
          <w:p>
            <w:pPr>
              <w:jc w:val="right"/>
              <w:ind w:right="395"/>
              <w:spacing w:after="0"/>
              <w:rPr>
                <w:sz w:val="20"/>
                <w:szCs w:val="20"/>
                <w:color w:val="auto"/>
              </w:rPr>
            </w:pPr>
            <w:r>
              <w:rPr>
                <w:rFonts w:ascii="Arial" w:cs="Arial" w:eastAsia="Arial" w:hAnsi="Arial"/>
                <w:sz w:val="12"/>
                <w:szCs w:val="12"/>
                <w:b w:val="1"/>
                <w:bCs w:val="1"/>
                <w:color w:val="auto"/>
                <w:w w:val="91"/>
              </w:rPr>
              <w:t>(in thousands except for percentages)</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6"/>
              </w:rPr>
              <w:t>States</w:t>
            </w:r>
          </w:p>
        </w:tc>
        <w:tc>
          <w:tcPr>
            <w:tcW w:w="124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3"/>
                <w:szCs w:val="13"/>
                <w:color w:val="auto"/>
              </w:rPr>
              <w:t>United</w:t>
            </w:r>
          </w:p>
        </w:tc>
        <w:tc>
          <w:tcPr>
            <w:tcW w:w="1080" w:type="dxa"/>
            <w:vAlign w:val="bottom"/>
            <w:vMerge w:val="restart"/>
            <w:shd w:val="clear" w:color="auto" w:fill="CCEEFF"/>
          </w:tcPr>
          <w:p>
            <w:pPr>
              <w:jc w:val="right"/>
              <w:ind w:right="355"/>
              <w:spacing w:after="0"/>
              <w:rPr>
                <w:sz w:val="20"/>
                <w:szCs w:val="20"/>
                <w:color w:val="auto"/>
              </w:rPr>
            </w:pPr>
            <w:r>
              <w:rPr>
                <w:rFonts w:ascii="Arial" w:cs="Arial" w:eastAsia="Arial" w:hAnsi="Arial"/>
                <w:sz w:val="13"/>
                <w:szCs w:val="13"/>
                <w:color w:val="auto"/>
              </w:rPr>
              <w:t>20,392</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355"/>
              <w:spacing w:after="0"/>
              <w:rPr>
                <w:sz w:val="20"/>
                <w:szCs w:val="20"/>
                <w:color w:val="auto"/>
              </w:rPr>
            </w:pPr>
            <w:r>
              <w:rPr>
                <w:rFonts w:ascii="Arial" w:cs="Arial" w:eastAsia="Arial" w:hAnsi="Arial"/>
                <w:sz w:val="13"/>
                <w:szCs w:val="13"/>
                <w:color w:val="auto"/>
              </w:rPr>
              <w:t>18,924</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355"/>
              <w:spacing w:after="0"/>
              <w:rPr>
                <w:sz w:val="20"/>
                <w:szCs w:val="20"/>
                <w:color w:val="auto"/>
              </w:rPr>
            </w:pPr>
            <w:r>
              <w:rPr>
                <w:rFonts w:ascii="Arial" w:cs="Arial" w:eastAsia="Arial" w:hAnsi="Arial"/>
                <w:sz w:val="13"/>
                <w:szCs w:val="13"/>
                <w:color w:val="auto"/>
              </w:rPr>
              <w:t>59,391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47,442</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60" w:type="dxa"/>
            <w:vAlign w:val="bottom"/>
            <w:vMerge w:val="continue"/>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International</w:t>
            </w:r>
          </w:p>
        </w:tc>
        <w:tc>
          <w:tcPr>
            <w:tcW w:w="1080" w:type="dxa"/>
            <w:vAlign w:val="bottom"/>
          </w:tcPr>
          <w:p>
            <w:pPr>
              <w:jc w:val="right"/>
              <w:ind w:right="355"/>
              <w:spacing w:after="0"/>
              <w:rPr>
                <w:sz w:val="20"/>
                <w:szCs w:val="20"/>
                <w:color w:val="auto"/>
              </w:rPr>
            </w:pPr>
            <w:r>
              <w:rPr>
                <w:rFonts w:ascii="Arial" w:cs="Arial" w:eastAsia="Arial" w:hAnsi="Arial"/>
                <w:sz w:val="13"/>
                <w:szCs w:val="13"/>
                <w:color w:val="auto"/>
              </w:rPr>
              <w:t>1,894</w:t>
            </w:r>
          </w:p>
        </w:tc>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355"/>
              <w:spacing w:after="0"/>
              <w:rPr>
                <w:sz w:val="20"/>
                <w:szCs w:val="20"/>
                <w:color w:val="auto"/>
              </w:rPr>
            </w:pPr>
            <w:r>
              <w:rPr>
                <w:rFonts w:ascii="Arial" w:cs="Arial" w:eastAsia="Arial" w:hAnsi="Arial"/>
                <w:sz w:val="13"/>
                <w:szCs w:val="13"/>
                <w:color w:val="auto"/>
              </w:rPr>
              <w:t>1,449</w:t>
            </w:r>
          </w:p>
        </w:tc>
        <w:tc>
          <w:tcPr>
            <w:tcW w:w="340" w:type="dxa"/>
            <w:vAlign w:val="bottom"/>
          </w:tcPr>
          <w:p>
            <w:pPr>
              <w:jc w:val="right"/>
              <w:spacing w:after="0"/>
              <w:rPr>
                <w:sz w:val="20"/>
                <w:szCs w:val="20"/>
                <w:color w:val="auto"/>
              </w:rPr>
            </w:pPr>
            <w:r>
              <w:rPr>
                <w:rFonts w:ascii="Arial" w:cs="Arial" w:eastAsia="Arial" w:hAnsi="Arial"/>
                <w:sz w:val="13"/>
                <w:szCs w:val="13"/>
                <w:color w:val="auto"/>
              </w:rPr>
              <w:t>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ind w:right="355"/>
              <w:spacing w:after="0"/>
              <w:rPr>
                <w:sz w:val="20"/>
                <w:szCs w:val="20"/>
                <w:color w:val="auto"/>
              </w:rPr>
            </w:pPr>
            <w:r>
              <w:rPr>
                <w:rFonts w:ascii="Arial" w:cs="Arial" w:eastAsia="Arial" w:hAnsi="Arial"/>
                <w:sz w:val="13"/>
                <w:szCs w:val="13"/>
                <w:color w:val="auto"/>
              </w:rPr>
              <w:t>5,531</w:t>
            </w:r>
          </w:p>
        </w:tc>
        <w:tc>
          <w:tcPr>
            <w:tcW w:w="340" w:type="dxa"/>
            <w:vAlign w:val="bottom"/>
          </w:tcPr>
          <w:p>
            <w:pPr>
              <w:jc w:val="right"/>
              <w:spacing w:after="0"/>
              <w:rPr>
                <w:sz w:val="20"/>
                <w:szCs w:val="20"/>
                <w:color w:val="auto"/>
              </w:rPr>
            </w:pPr>
            <w:r>
              <w:rPr>
                <w:rFonts w:ascii="Arial" w:cs="Arial" w:eastAsia="Arial" w:hAnsi="Arial"/>
                <w:sz w:val="13"/>
                <w:szCs w:val="13"/>
                <w:color w:val="auto"/>
              </w:rPr>
              <w:t>9</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3,801</w:t>
            </w: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Arial" w:cs="Arial" w:eastAsia="Arial" w:hAnsi="Arial"/>
                <w:sz w:val="13"/>
                <w:szCs w:val="13"/>
                <w:color w:val="auto"/>
              </w:rPr>
              <w:t>22,286</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Arial" w:cs="Arial" w:eastAsia="Arial" w:hAnsi="Arial"/>
                <w:sz w:val="13"/>
                <w:szCs w:val="13"/>
                <w:color w:val="auto"/>
              </w:rPr>
              <w:t>20,373</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Arial" w:cs="Arial" w:eastAsia="Arial" w:hAnsi="Arial"/>
                <w:sz w:val="13"/>
                <w:szCs w:val="13"/>
                <w:color w:val="auto"/>
              </w:rPr>
              <w:t>64,922</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51,243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360"/>
          </w:cols>
          <w:pgMar w:left="300" w:top="1119" w:right="2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Comparison of the Three Months Ended September 30, 2021 and September 30, 2020</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Revenue, Cost of Goods Sold, Gross Profit, and Gross Margin</w:t>
      </w:r>
      <w:r>
        <w:rPr>
          <w:rFonts w:ascii="Arial" w:cs="Arial" w:eastAsia="Arial" w:hAnsi="Arial"/>
          <w:sz w:val="13"/>
          <w:szCs w:val="13"/>
          <w:color w:val="auto"/>
        </w:rPr>
        <w:t>:</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4300" w:type="dxa"/>
            <w:vAlign w:val="bottom"/>
          </w:tcPr>
          <w:p>
            <w:pPr>
              <w:spacing w:after="0"/>
              <w:rPr>
                <w:sz w:val="13"/>
                <w:szCs w:val="13"/>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Change</w:t>
            </w:r>
          </w:p>
        </w:tc>
        <w:tc>
          <w:tcPr>
            <w:tcW w:w="4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ind w:left="54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52"/>
        </w:trPr>
        <w:tc>
          <w:tcPr>
            <w:tcW w:w="4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4"/>
          </w:tcPr>
          <w:p>
            <w:pPr>
              <w:jc w:val="right"/>
              <w:ind w:right="135"/>
              <w:spacing w:after="0"/>
              <w:rPr>
                <w:sz w:val="20"/>
                <w:szCs w:val="20"/>
                <w:color w:val="auto"/>
              </w:rPr>
            </w:pPr>
            <w:r>
              <w:rPr>
                <w:rFonts w:ascii="Arial" w:cs="Arial" w:eastAsia="Arial" w:hAnsi="Arial"/>
                <w:sz w:val="12"/>
                <w:szCs w:val="12"/>
                <w:b w:val="1"/>
                <w:bCs w:val="1"/>
                <w:color w:val="auto"/>
              </w:rPr>
              <w:t>(in thousands, except for percentages)</w:t>
            </w: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22,286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20,373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1,913</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5"/>
              </w:rPr>
              <w:t>9%</w:t>
            </w:r>
          </w:p>
        </w:tc>
        <w:tc>
          <w:tcPr>
            <w:tcW w:w="0" w:type="dxa"/>
            <w:vAlign w:val="bottom"/>
          </w:tcPr>
          <w:p>
            <w:pPr>
              <w:spacing w:after="0"/>
              <w:rPr>
                <w:sz w:val="1"/>
                <w:szCs w:val="1"/>
                <w:color w:val="auto"/>
              </w:rPr>
            </w:pPr>
          </w:p>
        </w:tc>
      </w:tr>
      <w:tr>
        <w:trPr>
          <w:trHeight w:val="172"/>
        </w:trPr>
        <w:tc>
          <w:tcPr>
            <w:tcW w:w="43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Cost of goods sold</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2,478</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2,578</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CCEEFF"/>
            </w:tcBorders>
          </w:tcPr>
          <w:p>
            <w:pPr>
              <w:jc w:val="center"/>
              <w:ind w:left="14"/>
              <w:spacing w:after="0"/>
              <w:rPr>
                <w:sz w:val="20"/>
                <w:szCs w:val="20"/>
                <w:color w:val="auto"/>
              </w:rPr>
            </w:pPr>
            <w:r>
              <w:rPr>
                <w:rFonts w:ascii="Arial" w:cs="Arial" w:eastAsia="Arial" w:hAnsi="Arial"/>
                <w:sz w:val="13"/>
                <w:szCs w:val="13"/>
                <w:color w:val="auto"/>
                <w:w w:val="94"/>
              </w:rPr>
              <w:t>(4)%</w:t>
            </w:r>
          </w:p>
        </w:tc>
        <w:tc>
          <w:tcPr>
            <w:tcW w:w="0" w:type="dxa"/>
            <w:vAlign w:val="bottom"/>
          </w:tcPr>
          <w:p>
            <w:pPr>
              <w:spacing w:after="0"/>
              <w:rPr>
                <w:sz w:val="1"/>
                <w:szCs w:val="1"/>
                <w:color w:val="auto"/>
              </w:rPr>
            </w:pPr>
          </w:p>
        </w:tc>
      </w:tr>
      <w:tr>
        <w:trPr>
          <w:trHeight w:val="187"/>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Gross profit</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19,808</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17,795</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2,013</w:t>
            </w:r>
          </w:p>
        </w:tc>
        <w:tc>
          <w:tcPr>
            <w:tcW w:w="154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3"/>
                <w:szCs w:val="13"/>
                <w:color w:val="auto"/>
                <w:w w:val="92"/>
              </w:rPr>
              <w:t>11%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Gross margin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3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3"/>
                <w:szCs w:val="13"/>
                <w:color w:val="auto"/>
              </w:rPr>
              <w:t>89 %</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87 %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The increase in revenue for the three months ended September 30, 2021 as compared to the three months ended September 30, 2020 comprised a $1.5 million increase in our U.S. revenue and</w:t>
      </w:r>
      <w:r>
        <w:rPr>
          <w:rFonts w:ascii="Arial" w:cs="Arial" w:eastAsia="Arial" w:hAnsi="Arial"/>
          <w:sz w:val="12"/>
          <w:szCs w:val="12"/>
          <w:i w:val="1"/>
          <w:iCs w:val="1"/>
          <w:color w:val="auto"/>
        </w:rPr>
        <w:t xml:space="preserve"> </w:t>
      </w:r>
      <w:r>
        <w:rPr>
          <w:rFonts w:ascii="Arial" w:cs="Arial" w:eastAsia="Arial" w:hAnsi="Arial"/>
          <w:sz w:val="12"/>
          <w:szCs w:val="12"/>
          <w:color w:val="auto"/>
        </w:rPr>
        <w:t>an increase of $0.4 million in our international revenue. The increase in revenue is due to the increase in domestic and international case volumes and increased active surgeons, partially offset by lower</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average selling prices in the U.S. We believe that revenues for the three months ended September 30, 2021 were impacted by the resurgence in the pandemic due to the Delta variant based upon recorded case deferrals, which impacted case volumes in August 2021 and September 2021. Conversely, we believe that revenue for the three months ended September 30, 2020 may have benefited from rescheduled case procedures from prior period deferrals due to COVID-19.</w:t>
      </w:r>
    </w:p>
    <w:p>
      <w:pPr>
        <w:spacing w:after="0" w:line="159" w:lineRule="exact"/>
        <w:rPr>
          <w:sz w:val="20"/>
          <w:szCs w:val="20"/>
          <w:color w:val="auto"/>
        </w:rPr>
      </w:pPr>
    </w:p>
    <w:p>
      <w:pPr>
        <w:jc w:val="both"/>
        <w:ind w:firstLine="364"/>
        <w:spacing w:after="0" w:line="341" w:lineRule="auto"/>
        <w:rPr>
          <w:sz w:val="20"/>
          <w:szCs w:val="20"/>
          <w:color w:val="auto"/>
        </w:rPr>
      </w:pPr>
      <w:r>
        <w:rPr>
          <w:rFonts w:ascii="Arial" w:cs="Arial" w:eastAsia="Arial" w:hAnsi="Arial"/>
          <w:sz w:val="12"/>
          <w:szCs w:val="12"/>
          <w:i w:val="1"/>
          <w:iCs w:val="1"/>
          <w:color w:val="auto"/>
        </w:rPr>
        <w:t xml:space="preserve">Gross Profit and Gross Margin. </w:t>
      </w:r>
      <w:r>
        <w:rPr>
          <w:rFonts w:ascii="Arial" w:cs="Arial" w:eastAsia="Arial" w:hAnsi="Arial"/>
          <w:sz w:val="12"/>
          <w:szCs w:val="12"/>
          <w:color w:val="auto"/>
        </w:rPr>
        <w:t>Gross profit increased $2.0 million for the three months ended September 30, 2021 as compared to the three months ended September 30, 2020, mainly driven by higher</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The gross margin increased to 89% for the three months ended September 30, 2021 as compared to 87% for the three months ended September 30, 2020 primarily due to lower inventory write-downs.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Operating Expenses</w:t>
      </w:r>
      <w:r>
        <w:rPr>
          <w:rFonts w:ascii="Arial" w:cs="Arial" w:eastAsia="Arial" w:hAnsi="Arial"/>
          <w:sz w:val="13"/>
          <w:szCs w:val="13"/>
          <w:color w:val="auto"/>
        </w:rPr>
        <w:t>:</w:t>
      </w:r>
    </w:p>
    <w:p>
      <w:pPr>
        <w:spacing w:after="0" w:line="43"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3060" w:type="dxa"/>
            <w:vAlign w:val="bottom"/>
            <w:gridSpan w:val="6"/>
          </w:tcPr>
          <w:p>
            <w:pPr>
              <w:ind w:left="540"/>
              <w:spacing w:after="0"/>
              <w:rPr>
                <w:sz w:val="20"/>
                <w:szCs w:val="20"/>
                <w:color w:val="auto"/>
              </w:rPr>
            </w:pPr>
            <w:r>
              <w:rPr>
                <w:rFonts w:ascii="Arial" w:cs="Arial" w:eastAsia="Arial" w:hAnsi="Arial"/>
                <w:sz w:val="12"/>
                <w:szCs w:val="12"/>
                <w:b w:val="1"/>
                <w:bCs w:val="1"/>
                <w:color w:val="auto"/>
              </w:rPr>
              <w:t>Three Months Ended September 30,</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5"/>
        </w:trPr>
        <w:tc>
          <w:tcPr>
            <w:tcW w:w="436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 Change</w:t>
            </w:r>
          </w:p>
        </w:tc>
        <w:tc>
          <w:tcPr>
            <w:tcW w:w="1660" w:type="dxa"/>
            <w:vAlign w:val="bottom"/>
            <w:tcBorders>
              <w:bottom w:val="single" w:sz="8" w:color="auto"/>
            </w:tcBorders>
          </w:tcPr>
          <w:p>
            <w:pPr>
              <w:jc w:val="right"/>
              <w:ind w:right="454"/>
              <w:spacing w:after="0"/>
              <w:rPr>
                <w:sz w:val="20"/>
                <w:szCs w:val="20"/>
                <w:color w:val="auto"/>
              </w:rPr>
            </w:pPr>
            <w:r>
              <w:rPr>
                <w:rFonts w:ascii="Arial" w:cs="Arial" w:eastAsia="Arial" w:hAnsi="Arial"/>
                <w:sz w:val="12"/>
                <w:szCs w:val="12"/>
                <w:b w:val="1"/>
                <w:bCs w:val="1"/>
                <w:color w:val="auto"/>
              </w:rPr>
              <w:t>% Change</w:t>
            </w:r>
          </w:p>
        </w:tc>
      </w:tr>
      <w:tr>
        <w:trPr>
          <w:trHeight w:val="152"/>
        </w:trPr>
        <w:tc>
          <w:tcPr>
            <w:tcW w:w="4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center"/>
              <w:ind w:right="114"/>
              <w:spacing w:after="0"/>
              <w:rPr>
                <w:sz w:val="20"/>
                <w:szCs w:val="20"/>
                <w:color w:val="auto"/>
              </w:rPr>
            </w:pPr>
            <w:r>
              <w:rPr>
                <w:rFonts w:ascii="Arial" w:cs="Arial" w:eastAsia="Arial" w:hAnsi="Arial"/>
                <w:sz w:val="12"/>
                <w:szCs w:val="12"/>
                <w:b w:val="1"/>
                <w:bCs w:val="1"/>
                <w:color w:val="auto"/>
                <w:w w:val="87"/>
              </w:rPr>
              <w:t>(in thousands, except for percentages)</w:t>
            </w:r>
          </w:p>
        </w:tc>
        <w:tc>
          <w:tcPr>
            <w:tcW w:w="1660" w:type="dxa"/>
            <w:vAlign w:val="bottom"/>
          </w:tcPr>
          <w:p>
            <w:pPr>
              <w:spacing w:after="0"/>
              <w:rPr>
                <w:sz w:val="13"/>
                <w:szCs w:val="13"/>
                <w:color w:val="auto"/>
              </w:rPr>
            </w:pPr>
          </w:p>
        </w:tc>
      </w:tr>
      <w:tr>
        <w:trPr>
          <w:trHeight w:val="174"/>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Sales and marketing</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18,772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center"/>
              <w:ind w:right="13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4,753</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25 %</w:t>
            </w:r>
          </w:p>
        </w:tc>
      </w:tr>
      <w:tr>
        <w:trPr>
          <w:trHeight w:val="172"/>
        </w:trPr>
        <w:tc>
          <w:tcPr>
            <w:tcW w:w="4360" w:type="dxa"/>
            <w:vAlign w:val="bottom"/>
          </w:tcPr>
          <w:p>
            <w:pPr>
              <w:ind w:left="4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3,288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510</w:t>
            </w:r>
          </w:p>
        </w:tc>
        <w:tc>
          <w:tcPr>
            <w:tcW w:w="1660" w:type="dxa"/>
            <w:vAlign w:val="bottom"/>
          </w:tcPr>
          <w:p>
            <w:pPr>
              <w:jc w:val="right"/>
              <w:spacing w:after="0"/>
              <w:rPr>
                <w:sz w:val="20"/>
                <w:szCs w:val="20"/>
                <w:color w:val="auto"/>
              </w:rPr>
            </w:pPr>
            <w:r>
              <w:rPr>
                <w:rFonts w:ascii="Arial" w:cs="Arial" w:eastAsia="Arial" w:hAnsi="Arial"/>
                <w:sz w:val="13"/>
                <w:szCs w:val="13"/>
                <w:color w:val="auto"/>
              </w:rPr>
              <w:t>18 %</w:t>
            </w:r>
          </w:p>
        </w:tc>
      </w:tr>
      <w:tr>
        <w:trPr>
          <w:trHeight w:val="172"/>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General and administrative</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1,274</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r>
      <w:tr>
        <w:trPr>
          <w:trHeight w:val="162"/>
        </w:trPr>
        <w:tc>
          <w:tcPr>
            <w:tcW w:w="4360" w:type="dxa"/>
            <w:vAlign w:val="bottom"/>
          </w:tcPr>
          <w:p>
            <w:pPr>
              <w:ind w:left="40"/>
              <w:spacing w:after="0"/>
              <w:rPr>
                <w:sz w:val="20"/>
                <w:szCs w:val="20"/>
                <w:color w:val="auto"/>
              </w:rPr>
            </w:pPr>
            <w:r>
              <w:rPr>
                <w:rFonts w:ascii="Arial" w:cs="Arial" w:eastAsia="Arial" w:hAnsi="Arial"/>
                <w:sz w:val="13"/>
                <w:szCs w:val="13"/>
                <w:color w:val="auto"/>
              </w:rPr>
              <w:t>Total operating expenses</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33,007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26,470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6,537</w:t>
            </w:r>
          </w:p>
        </w:tc>
        <w:tc>
          <w:tcPr>
            <w:tcW w:w="1660" w:type="dxa"/>
            <w:vAlign w:val="bottom"/>
          </w:tcPr>
          <w:p>
            <w:pPr>
              <w:jc w:val="right"/>
              <w:spacing w:after="0"/>
              <w:rPr>
                <w:sz w:val="20"/>
                <w:szCs w:val="20"/>
                <w:color w:val="auto"/>
              </w:rPr>
            </w:pPr>
            <w:r>
              <w:rPr>
                <w:rFonts w:ascii="Arial" w:cs="Arial" w:eastAsia="Arial" w:hAnsi="Arial"/>
                <w:sz w:val="13"/>
                <w:szCs w:val="13"/>
                <w:color w:val="auto"/>
              </w:rPr>
              <w:t>25 %</w:t>
            </w:r>
          </w:p>
        </w:tc>
      </w:tr>
      <w:tr>
        <w:trPr>
          <w:trHeight w:val="20"/>
        </w:trPr>
        <w:tc>
          <w:tcPr>
            <w:tcW w:w="4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334"/>
        <w:spacing w:after="0" w:line="272" w:lineRule="auto"/>
        <w:rPr>
          <w:sz w:val="20"/>
          <w:szCs w:val="20"/>
          <w:color w:val="auto"/>
        </w:rPr>
      </w:pPr>
      <w:r>
        <w:rPr>
          <w:rFonts w:ascii="Arial" w:cs="Arial" w:eastAsia="Arial" w:hAnsi="Arial"/>
          <w:sz w:val="13"/>
          <w:szCs w:val="13"/>
          <w:i w:val="1"/>
          <w:iCs w:val="1"/>
          <w:color w:val="auto"/>
        </w:rPr>
        <w:t xml:space="preserve">Sales and Marketing Expenses. </w:t>
      </w:r>
      <w:r>
        <w:rPr>
          <w:rFonts w:ascii="Arial" w:cs="Arial" w:eastAsia="Arial" w:hAnsi="Arial"/>
          <w:sz w:val="13"/>
          <w:szCs w:val="13"/>
          <w:color w:val="auto"/>
        </w:rPr>
        <w:t>The increase in sales and marketing expenses for the three months ended September 30, 2021 as compared to the three months ended September 30, 2020 was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due to increases in employee related costs, commissions and stock-based compensation of $2.0 million driven by increased headcount and higher revenues, higher consulting fees of $0.5 million associated with more surgeon training programs and surgeon consulting fees. As COVID-19 pandemic restrictions eased, we also experienced higher levels of travel, marketing, training activities, facilities and other related costs resulting in an increase of $2.2 million.</w:t>
      </w:r>
    </w:p>
    <w:p>
      <w:pPr>
        <w:spacing w:after="0" w:line="132"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3"/>
          <w:szCs w:val="13"/>
          <w:i w:val="1"/>
          <w:iCs w:val="1"/>
          <w:color w:val="auto"/>
        </w:rPr>
        <w:t xml:space="preserve">Research and Development Expenses. </w:t>
      </w:r>
      <w:r>
        <w:rPr>
          <w:rFonts w:ascii="Arial" w:cs="Arial" w:eastAsia="Arial" w:hAnsi="Arial"/>
          <w:sz w:val="13"/>
          <w:szCs w:val="13"/>
          <w:color w:val="auto"/>
        </w:rPr>
        <w:t>The increase in research and development expenses for the three months ended September 30, 2021 compared to the three months ended September 30, 2020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an increase of $0.3 million in employee related costs and stock-based compensation driven by increased headcount and an increase of $0.2 million due to clinical study and research and development activities.</w:t>
      </w:r>
    </w:p>
    <w:p>
      <w:pPr>
        <w:spacing w:after="0" w:line="128"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3"/>
          <w:szCs w:val="13"/>
          <w:i w:val="1"/>
          <w:iCs w:val="1"/>
          <w:color w:val="auto"/>
        </w:rPr>
        <w:t>General and Administrative Expenses</w:t>
      </w:r>
      <w:r>
        <w:rPr>
          <w:rFonts w:ascii="Arial" w:cs="Arial" w:eastAsia="Arial" w:hAnsi="Arial"/>
          <w:sz w:val="13"/>
          <w:szCs w:val="13"/>
          <w:color w:val="auto"/>
        </w:rPr>
        <w:t>. The increase in general and administrative expenses for the three months ended September 30, 2021 compared to the three months ended September 30, 2020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an increase of $0.8 million in employee related costs and stock-based compensation driven by increased headcount, and an increase of $0.7 million in consulting, accounting and audit fees associated with SOX compliance requirements, partially offset by a decrease of $0.2 million related to the allocation of facilities and other related costs.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017" w:right="319" w:bottom="1440" w:gutter="0" w:footer="0" w:header="0"/>
        </w:sectPr>
      </w:pPr>
    </w:p>
    <w:bookmarkStart w:id="28" w:name="page29"/>
    <w:bookmarkEnd w:id="28"/>
    <w:p>
      <w:pPr>
        <w:ind w:left="340"/>
        <w:spacing w:after="0"/>
        <w:rPr>
          <w:sz w:val="20"/>
          <w:szCs w:val="20"/>
          <w:color w:val="auto"/>
        </w:rPr>
      </w:pPr>
      <w:r>
        <w:rPr>
          <w:rFonts w:ascii="Arial" w:cs="Arial" w:eastAsia="Arial" w:hAnsi="Arial"/>
          <w:sz w:val="13"/>
          <w:szCs w:val="13"/>
          <w:b w:val="1"/>
          <w:bCs w:val="1"/>
          <w:i w:val="1"/>
          <w:iCs w:val="1"/>
          <w:color w:val="auto"/>
        </w:rPr>
        <w:t>Interest and Other Income (Expense), Net</w:t>
      </w:r>
      <w:r>
        <w:rPr>
          <w:rFonts w:ascii="Arial" w:cs="Arial" w:eastAsia="Arial" w:hAnsi="Arial"/>
          <w:sz w:val="13"/>
          <w:szCs w:val="13"/>
          <w:color w:val="auto"/>
        </w:rPr>
        <w:t>:</w:t>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464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2020</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w w:val="84"/>
              </w:rPr>
              <w:t>Change</w:t>
            </w:r>
          </w:p>
        </w:tc>
        <w:tc>
          <w:tcPr>
            <w:tcW w:w="164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 Change</w:t>
            </w:r>
          </w:p>
        </w:tc>
      </w:tr>
      <w:tr>
        <w:trPr>
          <w:trHeight w:val="150"/>
        </w:trPr>
        <w:tc>
          <w:tcPr>
            <w:tcW w:w="4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5"/>
          </w:tcPr>
          <w:p>
            <w:pPr>
              <w:jc w:val="right"/>
              <w:ind w:right="415"/>
              <w:spacing w:after="0"/>
              <w:rPr>
                <w:sz w:val="20"/>
                <w:szCs w:val="20"/>
                <w:color w:val="auto"/>
              </w:rPr>
            </w:pPr>
            <w:r>
              <w:rPr>
                <w:rFonts w:ascii="Arial" w:cs="Arial" w:eastAsia="Arial" w:hAnsi="Arial"/>
                <w:sz w:val="12"/>
                <w:szCs w:val="12"/>
                <w:b w:val="1"/>
                <w:bCs w:val="1"/>
                <w:color w:val="auto"/>
              </w:rPr>
              <w:t>(in thousands, except for percentages)</w:t>
            </w:r>
          </w:p>
        </w:tc>
        <w:tc>
          <w:tcPr>
            <w:tcW w:w="1640" w:type="dxa"/>
            <w:vAlign w:val="bottom"/>
          </w:tcPr>
          <w:p>
            <w:pPr>
              <w:spacing w:after="0"/>
              <w:rPr>
                <w:sz w:val="13"/>
                <w:szCs w:val="13"/>
                <w:color w:val="auto"/>
              </w:rPr>
            </w:pPr>
          </w:p>
        </w:tc>
      </w:tr>
      <w:tr>
        <w:trPr>
          <w:trHeight w:val="174"/>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income</w:t>
            </w:r>
          </w:p>
        </w:tc>
        <w:tc>
          <w:tcPr>
            <w:tcW w:w="980" w:type="dxa"/>
            <w:vAlign w:val="bottom"/>
            <w:shd w:val="clear" w:color="auto" w:fill="CCEEFF"/>
          </w:tcPr>
          <w:p>
            <w:pPr>
              <w:jc w:val="right"/>
              <w:ind w:right="835"/>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r>
      <w:tr>
        <w:trPr>
          <w:trHeight w:val="172"/>
        </w:trPr>
        <w:tc>
          <w:tcPr>
            <w:tcW w:w="4640" w:type="dxa"/>
            <w:vAlign w:val="bottom"/>
          </w:tcPr>
          <w:p>
            <w:pPr>
              <w:ind w:left="40"/>
              <w:spacing w:after="0"/>
              <w:rPr>
                <w:sz w:val="20"/>
                <w:szCs w:val="20"/>
                <w:color w:val="auto"/>
              </w:rPr>
            </w:pPr>
            <w:r>
              <w:rPr>
                <w:rFonts w:ascii="Arial" w:cs="Arial" w:eastAsia="Arial" w:hAnsi="Arial"/>
                <w:sz w:val="13"/>
                <w:szCs w:val="13"/>
                <w:color w:val="auto"/>
              </w:rPr>
              <w:t>Interest expense</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(2,658)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(1,102)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(1,556)</w:t>
            </w:r>
          </w:p>
        </w:tc>
        <w:tc>
          <w:tcPr>
            <w:tcW w:w="1640" w:type="dxa"/>
            <w:vAlign w:val="bottom"/>
          </w:tcPr>
          <w:p>
            <w:pPr>
              <w:jc w:val="right"/>
              <w:spacing w:after="0"/>
              <w:rPr>
                <w:sz w:val="20"/>
                <w:szCs w:val="20"/>
                <w:color w:val="auto"/>
              </w:rPr>
            </w:pPr>
            <w:r>
              <w:rPr>
                <w:rFonts w:ascii="Arial" w:cs="Arial" w:eastAsia="Arial" w:hAnsi="Arial"/>
                <w:sz w:val="13"/>
                <w:szCs w:val="13"/>
                <w:color w:val="auto"/>
              </w:rPr>
              <w:t>141 %</w:t>
            </w:r>
          </w:p>
        </w:tc>
      </w:tr>
      <w:tr>
        <w:trPr>
          <w:trHeight w:val="172"/>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income (expense), net</w:t>
            </w:r>
          </w:p>
        </w:tc>
        <w:tc>
          <w:tcPr>
            <w:tcW w:w="9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r>
      <w:tr>
        <w:trPr>
          <w:trHeight w:val="162"/>
        </w:trPr>
        <w:tc>
          <w:tcPr>
            <w:tcW w:w="4640" w:type="dxa"/>
            <w:vAlign w:val="bottom"/>
          </w:tcPr>
          <w:p>
            <w:pPr>
              <w:ind w:left="40"/>
              <w:spacing w:after="0"/>
              <w:rPr>
                <w:sz w:val="20"/>
                <w:szCs w:val="20"/>
                <w:color w:val="auto"/>
              </w:rPr>
            </w:pPr>
            <w:r>
              <w:rPr>
                <w:rFonts w:ascii="Arial" w:cs="Arial" w:eastAsia="Arial" w:hAnsi="Arial"/>
                <w:sz w:val="13"/>
                <w:szCs w:val="13"/>
                <w:color w:val="auto"/>
              </w:rPr>
              <w:t>Total interest and other expense, net</w:t>
            </w:r>
          </w:p>
        </w:tc>
        <w:tc>
          <w:tcPr>
            <w:tcW w:w="980" w:type="dxa"/>
            <w:vAlign w:val="bottom"/>
            <w:tcBorders>
              <w:bottom w:val="single" w:sz="8" w:color="auto"/>
            </w:tcBorders>
          </w:tcPr>
          <w:p>
            <w:pPr>
              <w:jc w:val="right"/>
              <w:ind w:right="835"/>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(2,673)</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(799)</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(1,874)</w:t>
            </w:r>
          </w:p>
        </w:tc>
        <w:tc>
          <w:tcPr>
            <w:tcW w:w="1640" w:type="dxa"/>
            <w:vAlign w:val="bottom"/>
          </w:tcPr>
          <w:p>
            <w:pPr>
              <w:jc w:val="right"/>
              <w:spacing w:after="0"/>
              <w:rPr>
                <w:sz w:val="20"/>
                <w:szCs w:val="20"/>
                <w:color w:val="auto"/>
              </w:rPr>
            </w:pPr>
            <w:r>
              <w:rPr>
                <w:rFonts w:ascii="Arial" w:cs="Arial" w:eastAsia="Arial" w:hAnsi="Arial"/>
                <w:sz w:val="13"/>
                <w:szCs w:val="13"/>
                <w:color w:val="auto"/>
              </w:rPr>
              <w:t>235 %</w:t>
            </w:r>
          </w:p>
        </w:tc>
      </w:tr>
      <w:tr>
        <w:trPr>
          <w:trHeight w:val="20"/>
        </w:trPr>
        <w:tc>
          <w:tcPr>
            <w:tcW w:w="4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334"/>
        <w:spacing w:after="0" w:line="29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The decrease in interest income for the three months ended September 30, 2021 as compared to the three months ended September 30, 2020 was mainly due to lower interest earned on</w:t>
      </w:r>
      <w:r>
        <w:rPr>
          <w:rFonts w:ascii="Arial" w:cs="Arial" w:eastAsia="Arial" w:hAnsi="Arial"/>
          <w:sz w:val="13"/>
          <w:szCs w:val="13"/>
          <w:i w:val="1"/>
          <w:iCs w:val="1"/>
          <w:color w:val="auto"/>
        </w:rPr>
        <w:t xml:space="preserve"> </w:t>
      </w:r>
      <w:r>
        <w:rPr>
          <w:rFonts w:ascii="Arial" w:cs="Arial" w:eastAsia="Arial" w:hAnsi="Arial"/>
          <w:sz w:val="13"/>
          <w:szCs w:val="13"/>
          <w:color w:val="auto"/>
        </w:rPr>
        <w:t>our investments in marketable securities, primarily as a result of lower interest rates.</w:t>
      </w:r>
    </w:p>
    <w:p>
      <w:pPr>
        <w:spacing w:after="0" w:line="117" w:lineRule="exact"/>
        <w:rPr>
          <w:sz w:val="20"/>
          <w:szCs w:val="20"/>
          <w:color w:val="auto"/>
        </w:rPr>
      </w:pPr>
    </w:p>
    <w:p>
      <w:pPr>
        <w:jc w:val="both"/>
        <w:ind w:firstLine="334"/>
        <w:spacing w:after="0" w:line="296" w:lineRule="auto"/>
        <w:rPr>
          <w:sz w:val="20"/>
          <w:szCs w:val="20"/>
          <w:color w:val="auto"/>
        </w:rPr>
      </w:pPr>
      <w:r>
        <w:rPr>
          <w:rFonts w:ascii="Arial" w:cs="Arial" w:eastAsia="Arial" w:hAnsi="Arial"/>
          <w:sz w:val="13"/>
          <w:szCs w:val="13"/>
          <w:i w:val="1"/>
          <w:iCs w:val="1"/>
          <w:color w:val="auto"/>
        </w:rPr>
        <w:t>Interest Expense</w:t>
      </w:r>
      <w:r>
        <w:rPr>
          <w:rFonts w:ascii="Arial" w:cs="Arial" w:eastAsia="Arial" w:hAnsi="Arial"/>
          <w:sz w:val="13"/>
          <w:szCs w:val="13"/>
          <w:color w:val="auto"/>
        </w:rPr>
        <w:t>. The increase in interest expense for the three months ended September 30, 2021 as compared to the three months ended September 30, 2020 was primarily due to the loss on</w:t>
      </w:r>
      <w:r>
        <w:rPr>
          <w:rFonts w:ascii="Arial" w:cs="Arial" w:eastAsia="Arial" w:hAnsi="Arial"/>
          <w:sz w:val="13"/>
          <w:szCs w:val="13"/>
          <w:i w:val="1"/>
          <w:iCs w:val="1"/>
          <w:color w:val="auto"/>
        </w:rPr>
        <w:t xml:space="preserve"> </w:t>
      </w:r>
      <w:r>
        <w:rPr>
          <w:rFonts w:ascii="Arial" w:cs="Arial" w:eastAsia="Arial" w:hAnsi="Arial"/>
          <w:sz w:val="13"/>
          <w:szCs w:val="13"/>
          <w:color w:val="auto"/>
        </w:rPr>
        <w:t>extinguishment of the Solar Term Loan of $1.8 million in the current period, partly offset by lower interest associated with the SVB Term Loan compared to the Solar Term Loan.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 xml:space="preserve">Other Income (Expense), Net. </w:t>
      </w:r>
      <w:r>
        <w:rPr>
          <w:rFonts w:ascii="Arial" w:cs="Arial" w:eastAsia="Arial" w:hAnsi="Arial"/>
          <w:sz w:val="12"/>
          <w:szCs w:val="12"/>
          <w:color w:val="auto"/>
        </w:rPr>
        <w:t>Other income, net decreased for the three months ended September 30, 2021 compared to the three months ended September 30, 2020 due to foreign currency fluctuations.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Comparison of the Nine Months Ended September 30, 2021 and September 30, 2020</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Revenue, Cost of Goods Sold, Gross Profit, and Gross Margin</w:t>
      </w:r>
      <w:r>
        <w:rPr>
          <w:rFonts w:ascii="Arial" w:cs="Arial" w:eastAsia="Arial" w:hAnsi="Arial"/>
          <w:sz w:val="13"/>
          <w:szCs w:val="13"/>
          <w:color w:val="auto"/>
        </w:rPr>
        <w:t>:</w:t>
      </w:r>
    </w:p>
    <w:p>
      <w:pPr>
        <w:spacing w:after="0" w:line="43"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2460" w:type="dxa"/>
            <w:vAlign w:val="bottom"/>
          </w:tcPr>
          <w:p>
            <w:pPr>
              <w:spacing w:after="0"/>
              <w:rPr>
                <w:sz w:val="13"/>
                <w:szCs w:val="13"/>
                <w:color w:val="auto"/>
              </w:rPr>
            </w:pPr>
          </w:p>
        </w:tc>
        <w:tc>
          <w:tcPr>
            <w:tcW w:w="1920" w:type="dxa"/>
            <w:vAlign w:val="bottom"/>
            <w:gridSpan w:val="7"/>
          </w:tcPr>
          <w:p>
            <w:pPr>
              <w:ind w:left="40"/>
              <w:spacing w:after="0"/>
              <w:rPr>
                <w:sz w:val="20"/>
                <w:szCs w:val="20"/>
                <w:color w:val="auto"/>
              </w:rPr>
            </w:pPr>
            <w:r>
              <w:rPr>
                <w:rFonts w:ascii="Arial" w:cs="Arial" w:eastAsia="Arial" w:hAnsi="Arial"/>
                <w:sz w:val="12"/>
                <w:szCs w:val="12"/>
                <w:b w:val="1"/>
                <w:bCs w:val="1"/>
                <w:color w:val="auto"/>
                <w:w w:val="94"/>
              </w:rPr>
              <w:t>Nine Months Ended September 30,</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 Change</w:t>
            </w: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2"/>
                <w:szCs w:val="12"/>
                <w:b w:val="1"/>
                <w:bCs w:val="1"/>
                <w:color w:val="auto"/>
                <w:w w:val="99"/>
              </w:rPr>
              <w:t>% Change</w:t>
            </w: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00" w:type="dxa"/>
            <w:vAlign w:val="bottom"/>
            <w:gridSpan w:val="8"/>
          </w:tcPr>
          <w:p>
            <w:pPr>
              <w:ind w:left="60"/>
              <w:spacing w:after="0"/>
              <w:rPr>
                <w:sz w:val="20"/>
                <w:szCs w:val="20"/>
                <w:color w:val="auto"/>
              </w:rPr>
            </w:pPr>
            <w:r>
              <w:rPr>
                <w:rFonts w:ascii="Arial" w:cs="Arial" w:eastAsia="Arial" w:hAnsi="Arial"/>
                <w:sz w:val="12"/>
                <w:szCs w:val="12"/>
                <w:b w:val="1"/>
                <w:bCs w:val="1"/>
                <w:color w:val="auto"/>
                <w:w w:val="91"/>
              </w:rPr>
              <w:t>(in thousands, except for percentages)</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64,922</w:t>
            </w:r>
          </w:p>
        </w:tc>
        <w:tc>
          <w:tcPr>
            <w:tcW w:w="380" w:type="dxa"/>
            <w:vAlign w:val="bottom"/>
            <w:gridSpan w:val="3"/>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51,243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13,679</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27 %</w:t>
            </w:r>
          </w:p>
        </w:tc>
        <w:tc>
          <w:tcPr>
            <w:tcW w:w="0" w:type="dxa"/>
            <w:vAlign w:val="bottom"/>
          </w:tcPr>
          <w:p>
            <w:pPr>
              <w:spacing w:after="0"/>
              <w:rPr>
                <w:sz w:val="1"/>
                <w:szCs w:val="1"/>
                <w:color w:val="auto"/>
              </w:rPr>
            </w:pPr>
          </w:p>
        </w:tc>
      </w:tr>
      <w:tr>
        <w:trPr>
          <w:trHeight w:val="172"/>
        </w:trPr>
        <w:tc>
          <w:tcPr>
            <w:tcW w:w="24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Cost of goods sold</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7,053</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6,627</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187"/>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Gross profit</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57,869</w:t>
            </w: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44,616</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13,253</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Gross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89 %</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87 %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both"/>
        <w:ind w:firstLine="364"/>
        <w:spacing w:after="0" w:line="267" w:lineRule="auto"/>
        <w:rPr>
          <w:sz w:val="20"/>
          <w:szCs w:val="20"/>
          <w:color w:val="auto"/>
        </w:rPr>
      </w:pPr>
      <w:r>
        <w:rPr>
          <w:rFonts w:ascii="Arial" w:cs="Arial" w:eastAsia="Arial" w:hAnsi="Arial"/>
          <w:sz w:val="13"/>
          <w:szCs w:val="13"/>
          <w:i w:val="1"/>
          <w:iCs w:val="1"/>
          <w:color w:val="auto"/>
        </w:rPr>
        <w:t xml:space="preserve">Revenue. </w:t>
      </w:r>
      <w:r>
        <w:rPr>
          <w:rFonts w:ascii="Arial" w:cs="Arial" w:eastAsia="Arial" w:hAnsi="Arial"/>
          <w:sz w:val="13"/>
          <w:szCs w:val="13"/>
          <w:color w:val="auto"/>
        </w:rPr>
        <w:t>The increase in revenue for the nine months ended September 30, 2021 as compared to the nine months ended September 30, 2020 comprised an $11.9 million increase in our U.S. revenue and</w:t>
      </w:r>
      <w:r>
        <w:rPr>
          <w:rFonts w:ascii="Arial" w:cs="Arial" w:eastAsia="Arial" w:hAnsi="Arial"/>
          <w:sz w:val="13"/>
          <w:szCs w:val="13"/>
          <w:i w:val="1"/>
          <w:iCs w:val="1"/>
          <w:color w:val="auto"/>
        </w:rPr>
        <w:t xml:space="preserve"> </w:t>
      </w:r>
      <w:r>
        <w:rPr>
          <w:rFonts w:ascii="Arial" w:cs="Arial" w:eastAsia="Arial" w:hAnsi="Arial"/>
          <w:sz w:val="13"/>
          <w:szCs w:val="13"/>
          <w:color w:val="auto"/>
        </w:rPr>
        <w:t>an increase of $1.7 million in our international revenue, mainly due to an increase in case volumes and the impact of the COVID-19 pandemic. In March and April 2020, we saw a substantial worldwide reduction in case volumes due to the deferral of elective surgeries, which we believe to a certain extent were rescheduled and completed in the third quarter of 2020. Although we saw cases cancelled in January and February 2021 due to COVID-19, March case volumes benefited from an increase in rescheduled cases from November 2020 to February 2021. Revenue for the third quarter of 2021 was impacted due to the resurgence in the pandemic due to the Delta variant. We attribute case growth to higher sales force productivity, higher numbers of sales personnel, and increased active surgeons due to improved U.S. reimbursement coverage.</w:t>
      </w:r>
    </w:p>
    <w:p>
      <w:pPr>
        <w:spacing w:after="0" w:line="156"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3"/>
          <w:szCs w:val="13"/>
          <w:i w:val="1"/>
          <w:iCs w:val="1"/>
          <w:color w:val="auto"/>
        </w:rPr>
        <w:t xml:space="preserve">Gross Profit and Gross Margin. </w:t>
      </w:r>
      <w:r>
        <w:rPr>
          <w:rFonts w:ascii="Arial" w:cs="Arial" w:eastAsia="Arial" w:hAnsi="Arial"/>
          <w:sz w:val="13"/>
          <w:szCs w:val="13"/>
          <w:color w:val="auto"/>
        </w:rPr>
        <w:t>Gross profit increased $13.3 million for the nine months ended September 30, 2021 as compared to the nine months ended September 30, 2020, mainly driven by higher</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The gross margin increased to 89% for the nine months ended September 30, 2021 as compared to 87% for the nine months ended September 30, 2020 primarily due to certain period costs charged directly to cost of operations of $0.2 million in the second quarter of 2020 as our operations were running at suboptimal capacity due to the COVID-19 pandemic, as well as lower inventory write-downs in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79" w:right="319" w:bottom="1440" w:gutter="0" w:footer="0" w:header="0"/>
        </w:sectPr>
      </w:pPr>
    </w:p>
    <w:bookmarkStart w:id="29" w:name="page30"/>
    <w:bookmarkEnd w:id="29"/>
    <w:p>
      <w:pPr>
        <w:ind w:left="340"/>
        <w:spacing w:after="0"/>
        <w:rPr>
          <w:sz w:val="20"/>
          <w:szCs w:val="20"/>
          <w:color w:val="auto"/>
        </w:rPr>
      </w:pPr>
      <w:r>
        <w:rPr>
          <w:rFonts w:ascii="Arial" w:cs="Arial" w:eastAsia="Arial" w:hAnsi="Arial"/>
          <w:sz w:val="13"/>
          <w:szCs w:val="13"/>
          <w:b w:val="1"/>
          <w:bCs w:val="1"/>
          <w:i w:val="1"/>
          <w:iCs w:val="1"/>
          <w:color w:val="auto"/>
        </w:rPr>
        <w:t>Operating Expenses</w:t>
      </w:r>
      <w:r>
        <w:rPr>
          <w:rFonts w:ascii="Arial" w:cs="Arial" w:eastAsia="Arial" w:hAnsi="Arial"/>
          <w:sz w:val="13"/>
          <w:szCs w:val="13"/>
          <w:color w:val="auto"/>
        </w:rPr>
        <w:t>:</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4200" w:type="dxa"/>
            <w:vAlign w:val="bottom"/>
          </w:tcPr>
          <w:p>
            <w:pPr>
              <w:spacing w:after="0"/>
              <w:rPr>
                <w:sz w:val="13"/>
                <w:szCs w:val="13"/>
                <w:color w:val="auto"/>
              </w:rPr>
            </w:pPr>
          </w:p>
        </w:tc>
        <w:tc>
          <w:tcPr>
            <w:tcW w:w="3060" w:type="dxa"/>
            <w:vAlign w:val="bottom"/>
            <w:gridSpan w:val="6"/>
          </w:tcPr>
          <w:p>
            <w:pPr>
              <w:ind w:left="580"/>
              <w:spacing w:after="0"/>
              <w:rPr>
                <w:sz w:val="20"/>
                <w:szCs w:val="20"/>
                <w:color w:val="auto"/>
              </w:rPr>
            </w:pPr>
            <w:r>
              <w:rPr>
                <w:rFonts w:ascii="Arial" w:cs="Arial" w:eastAsia="Arial" w:hAnsi="Arial"/>
                <w:sz w:val="12"/>
                <w:szCs w:val="12"/>
                <w:b w:val="1"/>
                <w:bCs w:val="1"/>
                <w:color w:val="auto"/>
              </w:rPr>
              <w:t>Nine Months Ended September 30,</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64"/>
        </w:trPr>
        <w:tc>
          <w:tcPr>
            <w:tcW w:w="420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 Change</w:t>
            </w:r>
          </w:p>
        </w:tc>
        <w:tc>
          <w:tcPr>
            <w:tcW w:w="164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b w:val="1"/>
                <w:bCs w:val="1"/>
                <w:color w:val="auto"/>
              </w:rPr>
              <w:t>% Change</w:t>
            </w:r>
          </w:p>
        </w:tc>
      </w:tr>
      <w:tr>
        <w:trPr>
          <w:trHeight w:val="152"/>
        </w:trPr>
        <w:tc>
          <w:tcPr>
            <w:tcW w:w="4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4"/>
          </w:tcPr>
          <w:p>
            <w:pPr>
              <w:jc w:val="center"/>
              <w:ind w:right="114"/>
              <w:spacing w:after="0"/>
              <w:rPr>
                <w:sz w:val="20"/>
                <w:szCs w:val="20"/>
                <w:color w:val="auto"/>
              </w:rPr>
            </w:pPr>
            <w:r>
              <w:rPr>
                <w:rFonts w:ascii="Arial" w:cs="Arial" w:eastAsia="Arial" w:hAnsi="Arial"/>
                <w:sz w:val="12"/>
                <w:szCs w:val="12"/>
                <w:b w:val="1"/>
                <w:bCs w:val="1"/>
                <w:color w:val="auto"/>
                <w:w w:val="88"/>
              </w:rPr>
              <w:t>(in thousands, except for percentages)</w:t>
            </w:r>
          </w:p>
        </w:tc>
        <w:tc>
          <w:tcPr>
            <w:tcW w:w="1640" w:type="dxa"/>
            <w:vAlign w:val="bottom"/>
          </w:tcPr>
          <w:p>
            <w:pPr>
              <w:spacing w:after="0"/>
              <w:rPr>
                <w:sz w:val="13"/>
                <w:szCs w:val="13"/>
                <w:color w:val="auto"/>
              </w:rPr>
            </w:pPr>
          </w:p>
        </w:tc>
      </w:tr>
      <w:tr>
        <w:trPr>
          <w:trHeight w:val="17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Sales and marketing</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67,531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53,808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center"/>
              <w:ind w:right="113"/>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13,723</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r>
      <w:tr>
        <w:trPr>
          <w:trHeight w:val="172"/>
        </w:trPr>
        <w:tc>
          <w:tcPr>
            <w:tcW w:w="4200" w:type="dxa"/>
            <w:vAlign w:val="bottom"/>
          </w:tcPr>
          <w:p>
            <w:pPr>
              <w:ind w:left="40"/>
              <w:spacing w:after="0"/>
              <w:rPr>
                <w:sz w:val="20"/>
                <w:szCs w:val="20"/>
                <w:color w:val="auto"/>
              </w:rPr>
            </w:pPr>
            <w:r>
              <w:rPr>
                <w:rFonts w:ascii="Arial" w:cs="Arial" w:eastAsia="Arial" w:hAnsi="Arial"/>
                <w:sz w:val="13"/>
                <w:szCs w:val="13"/>
                <w:color w:val="auto"/>
              </w:rPr>
              <w:t>Research and development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9,392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7,033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2,359</w:t>
            </w:r>
          </w:p>
        </w:tc>
        <w:tc>
          <w:tcPr>
            <w:tcW w:w="1640" w:type="dxa"/>
            <w:vAlign w:val="bottom"/>
          </w:tcPr>
          <w:p>
            <w:pPr>
              <w:jc w:val="right"/>
              <w:spacing w:after="0"/>
              <w:rPr>
                <w:sz w:val="20"/>
                <w:szCs w:val="20"/>
                <w:color w:val="auto"/>
              </w:rPr>
            </w:pPr>
            <w:r>
              <w:rPr>
                <w:rFonts w:ascii="Arial" w:cs="Arial" w:eastAsia="Arial" w:hAnsi="Arial"/>
                <w:sz w:val="13"/>
                <w:szCs w:val="13"/>
                <w:color w:val="auto"/>
              </w:rPr>
              <w:t>34 %</w:t>
            </w:r>
          </w:p>
        </w:tc>
      </w:tr>
      <w:tr>
        <w:trPr>
          <w:trHeight w:val="172"/>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General and administrative</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18,685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14,471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4,214</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29 %</w:t>
            </w:r>
          </w:p>
        </w:tc>
      </w:tr>
      <w:tr>
        <w:trPr>
          <w:trHeight w:val="162"/>
        </w:trPr>
        <w:tc>
          <w:tcPr>
            <w:tcW w:w="4200" w:type="dxa"/>
            <w:vAlign w:val="bottom"/>
          </w:tcPr>
          <w:p>
            <w:pPr>
              <w:ind w:left="40"/>
              <w:spacing w:after="0"/>
              <w:rPr>
                <w:sz w:val="20"/>
                <w:szCs w:val="20"/>
                <w:color w:val="auto"/>
              </w:rPr>
            </w:pPr>
            <w:r>
              <w:rPr>
                <w:rFonts w:ascii="Arial" w:cs="Arial" w:eastAsia="Arial" w:hAnsi="Arial"/>
                <w:sz w:val="13"/>
                <w:szCs w:val="13"/>
                <w:color w:val="auto"/>
              </w:rPr>
              <w:t>Total operating expenses</w:t>
            </w:r>
          </w:p>
        </w:tc>
        <w:tc>
          <w:tcPr>
            <w:tcW w:w="94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95,608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75,312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20,296</w:t>
            </w:r>
          </w:p>
        </w:tc>
        <w:tc>
          <w:tcPr>
            <w:tcW w:w="1640" w:type="dxa"/>
            <w:vAlign w:val="bottom"/>
          </w:tcPr>
          <w:p>
            <w:pPr>
              <w:jc w:val="right"/>
              <w:spacing w:after="0"/>
              <w:rPr>
                <w:sz w:val="20"/>
                <w:szCs w:val="20"/>
                <w:color w:val="auto"/>
              </w:rPr>
            </w:pPr>
            <w:r>
              <w:rPr>
                <w:rFonts w:ascii="Arial" w:cs="Arial" w:eastAsia="Arial" w:hAnsi="Arial"/>
                <w:sz w:val="13"/>
                <w:szCs w:val="13"/>
                <w:color w:val="auto"/>
              </w:rPr>
              <w:t>27 %</w:t>
            </w:r>
          </w:p>
        </w:tc>
      </w:tr>
      <w:tr>
        <w:trPr>
          <w:trHeight w:val="20"/>
        </w:trPr>
        <w:tc>
          <w:tcPr>
            <w:tcW w:w="4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334"/>
        <w:spacing w:after="0" w:line="272" w:lineRule="auto"/>
        <w:rPr>
          <w:sz w:val="20"/>
          <w:szCs w:val="20"/>
          <w:color w:val="auto"/>
        </w:rPr>
      </w:pPr>
      <w:r>
        <w:rPr>
          <w:rFonts w:ascii="Arial" w:cs="Arial" w:eastAsia="Arial" w:hAnsi="Arial"/>
          <w:sz w:val="13"/>
          <w:szCs w:val="13"/>
          <w:i w:val="1"/>
          <w:iCs w:val="1"/>
          <w:color w:val="auto"/>
        </w:rPr>
        <w:t xml:space="preserve">Sales and Marketing Expenses. </w:t>
      </w:r>
      <w:r>
        <w:rPr>
          <w:rFonts w:ascii="Arial" w:cs="Arial" w:eastAsia="Arial" w:hAnsi="Arial"/>
          <w:sz w:val="13"/>
          <w:szCs w:val="13"/>
          <w:color w:val="auto"/>
        </w:rPr>
        <w:t>The increase in sales and marketing expenses for the nine months ended September 30, 2021 as compared to the nine months ended September 30, 2020 was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due to increases in employee related costs, commissions and stock-based compensation of $7.8 million driven by increased headcount and higher revenues, higher consulting fees of $0.9 million associated with more surgeon training programs and surgeon consulting fees. As COVID-19 pandemic restrictions eased, we also experienced higher levels of travel, marketing, training activities, facilities and other related costs resulting in an increase of $5.0 million.</w:t>
      </w:r>
    </w:p>
    <w:p>
      <w:pPr>
        <w:spacing w:after="0" w:line="132"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3"/>
          <w:szCs w:val="13"/>
          <w:i w:val="1"/>
          <w:iCs w:val="1"/>
          <w:color w:val="auto"/>
        </w:rPr>
        <w:t xml:space="preserve">Research and Development Expenses. </w:t>
      </w:r>
      <w:r>
        <w:rPr>
          <w:rFonts w:ascii="Arial" w:cs="Arial" w:eastAsia="Arial" w:hAnsi="Arial"/>
          <w:sz w:val="13"/>
          <w:szCs w:val="13"/>
          <w:color w:val="auto"/>
        </w:rPr>
        <w:t>The increase in research and development expenses for the nine months ended September 30, 2021 compared to the nine months ended September 30, 2020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an increase of $1.3 million in employee related costs and stock-based compensation driven by increased headcount and an increase of $1.1 million in research and development expenses primarily due to clinical study and research and development activities.</w:t>
      </w:r>
    </w:p>
    <w:p>
      <w:pPr>
        <w:spacing w:after="0" w:line="128"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3"/>
          <w:szCs w:val="13"/>
          <w:i w:val="1"/>
          <w:iCs w:val="1"/>
          <w:color w:val="auto"/>
        </w:rPr>
        <w:t>General and Administrative Expenses</w:t>
      </w:r>
      <w:r>
        <w:rPr>
          <w:rFonts w:ascii="Arial" w:cs="Arial" w:eastAsia="Arial" w:hAnsi="Arial"/>
          <w:sz w:val="13"/>
          <w:szCs w:val="13"/>
          <w:color w:val="auto"/>
        </w:rPr>
        <w:t>. The increase in general and administrative expenses for the nine months ended September 30, 2021 compared to the nine months ended September 30, 2020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an increase of $3.2 million in employee related costs and stock-based compensation driven by increased headcount, and an increase of $1.3 million in consulting, accounting and audit fees associated with SOX compliance requirements, partially offset by the decrease of $0.2 million related to the allocation of facilities and other related costs.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Interest and Other Income (Expense), Net</w:t>
      </w:r>
      <w:r>
        <w:rPr>
          <w:rFonts w:ascii="Arial" w:cs="Arial" w:eastAsia="Arial" w:hAnsi="Arial"/>
          <w:sz w:val="13"/>
          <w:szCs w:val="13"/>
          <w:color w:val="auto"/>
        </w:rPr>
        <w:t>:</w:t>
      </w:r>
    </w:p>
    <w:p>
      <w:pPr>
        <w:spacing w:after="0" w:line="43"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Nine Months Ended September 30,</w:t>
      </w:r>
    </w:p>
    <w:p>
      <w:pPr>
        <w:spacing w:after="0" w:line="24" w:lineRule="exact"/>
        <w:rPr>
          <w:sz w:val="20"/>
          <w:szCs w:val="20"/>
          <w:color w:val="auto"/>
        </w:rPr>
      </w:pPr>
    </w:p>
    <w:tbl>
      <w:tblPr>
        <w:tblLayout w:type="fixed"/>
        <w:tblInd w:w="340" w:type="dxa"/>
        <w:tblCellMar>
          <w:top w:w="0" w:type="dxa"/>
          <w:left w:w="0" w:type="dxa"/>
          <w:bottom w:w="0" w:type="dxa"/>
          <w:right w:w="0" w:type="dxa"/>
        </w:tblCellMar>
      </w:tblPr>
      <w:tr>
        <w:trPr>
          <w:trHeight w:val="160"/>
        </w:trPr>
        <w:tc>
          <w:tcPr>
            <w:tcW w:w="4320" w:type="dxa"/>
            <w:vAlign w:val="bottom"/>
          </w:tcPr>
          <w:p>
            <w:pPr>
              <w:spacing w:after="0"/>
              <w:rPr>
                <w:sz w:val="13"/>
                <w:szCs w:val="13"/>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 Change</w:t>
            </w:r>
          </w:p>
        </w:tc>
        <w:tc>
          <w:tcPr>
            <w:tcW w:w="164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 Change</w:t>
            </w:r>
          </w:p>
        </w:tc>
      </w:tr>
      <w:tr>
        <w:trPr>
          <w:trHeight w:val="152"/>
        </w:trPr>
        <w:tc>
          <w:tcPr>
            <w:tcW w:w="4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4"/>
          </w:tcPr>
          <w:p>
            <w:pPr>
              <w:ind w:left="240"/>
              <w:spacing w:after="0"/>
              <w:rPr>
                <w:sz w:val="20"/>
                <w:szCs w:val="20"/>
                <w:color w:val="auto"/>
              </w:rPr>
            </w:pPr>
            <w:r>
              <w:rPr>
                <w:rFonts w:ascii="Arial" w:cs="Arial" w:eastAsia="Arial" w:hAnsi="Arial"/>
                <w:sz w:val="12"/>
                <w:szCs w:val="12"/>
                <w:b w:val="1"/>
                <w:bCs w:val="1"/>
                <w:color w:val="auto"/>
              </w:rPr>
              <w:t>(in thousands, except for percentages)</w:t>
            </w:r>
          </w:p>
        </w:tc>
        <w:tc>
          <w:tcPr>
            <w:tcW w:w="1640" w:type="dxa"/>
            <w:vAlign w:val="bottom"/>
          </w:tcPr>
          <w:p>
            <w:pPr>
              <w:spacing w:after="0"/>
              <w:rPr>
                <w:sz w:val="13"/>
                <w:szCs w:val="13"/>
                <w:color w:val="auto"/>
              </w:rPr>
            </w:pPr>
          </w:p>
        </w:tc>
      </w:tr>
      <w:tr>
        <w:trPr>
          <w:trHeight w:val="174"/>
        </w:trPr>
        <w:tc>
          <w:tcPr>
            <w:tcW w:w="4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income</w:t>
            </w:r>
          </w:p>
        </w:tc>
        <w:tc>
          <w:tcPr>
            <w:tcW w:w="940" w:type="dxa"/>
            <w:vAlign w:val="bottom"/>
            <w:shd w:val="clear" w:color="auto" w:fill="CCEEFF"/>
          </w:tcPr>
          <w:p>
            <w:pPr>
              <w:jc w:val="right"/>
              <w:ind w:right="795"/>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center"/>
              <w:ind w:left="755"/>
              <w:spacing w:after="0"/>
              <w:rPr>
                <w:sz w:val="20"/>
                <w:szCs w:val="20"/>
                <w:color w:val="auto"/>
              </w:rPr>
            </w:pPr>
            <w:r>
              <w:rPr>
                <w:rFonts w:ascii="Arial" w:cs="Arial" w:eastAsia="Arial" w:hAnsi="Arial"/>
                <w:sz w:val="13"/>
                <w:szCs w:val="13"/>
                <w:color w:val="auto"/>
                <w:w w:val="98"/>
              </w:rPr>
              <w:t>(868)</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r>
      <w:tr>
        <w:trPr>
          <w:trHeight w:val="172"/>
        </w:trPr>
        <w:tc>
          <w:tcPr>
            <w:tcW w:w="4320" w:type="dxa"/>
            <w:vAlign w:val="bottom"/>
          </w:tcPr>
          <w:p>
            <w:pPr>
              <w:ind w:left="40"/>
              <w:spacing w:after="0"/>
              <w:rPr>
                <w:sz w:val="20"/>
                <w:szCs w:val="20"/>
                <w:color w:val="auto"/>
              </w:rPr>
            </w:pPr>
            <w:r>
              <w:rPr>
                <w:rFonts w:ascii="Arial" w:cs="Arial" w:eastAsia="Arial" w:hAnsi="Arial"/>
                <w:sz w:val="13"/>
                <w:szCs w:val="13"/>
                <w:color w:val="auto"/>
              </w:rPr>
              <w:t>Interest expense</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(5,016)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ind w:left="775"/>
              <w:spacing w:after="0"/>
              <w:rPr>
                <w:sz w:val="20"/>
                <w:szCs w:val="20"/>
                <w:color w:val="auto"/>
              </w:rPr>
            </w:pPr>
            <w:r>
              <w:rPr>
                <w:rFonts w:ascii="Arial" w:cs="Arial" w:eastAsia="Arial" w:hAnsi="Arial"/>
                <w:sz w:val="13"/>
                <w:szCs w:val="13"/>
                <w:color w:val="auto"/>
                <w:w w:val="92"/>
              </w:rPr>
              <w:t>219</w:t>
            </w:r>
          </w:p>
        </w:tc>
        <w:tc>
          <w:tcPr>
            <w:tcW w:w="164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2"/>
        </w:trPr>
        <w:tc>
          <w:tcPr>
            <w:tcW w:w="4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income (expense), net</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center"/>
              <w:ind w:left="775"/>
              <w:spacing w:after="0"/>
              <w:rPr>
                <w:sz w:val="20"/>
                <w:szCs w:val="20"/>
                <w:color w:val="auto"/>
              </w:rPr>
            </w:pPr>
            <w:r>
              <w:rPr>
                <w:rFonts w:ascii="Arial" w:cs="Arial" w:eastAsia="Arial" w:hAnsi="Arial"/>
                <w:sz w:val="13"/>
                <w:szCs w:val="13"/>
                <w:color w:val="auto"/>
                <w:w w:val="92"/>
              </w:rPr>
              <w:t>315</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w:t>
            </w:r>
          </w:p>
        </w:tc>
      </w:tr>
      <w:tr>
        <w:trPr>
          <w:trHeight w:val="162"/>
        </w:trPr>
        <w:tc>
          <w:tcPr>
            <w:tcW w:w="4320" w:type="dxa"/>
            <w:vAlign w:val="bottom"/>
          </w:tcPr>
          <w:p>
            <w:pPr>
              <w:ind w:left="40"/>
              <w:spacing w:after="0"/>
              <w:rPr>
                <w:sz w:val="20"/>
                <w:szCs w:val="20"/>
                <w:color w:val="auto"/>
              </w:rPr>
            </w:pPr>
            <w:r>
              <w:rPr>
                <w:rFonts w:ascii="Arial" w:cs="Arial" w:eastAsia="Arial" w:hAnsi="Arial"/>
                <w:sz w:val="13"/>
                <w:szCs w:val="13"/>
                <w:color w:val="auto"/>
              </w:rPr>
              <w:t>Total interest and other expense, net</w:t>
            </w:r>
          </w:p>
        </w:tc>
        <w:tc>
          <w:tcPr>
            <w:tcW w:w="940" w:type="dxa"/>
            <w:vAlign w:val="bottom"/>
            <w:tcBorders>
              <w:bottom w:val="single" w:sz="8" w:color="auto"/>
            </w:tcBorders>
          </w:tcPr>
          <w:p>
            <w:pPr>
              <w:jc w:val="right"/>
              <w:ind w:right="795"/>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center"/>
              <w:ind w:left="755"/>
              <w:spacing w:after="0"/>
              <w:rPr>
                <w:sz w:val="20"/>
                <w:szCs w:val="20"/>
                <w:color w:val="auto"/>
              </w:rPr>
            </w:pPr>
            <w:r>
              <w:rPr>
                <w:rFonts w:ascii="Arial" w:cs="Arial" w:eastAsia="Arial" w:hAnsi="Arial"/>
                <w:sz w:val="13"/>
                <w:szCs w:val="13"/>
                <w:color w:val="auto"/>
                <w:w w:val="98"/>
              </w:rPr>
              <w:t>(334)</w:t>
            </w:r>
          </w:p>
        </w:tc>
        <w:tc>
          <w:tcPr>
            <w:tcW w:w="1640" w:type="dxa"/>
            <w:vAlign w:val="bottom"/>
          </w:tcPr>
          <w:p>
            <w:pPr>
              <w:jc w:val="right"/>
              <w:spacing w:after="0"/>
              <w:rPr>
                <w:sz w:val="20"/>
                <w:szCs w:val="20"/>
                <w:color w:val="auto"/>
              </w:rPr>
            </w:pPr>
            <w:r>
              <w:rPr>
                <w:rFonts w:ascii="Arial" w:cs="Arial" w:eastAsia="Arial" w:hAnsi="Arial"/>
                <w:sz w:val="13"/>
                <w:szCs w:val="13"/>
                <w:color w:val="auto"/>
              </w:rPr>
              <w:t>8 %</w:t>
            </w:r>
          </w:p>
        </w:tc>
      </w:tr>
      <w:tr>
        <w:trPr>
          <w:trHeight w:val="20"/>
        </w:trPr>
        <w:tc>
          <w:tcPr>
            <w:tcW w:w="4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12" w:lineRule="exact"/>
        <w:rPr>
          <w:sz w:val="20"/>
          <w:szCs w:val="20"/>
          <w:color w:val="auto"/>
        </w:rPr>
      </w:pPr>
    </w:p>
    <w:p>
      <w:pPr>
        <w:ind w:firstLine="334"/>
        <w:spacing w:after="0" w:line="29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The decrease in interest income for the nine months ended September 30, 2021 as compared to the nine months ended September 30, 2020 was mainly due to lower interest earned on</w:t>
      </w:r>
      <w:r>
        <w:rPr>
          <w:rFonts w:ascii="Arial" w:cs="Arial" w:eastAsia="Arial" w:hAnsi="Arial"/>
          <w:sz w:val="13"/>
          <w:szCs w:val="13"/>
          <w:i w:val="1"/>
          <w:iCs w:val="1"/>
          <w:color w:val="auto"/>
        </w:rPr>
        <w:t xml:space="preserve"> </w:t>
      </w:r>
      <w:r>
        <w:rPr>
          <w:rFonts w:ascii="Arial" w:cs="Arial" w:eastAsia="Arial" w:hAnsi="Arial"/>
          <w:sz w:val="13"/>
          <w:szCs w:val="13"/>
          <w:color w:val="auto"/>
        </w:rPr>
        <w:t>our investments in marketable securities, primarily as a result of lower interest rates.</w:t>
      </w:r>
    </w:p>
    <w:p>
      <w:pPr>
        <w:spacing w:after="0" w:line="289" w:lineRule="exact"/>
        <w:rPr>
          <w:sz w:val="20"/>
          <w:szCs w:val="20"/>
          <w:color w:val="auto"/>
        </w:rPr>
      </w:pPr>
    </w:p>
    <w:p>
      <w:pPr>
        <w:ind w:firstLine="334"/>
        <w:spacing w:after="0" w:line="276" w:lineRule="auto"/>
        <w:rPr>
          <w:sz w:val="20"/>
          <w:szCs w:val="20"/>
          <w:color w:val="auto"/>
        </w:rPr>
      </w:pPr>
      <w:r>
        <w:rPr>
          <w:rFonts w:ascii="Arial" w:cs="Arial" w:eastAsia="Arial" w:hAnsi="Arial"/>
          <w:sz w:val="12"/>
          <w:szCs w:val="12"/>
          <w:i w:val="1"/>
          <w:iCs w:val="1"/>
          <w:color w:val="auto"/>
        </w:rPr>
        <w:t>Interest Expense</w:t>
      </w:r>
      <w:r>
        <w:rPr>
          <w:rFonts w:ascii="Arial" w:cs="Arial" w:eastAsia="Arial" w:hAnsi="Arial"/>
          <w:sz w:val="12"/>
          <w:szCs w:val="12"/>
          <w:color w:val="auto"/>
        </w:rPr>
        <w:t>. The decrease in interest expense for the nine months ended September 30, 2021 as compared to the nine months ended September 30, 2020 of $0.2 million was primarily due to $0.5</w:t>
      </w:r>
      <w:r>
        <w:rPr>
          <w:rFonts w:ascii="Arial" w:cs="Arial" w:eastAsia="Arial" w:hAnsi="Arial"/>
          <w:sz w:val="12"/>
          <w:szCs w:val="12"/>
          <w:i w:val="1"/>
          <w:iCs w:val="1"/>
          <w:color w:val="auto"/>
        </w:rPr>
        <w:t xml:space="preserve"> </w:t>
      </w:r>
      <w:r>
        <w:rPr>
          <w:rFonts w:ascii="Arial" w:cs="Arial" w:eastAsia="Arial" w:hAnsi="Arial"/>
          <w:sz w:val="12"/>
          <w:szCs w:val="12"/>
          <w:color w:val="auto"/>
        </w:rPr>
        <w:t>million of lower interest associated with the SVB Term Loan and Solar Term Loan in the first nine months of 2021 compared to the Pharmakon and Solar Term Loans in the first nine months of 2020, offset in part by the loss on extinguishment of the Solar Term Loan of $1.8 million in the current period compared to the loss on extinguishment of the Pharmakon Term Loan of $1.5 million in the third quarter of 2020.</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 xml:space="preserve">Other Income (Expense), Net. </w:t>
      </w:r>
      <w:r>
        <w:rPr>
          <w:rFonts w:ascii="Arial" w:cs="Arial" w:eastAsia="Arial" w:hAnsi="Arial"/>
          <w:sz w:val="12"/>
          <w:szCs w:val="12"/>
          <w:color w:val="auto"/>
        </w:rPr>
        <w:t>Other income, net increased for the nine months ended September 30, 2021 compared to the nine months ended September 30, 2020 due to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121"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95" w:lineRule="exact"/>
        <w:rPr>
          <w:sz w:val="20"/>
          <w:szCs w:val="20"/>
          <w:color w:val="auto"/>
        </w:rPr>
      </w:pPr>
    </w:p>
    <w:p>
      <w:pPr>
        <w:jc w:val="both"/>
        <w:ind w:firstLine="334"/>
        <w:spacing w:after="0" w:line="341" w:lineRule="auto"/>
        <w:rPr>
          <w:sz w:val="20"/>
          <w:szCs w:val="20"/>
          <w:color w:val="auto"/>
        </w:rPr>
      </w:pPr>
      <w:r>
        <w:rPr>
          <w:rFonts w:ascii="Arial" w:cs="Arial" w:eastAsia="Arial" w:hAnsi="Arial"/>
          <w:sz w:val="12"/>
          <w:szCs w:val="12"/>
          <w:color w:val="auto"/>
        </w:rPr>
        <w:t>As of September 30, 2021, we had cash and marketable securities of $160.9 million compared to $196.4 million as of December 31, 2020. We have financed our operations through our public offerings, debt financing arrangements, and the sale of our products. As of September 30, 2021 and December 31, 2020, we had $34.9 million and $39.5 million, respectively, in outstanding debt.</w:t>
      </w:r>
    </w:p>
    <w:p>
      <w:pPr>
        <w:spacing w:after="0" w:line="94"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3"/>
          <w:szCs w:val="13"/>
          <w:color w:val="auto"/>
        </w:rPr>
        <w:t>As of September 30, 2021, we had an accumulated deficit of $281.4 million. During the nine months ended September 30, 2021, we incurred a net loss of $42.1 million. During the years ended December 31, 2020 and 2019, we incurred a net loss of $43.7 million and $38.4 million, respectively, and expect to incur additional losses in the future. We have not achieved positive cash flow from operations to date.</w:t>
      </w:r>
    </w:p>
    <w:p>
      <w:pPr>
        <w:spacing w:after="0" w:line="128" w:lineRule="exact"/>
        <w:rPr>
          <w:sz w:val="20"/>
          <w:szCs w:val="20"/>
          <w:color w:val="auto"/>
        </w:rPr>
      </w:pPr>
    </w:p>
    <w:p>
      <w:pPr>
        <w:jc w:val="both"/>
        <w:ind w:firstLine="334"/>
        <w:spacing w:after="0" w:line="266" w:lineRule="auto"/>
        <w:rPr>
          <w:sz w:val="20"/>
          <w:szCs w:val="20"/>
          <w:color w:val="auto"/>
        </w:rPr>
      </w:pPr>
      <w:r>
        <w:rPr>
          <w:rFonts w:ascii="Arial" w:cs="Arial" w:eastAsia="Arial" w:hAnsi="Arial"/>
          <w:sz w:val="13"/>
          <w:szCs w:val="13"/>
          <w:color w:val="auto"/>
        </w:rPr>
        <w:t>Based upon our current operating plan, we believe that our existing cash and marketable securities will enable us to fund our operating expenses and capital expenditure requirements through at least the next 12 months. However, the economic impact of the duration and severity of the COVID-19 pandemic, and our responses thereto (including such actions we have taken or may take in the future as disclosed elsewhere in this Report) pose risks and uncertainties in our future available capital resources. Further, we may face challenges and uncertainties and, as a result, need to raise additional capital as our available capital resources may be consumed more rapidly than currently expected due to, but not limited to, the following as a result of the COVID-19 pandemic or otherwise: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Term Loan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outstanding debt as of September 30, 2021 is related to a term loan pursuant to the Loan and Security Agreement dated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August 12, 2021, entered into by us with Silicon Valley Bank (“SVB”). Pursuant the Loan and Security Agreement with SVB, SVB provided a term loan with an aggregate principal amount of $35.0 million to</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us. Prior to Loan and Security Agreement with SVB, our outstanding debt was related to a $40.0 million term loan (the “Solar Term Loan”) with Solar Capital Partners (“Solar”) entered into in May 2020. In accordance with the Loan and Security Agreement with SVB, we paid in full and terminated the Loan and Security Agreement with Solar, which we accounted for as debt extinguishment in accordance with the accounting standards. As of September 30, 2021 and December 31, 2020, there was no amount available that could be borrowed under the applicable credit facility.</w:t>
      </w:r>
    </w:p>
    <w:p>
      <w:pPr>
        <w:spacing w:after="0" w:line="14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2"/>
          <w:szCs w:val="12"/>
          <w:color w:val="auto"/>
        </w:rPr>
        <w:t>The Solar Term Loan bore interest at a rate per annum equal to 9.40% plus London Interbank Offered Rate (“LIBOR”), payable monthly in arrears. Pursuant to the Loan and Security Agreement with Solar, we could voluntarily prepay the Solar Term Loan, in full or in part for a prepayment premium in an amount equal to 3.0% of the principal if prepaid in year one, 1.25% of the principal if prepaid in year two, and 0.50% of the principal if prepaid in year three or later. We were also obligated to pay a final fee equal to $1.0 million or 2.5% of the aggregate principal amount of the Solar Term Loan, which was fully earned by Solar on the effective date of the Loan and Security Agreement with Solar. We paid in full and terminated the Solar Term Loan in August 2021, upon which date the final fee was due and payable. The final fee was included within the long-term borrowings and was accreted to interest expense using straight-line method over the life of the term loan.</w:t>
      </w:r>
    </w:p>
    <w:p>
      <w:pPr>
        <w:spacing w:after="0" w:line="130" w:lineRule="exact"/>
        <w:rPr>
          <w:sz w:val="20"/>
          <w:szCs w:val="20"/>
          <w:color w:val="auto"/>
        </w:rPr>
      </w:pPr>
    </w:p>
    <w:p>
      <w:pPr>
        <w:jc w:val="both"/>
        <w:ind w:firstLine="304"/>
        <w:spacing w:after="0" w:line="269" w:lineRule="auto"/>
        <w:rPr>
          <w:sz w:val="20"/>
          <w:szCs w:val="20"/>
          <w:color w:val="auto"/>
        </w:rPr>
      </w:pPr>
      <w:r>
        <w:rPr>
          <w:rFonts w:ascii="Arial" w:cs="Arial" w:eastAsia="Arial" w:hAnsi="Arial"/>
          <w:sz w:val="12"/>
          <w:szCs w:val="12"/>
          <w:color w:val="auto"/>
        </w:rPr>
        <w:t>The SVB Term Loan matures (the “Maturity Date”) on either (a) August 1, 2025 or (b) August 1, 2026 dependent on our achievement of a certain financial performance milestone as of December 31, 2022, as set forth in the Loan Agreement. Interest on the SVB Term Loan will be payable monthly at an annual rate set at the greater of (a) 5.75% and (b) prime rate as published in the Wall Street Journal plus 2.5%. Commencing on September 1, 2023, we will be required to make monthly principal amortization payments. We may elect to prepay the SVB Term Loan prior to the Maturity Date subject to a prepayment fee equal to 1% if the prepayment occurs prior to the second anniversary of the Effective Date and 0% if the prepayment occurs on or at any time after the second anniversary of the Effective Date. The SVB Term Loan is secured by substantially all our assets other than our intellectual property. We are also obligated to pay a final payment equal to $0.7 million or 2% of the aggregate principal amount of the SVB Term Loan, which was fully earned by SVB on the effective date of the Loan and Security Agreement with SVB. With respect to the SVB Term Loan, this final payment shall be due and payable on the earliest of (i) the maturity date, (ii) the full repayment of the loan, (iii) permitted prepayment and mandatory prepayment upon an acceleration as specified in the agreement or (iv) the termination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agreement. The final payment was included within the long-term borrowings and is accreted to interest expense using straight-line method over the life of the term loan.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6" w:right="319" w:bottom="1440" w:gutter="0" w:footer="0" w:header="0"/>
        </w:sectPr>
      </w:pPr>
    </w:p>
    <w:bookmarkStart w:id="31" w:name="page32"/>
    <w:bookmarkEnd w:id="31"/>
    <w:p>
      <w:pPr>
        <w:jc w:val="both"/>
        <w:ind w:firstLine="304"/>
        <w:spacing w:after="0" w:line="278" w:lineRule="auto"/>
        <w:rPr>
          <w:sz w:val="20"/>
          <w:szCs w:val="20"/>
          <w:color w:val="auto"/>
        </w:rPr>
      </w:pPr>
      <w:r>
        <w:rPr>
          <w:rFonts w:ascii="Arial" w:cs="Arial" w:eastAsia="Arial" w:hAnsi="Arial"/>
          <w:sz w:val="12"/>
          <w:szCs w:val="12"/>
          <w:color w:val="auto"/>
        </w:rPr>
        <w:t>The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 As of September 30, 2021, we were in compliance with all debt covenants. Though there are uncertainties surrounding the impact of the COVID-19 pandemic that may impact our future revenue, we believe that we have sufficient cash and cash equivalents to meet the minimum liquidity requirements in the foreseeable succeeding periods.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following table summarizes our contractual obligations as of September 30, 2021:</w:t>
      </w:r>
    </w:p>
    <w:p>
      <w:pPr>
        <w:spacing w:after="0" w:line="43" w:lineRule="exact"/>
        <w:rPr>
          <w:sz w:val="20"/>
          <w:szCs w:val="20"/>
          <w:color w:val="auto"/>
        </w:rPr>
      </w:pPr>
    </w:p>
    <w:tbl>
      <w:tblPr>
        <w:tblLayout w:type="fixed"/>
        <w:tblInd w:w="380" w:type="dxa"/>
        <w:tblCellMar>
          <w:top w:w="0" w:type="dxa"/>
          <w:left w:w="0" w:type="dxa"/>
          <w:bottom w:w="0" w:type="dxa"/>
          <w:right w:w="0" w:type="dxa"/>
        </w:tblCellMar>
      </w:tblPr>
      <w:tr>
        <w:trPr>
          <w:trHeight w:val="158"/>
        </w:trPr>
        <w:tc>
          <w:tcPr>
            <w:tcW w:w="3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ind w:left="500"/>
              <w:spacing w:after="0"/>
              <w:rPr>
                <w:sz w:val="20"/>
                <w:szCs w:val="20"/>
                <w:color w:val="auto"/>
              </w:rPr>
            </w:pPr>
            <w:r>
              <w:rPr>
                <w:rFonts w:ascii="Arial" w:cs="Arial" w:eastAsia="Arial" w:hAnsi="Arial"/>
                <w:sz w:val="12"/>
                <w:szCs w:val="12"/>
                <w:b w:val="1"/>
                <w:bCs w:val="1"/>
                <w:color w:val="auto"/>
              </w:rPr>
              <w:t>Payments Due By Period</w:t>
            </w:r>
          </w:p>
        </w:tc>
        <w:tc>
          <w:tcPr>
            <w:tcW w:w="7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55"/>
        </w:trPr>
        <w:tc>
          <w:tcPr>
            <w:tcW w:w="35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Total</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Less than 1 year</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1-3 years</w:t>
            </w: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4-5 years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More than 5 years</w:t>
            </w:r>
          </w:p>
        </w:tc>
      </w:tr>
      <w:tr>
        <w:trPr>
          <w:trHeight w:val="152"/>
        </w:trPr>
        <w:tc>
          <w:tcPr>
            <w:tcW w:w="3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(in thousands)</w:t>
            </w: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4"/>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Principal obligations and final fee on long-term debt </w:t>
            </w:r>
            <w:r>
              <w:rPr>
                <w:rFonts w:ascii="Arial" w:cs="Arial" w:eastAsia="Arial" w:hAnsi="Arial"/>
                <w:sz w:val="10"/>
                <w:szCs w:val="10"/>
                <w:color w:val="auto"/>
              </w:rPr>
              <w:t>(1)</w:t>
            </w:r>
          </w:p>
        </w:tc>
        <w:tc>
          <w:tcPr>
            <w:tcW w:w="5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35,700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7,292</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28,408</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3520" w:type="dxa"/>
            <w:vAlign w:val="bottom"/>
          </w:tcPr>
          <w:p>
            <w:pPr>
              <w:ind w:left="20"/>
              <w:spacing w:after="0"/>
              <w:rPr>
                <w:sz w:val="20"/>
                <w:szCs w:val="20"/>
                <w:color w:val="auto"/>
              </w:rPr>
            </w:pPr>
            <w:r>
              <w:rPr>
                <w:rFonts w:ascii="Arial" w:cs="Arial" w:eastAsia="Arial" w:hAnsi="Arial"/>
                <w:sz w:val="13"/>
                <w:szCs w:val="13"/>
                <w:color w:val="auto"/>
              </w:rPr>
              <w:t xml:space="preserve">Interest obligations </w:t>
            </w:r>
            <w:r>
              <w:rPr>
                <w:rFonts w:ascii="Arial" w:cs="Arial" w:eastAsia="Arial" w:hAnsi="Arial"/>
                <w:sz w:val="10"/>
                <w:szCs w:val="10"/>
                <w:color w:val="auto"/>
              </w:rPr>
              <w:t>(2)</w:t>
            </w: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6,150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794</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4,010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1,346</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35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Operating lease obligations</w:t>
            </w: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6,615</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r>
      <w:tr>
        <w:trPr>
          <w:trHeight w:val="172"/>
        </w:trPr>
        <w:tc>
          <w:tcPr>
            <w:tcW w:w="3520" w:type="dxa"/>
            <w:vAlign w:val="bottom"/>
          </w:tcPr>
          <w:p>
            <w:pPr>
              <w:ind w:left="320"/>
              <w:spacing w:after="0"/>
              <w:rPr>
                <w:sz w:val="20"/>
                <w:szCs w:val="20"/>
                <w:color w:val="auto"/>
              </w:rPr>
            </w:pPr>
            <w:r>
              <w:rPr>
                <w:rFonts w:ascii="Arial" w:cs="Arial" w:eastAsia="Arial" w:hAnsi="Arial"/>
                <w:sz w:val="13"/>
                <w:szCs w:val="13"/>
                <w:color w:val="auto"/>
              </w:rPr>
              <w:t>Purchase obligations</w:t>
            </w: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1,313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1,313</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35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Total</w:t>
            </w:r>
          </w:p>
        </w:tc>
        <w:tc>
          <w:tcPr>
            <w:tcW w:w="5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49,778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14,502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32,251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174180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41805" cy="6350"/>
                    </a:xfrm>
                    <a:prstGeom prst="rect">
                      <a:avLst/>
                    </a:prstGeom>
                    <a:noFill/>
                  </pic:spPr>
                </pic:pic>
              </a:graphicData>
            </a:graphic>
          </wp:anchor>
        </w:drawing>
      </w:r>
    </w:p>
    <w:p>
      <w:pPr>
        <w:spacing w:after="0" w:line="169" w:lineRule="exact"/>
        <w:rPr>
          <w:sz w:val="20"/>
          <w:szCs w:val="20"/>
          <w:color w:val="auto"/>
        </w:rPr>
      </w:pPr>
    </w:p>
    <w:p>
      <w:pPr>
        <w:ind w:left="360" w:hanging="238"/>
        <w:spacing w:after="0"/>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the principal obligations and the final fee at maturities of our SVB Term Loan.</w:t>
      </w:r>
    </w:p>
    <w:p>
      <w:pPr>
        <w:spacing w:after="0" w:line="2" w:lineRule="exact"/>
        <w:rPr>
          <w:rFonts w:ascii="Arial" w:cs="Arial" w:eastAsia="Arial" w:hAnsi="Arial"/>
          <w:sz w:val="11"/>
          <w:szCs w:val="11"/>
          <w:color w:val="auto"/>
        </w:rPr>
      </w:pPr>
    </w:p>
    <w:p>
      <w:pPr>
        <w:ind w:left="360" w:hanging="238"/>
        <w:spacing w:after="0"/>
        <w:tabs>
          <w:tab w:leader="none" w:pos="36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the future interest obligations on our SVB Term Loan estimated using an interest rate of 5.75% as of September 30, 2021.</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This compared to $59.2 million of contractual obligations as of December 31, 2020 .</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Cash Flows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sets forth the primary sources and uses of cash for each of the periods presented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3660" w:type="dxa"/>
            <w:vAlign w:val="bottom"/>
            <w:gridSpan w:val="6"/>
          </w:tcPr>
          <w:p>
            <w:pPr>
              <w:ind w:left="1040"/>
              <w:spacing w:after="0"/>
              <w:rPr>
                <w:sz w:val="20"/>
                <w:szCs w:val="20"/>
                <w:color w:val="auto"/>
              </w:rPr>
            </w:pPr>
            <w:r>
              <w:rPr>
                <w:rFonts w:ascii="Arial" w:cs="Arial" w:eastAsia="Arial" w:hAnsi="Arial"/>
                <w:sz w:val="12"/>
                <w:szCs w:val="12"/>
                <w:b w:val="1"/>
                <w:bCs w:val="1"/>
                <w:color w:val="auto"/>
              </w:rPr>
              <w:t>Nine Months Ended September 30,</w:t>
            </w: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508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2"/>
                <w:szCs w:val="12"/>
                <w:b w:val="1"/>
                <w:bCs w:val="1"/>
                <w:color w:val="auto"/>
              </w:rPr>
              <w:t>$ Change</w:t>
            </w:r>
          </w:p>
        </w:tc>
      </w:tr>
      <w:tr>
        <w:trPr>
          <w:trHeight w:val="156"/>
        </w:trPr>
        <w:tc>
          <w:tcPr>
            <w:tcW w:w="5080" w:type="dxa"/>
            <w:vAlign w:val="bottom"/>
          </w:tcPr>
          <w:p>
            <w:pPr>
              <w:ind w:left="40"/>
              <w:spacing w:after="0"/>
              <w:rPr>
                <w:sz w:val="20"/>
                <w:szCs w:val="20"/>
                <w:color w:val="auto"/>
              </w:rPr>
            </w:pPr>
            <w:r>
              <w:rPr>
                <w:rFonts w:ascii="Arial" w:cs="Arial" w:eastAsia="Arial" w:hAnsi="Arial"/>
                <w:sz w:val="13"/>
                <w:szCs w:val="13"/>
                <w:b w:val="1"/>
                <w:bCs w:val="1"/>
                <w:color w:val="auto"/>
              </w:rPr>
              <w:t>Net cash provided by (used in):</w:t>
            </w: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(in thousands)</w:t>
            </w: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2"/>
        </w:trPr>
        <w:tc>
          <w:tcPr>
            <w:tcW w:w="5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activities</w:t>
            </w:r>
          </w:p>
        </w:tc>
        <w:tc>
          <w:tcPr>
            <w:tcW w:w="120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(26,819)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(22,780)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(4,039)</w:t>
            </w:r>
          </w:p>
        </w:tc>
      </w:tr>
      <w:tr>
        <w:trPr>
          <w:trHeight w:val="172"/>
        </w:trPr>
        <w:tc>
          <w:tcPr>
            <w:tcW w:w="5080" w:type="dxa"/>
            <w:vAlign w:val="bottom"/>
          </w:tcPr>
          <w:p>
            <w:pPr>
              <w:ind w:left="40"/>
              <w:spacing w:after="0"/>
              <w:rPr>
                <w:sz w:val="20"/>
                <w:szCs w:val="20"/>
                <w:color w:val="auto"/>
              </w:rPr>
            </w:pPr>
            <w:r>
              <w:rPr>
                <w:rFonts w:ascii="Arial" w:cs="Arial" w:eastAsia="Arial" w:hAnsi="Arial"/>
                <w:sz w:val="13"/>
                <w:szCs w:val="13"/>
                <w:color w:val="auto"/>
              </w:rPr>
              <w:t>Investing activities</w:t>
            </w:r>
          </w:p>
        </w:tc>
        <w:tc>
          <w:tcPr>
            <w:tcW w:w="1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36,202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4,903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31,299</w:t>
            </w:r>
          </w:p>
        </w:tc>
      </w:tr>
      <w:tr>
        <w:trPr>
          <w:trHeight w:val="172"/>
        </w:trPr>
        <w:tc>
          <w:tcPr>
            <w:tcW w:w="5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Financing activities</w:t>
            </w:r>
          </w:p>
        </w:tc>
        <w:tc>
          <w:tcPr>
            <w:tcW w:w="12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63,363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(66,089)</w:t>
            </w:r>
          </w:p>
        </w:tc>
      </w:tr>
      <w:tr>
        <w:trPr>
          <w:trHeight w:val="172"/>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Effects of exchange rate changes on cash and cash equivalents</w:t>
            </w:r>
          </w:p>
        </w:tc>
        <w:tc>
          <w:tcPr>
            <w:tcW w:w="1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w:t>
            </w:r>
          </w:p>
        </w:tc>
      </w:tr>
      <w:tr>
        <w:trPr>
          <w:trHeight w:val="187"/>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Net increase (decrease) in cash and cash equivalents</w:t>
            </w:r>
          </w:p>
        </w:tc>
        <w:tc>
          <w:tcPr>
            <w:tcW w:w="12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6,282</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45,561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(39,279)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Cash Used in Operating Activities</w:t>
      </w:r>
    </w:p>
    <w:p>
      <w:pPr>
        <w:spacing w:after="0" w:line="134" w:lineRule="exact"/>
        <w:rPr>
          <w:sz w:val="20"/>
          <w:szCs w:val="20"/>
          <w:color w:val="auto"/>
        </w:rPr>
      </w:pPr>
    </w:p>
    <w:p>
      <w:pPr>
        <w:jc w:val="both"/>
        <w:ind w:firstLine="334"/>
        <w:spacing w:after="0" w:line="265" w:lineRule="auto"/>
        <w:rPr>
          <w:sz w:val="20"/>
          <w:szCs w:val="20"/>
          <w:color w:val="auto"/>
        </w:rPr>
      </w:pPr>
      <w:r>
        <w:rPr>
          <w:rFonts w:ascii="Arial" w:cs="Arial" w:eastAsia="Arial" w:hAnsi="Arial"/>
          <w:sz w:val="13"/>
          <w:szCs w:val="13"/>
          <w:color w:val="auto"/>
        </w:rPr>
        <w:t>Net cash used in operating activities for the nine months ended September 30, 2021 of $26.8 million resulted from cash outflows due to a net loss of $42.1 million, adjusted for $17.4 million of non-cash items, and cash outflows from net changes in operating assets and liabilities of $2.1 million. Net cash used in operating activities for the nine months ended September 30, 2020 of $22.8 million resulted from cash outflows due to a net loss of $34.7 million, adjusted for $11.7 million of non-cash items, partially offset by cash inflows from changes in operating assets and liabilities of $0.2 million. The increase in net loss, net of non-cash items for the nine months ended September 30, 2021 compared to the nine months ended September 30, 2020 was mainly due to higher operating expenses from the growth of the business. Net cash outflows from changes in operating assets and liabilities for the nine months ended September 30, 2021 were primarily due to higher inventory due to the timing of inventory build-up related to our iFuse-TORQ implants, and timing of vendor payments, partly offset primarily by timing of collections of accounts receivable. Cash inflows from changes in operating assets and liabilities for the nine months ended September 30, 2020 were primarily due to timing of prepayments of certain expenses, lower accounts receivable due to the timing of collections and lower inventory due to the timing of inventory build-up, partly offset by cash outflows due to decreases in operating liabilities due to timing of payments.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32" w:name="page33"/>
    <w:bookmarkEnd w:id="32"/>
    <w:p>
      <w:pPr>
        <w:ind w:left="340"/>
        <w:spacing w:after="0"/>
        <w:rPr>
          <w:sz w:val="20"/>
          <w:szCs w:val="20"/>
          <w:color w:val="auto"/>
        </w:rPr>
      </w:pPr>
      <w:r>
        <w:rPr>
          <w:rFonts w:ascii="Arial" w:cs="Arial" w:eastAsia="Arial" w:hAnsi="Arial"/>
          <w:sz w:val="13"/>
          <w:szCs w:val="13"/>
          <w:i w:val="1"/>
          <w:iCs w:val="1"/>
          <w:color w:val="auto"/>
        </w:rPr>
        <w:t>Cash Provided by Investing Activities</w:t>
      </w:r>
    </w:p>
    <w:p>
      <w:pPr>
        <w:spacing w:after="0" w:line="134" w:lineRule="exact"/>
        <w:rPr>
          <w:sz w:val="20"/>
          <w:szCs w:val="20"/>
          <w:color w:val="auto"/>
        </w:rPr>
      </w:pPr>
    </w:p>
    <w:p>
      <w:pPr>
        <w:jc w:val="both"/>
        <w:ind w:firstLine="334"/>
        <w:spacing w:after="0" w:line="269" w:lineRule="auto"/>
        <w:rPr>
          <w:sz w:val="20"/>
          <w:szCs w:val="20"/>
          <w:color w:val="auto"/>
        </w:rPr>
      </w:pPr>
      <w:r>
        <w:rPr>
          <w:rFonts w:ascii="Arial" w:cs="Arial" w:eastAsia="Arial" w:hAnsi="Arial"/>
          <w:sz w:val="13"/>
          <w:szCs w:val="13"/>
          <w:color w:val="auto"/>
        </w:rPr>
        <w:t>Net cash provided by investing activities in the nine months ended September 30, 2021 was $36.2 million compared to $4.9 million in the nine months ended September 30, 2020. Net cash provided by investing activities for the nine months ended September 30, 2021 consisted of maturities of our marketable securities, net of purchases of $40.8 million, partially offset by purchases of property and equipment of $4.6 million primarily related to individual components in instrument sets as we anticipate increased case volumes, as well as capitalized costs related to the new lease in Santa Clara. Net cash provided by investing activities for the nine months ended September 30, 2020 consisted of maturities and sales of our marketable securities, net of purchases of $6.6 million, partially offset by purchases of property and equipment of $1.7 million.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Cash Provided by Financing Activities</w:t>
      </w:r>
    </w:p>
    <w:p>
      <w:pPr>
        <w:spacing w:after="0" w:line="134" w:lineRule="exact"/>
        <w:rPr>
          <w:sz w:val="20"/>
          <w:szCs w:val="20"/>
          <w:color w:val="auto"/>
        </w:rPr>
      </w:pPr>
    </w:p>
    <w:p>
      <w:pPr>
        <w:jc w:val="both"/>
        <w:ind w:firstLine="334"/>
        <w:spacing w:after="0" w:line="269" w:lineRule="auto"/>
        <w:rPr>
          <w:sz w:val="20"/>
          <w:szCs w:val="20"/>
          <w:color w:val="auto"/>
        </w:rPr>
      </w:pPr>
      <w:r>
        <w:rPr>
          <w:rFonts w:ascii="Arial" w:cs="Arial" w:eastAsia="Arial" w:hAnsi="Arial"/>
          <w:sz w:val="13"/>
          <w:szCs w:val="13"/>
          <w:color w:val="auto"/>
        </w:rPr>
        <w:t>Cash used in financing activities in the nine months ended September 30, 2021 of $2.7 million includes the paydown of our debt by $5.0 million and other payments of associated with refinancing of our debt of $6.6 million, partially offset by proceeds from the issuance of common stock under our stock-based incentive compensation plans of $3.9 million. This compares to the cash provided by financing activities for the nine months ended September 30, 2020 of $63.4 million which consisted of proceeds, net of underwriting discounts, commissions and offering costs of $63.0 million from our follow-on public offering during the first quarter of 2020 and proceeds from the issuance of common stock under our stock-based incentive compensation plans of $2.0 million, partially offset by payments associated with refinancing of our debt of $1.6 million.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auto"/>
        </w:rPr>
        <w:t>Critical Accounting Policies, Significant Judgments, and Use of Estimates</w:t>
      </w:r>
    </w:p>
    <w:p>
      <w:pPr>
        <w:spacing w:after="0" w:line="176" w:lineRule="exact"/>
        <w:rPr>
          <w:sz w:val="20"/>
          <w:szCs w:val="20"/>
          <w:color w:val="auto"/>
        </w:rPr>
      </w:pPr>
    </w:p>
    <w:p>
      <w:pPr>
        <w:jc w:val="both"/>
        <w:ind w:firstLine="334"/>
        <w:spacing w:after="0" w:line="269" w:lineRule="auto"/>
        <w:rPr>
          <w:sz w:val="20"/>
          <w:szCs w:val="20"/>
          <w:color w:val="auto"/>
        </w:rPr>
      </w:pPr>
      <w:r>
        <w:rPr>
          <w:rFonts w:ascii="Arial" w:cs="Arial" w:eastAsia="Arial" w:hAnsi="Arial"/>
          <w:sz w:val="13"/>
          <w:szCs w:val="13"/>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134" w:lineRule="exact"/>
        <w:rPr>
          <w:sz w:val="20"/>
          <w:szCs w:val="20"/>
          <w:color w:val="auto"/>
        </w:rPr>
      </w:pPr>
    </w:p>
    <w:p>
      <w:pPr>
        <w:jc w:val="both"/>
        <w:ind w:firstLine="334"/>
        <w:spacing w:after="0" w:line="261" w:lineRule="auto"/>
        <w:rPr>
          <w:sz w:val="20"/>
          <w:szCs w:val="20"/>
          <w:color w:val="auto"/>
        </w:rPr>
      </w:pPr>
      <w:r>
        <w:rPr>
          <w:rFonts w:ascii="Arial" w:cs="Arial" w:eastAsia="Arial" w:hAnsi="Arial"/>
          <w:sz w:val="13"/>
          <w:szCs w:val="13"/>
          <w:color w:val="auto"/>
        </w:rPr>
        <w:t>Our critical accounting policies and estimates are described in “Management's Discussion and Analysis of Financial Condition and Results of Operations - Critical Accounting Policies and Estimates” in our Annual Report on Form 10-K filed with the SEC on March 10, 2021. There had been no material changes to these accounting policies. See Note 2 of Notes to Condensed Consolidated Financial Statements (Unaudited) for related discussions on updates on recently issued accounting pronouncements.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76" w:lineRule="exact"/>
        <w:rPr>
          <w:sz w:val="20"/>
          <w:szCs w:val="20"/>
          <w:color w:val="auto"/>
        </w:rPr>
      </w:pPr>
    </w:p>
    <w:p>
      <w:pPr>
        <w:jc w:val="both"/>
        <w:ind w:firstLine="334"/>
        <w:spacing w:after="0" w:line="296" w:lineRule="auto"/>
        <w:rPr>
          <w:sz w:val="20"/>
          <w:szCs w:val="20"/>
          <w:color w:val="auto"/>
        </w:rPr>
      </w:pPr>
      <w:r>
        <w:rPr>
          <w:rFonts w:ascii="Arial" w:cs="Arial" w:eastAsia="Arial" w:hAnsi="Arial"/>
          <w:sz w:val="13"/>
          <w:szCs w:val="13"/>
          <w:color w:val="auto"/>
        </w:rPr>
        <w:t>We have no off-balance sheet arrangements that have, or are reasonably likely to have, a current or future effect on our financial condition, results of operations, liquidity, capital expenditures or capital resources that is material to investors.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76" w:lineRule="exact"/>
        <w:rPr>
          <w:sz w:val="20"/>
          <w:szCs w:val="20"/>
          <w:color w:val="auto"/>
        </w:rPr>
      </w:pPr>
    </w:p>
    <w:p>
      <w:pPr>
        <w:jc w:val="both"/>
        <w:ind w:firstLine="334"/>
        <w:spacing w:after="0" w:line="296" w:lineRule="auto"/>
        <w:rPr>
          <w:sz w:val="20"/>
          <w:szCs w:val="20"/>
          <w:color w:val="auto"/>
        </w:rPr>
      </w:pPr>
      <w:r>
        <w:rPr>
          <w:rFonts w:ascii="Arial" w:cs="Arial" w:eastAsia="Arial" w:hAnsi="Arial"/>
          <w:sz w:val="13"/>
          <w:szCs w:val="13"/>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JOBS Act Accounting Election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In April 2012, the JOBS Act was enacted. Section 107(b) of the JOBS Act provides that an “emerging growth company” can take advantage of the extended transition period provided in Section 7(a)(2)</w:t>
      </w:r>
    </w:p>
    <w:p>
      <w:pPr>
        <w:spacing w:after="0" w:line="16" w:lineRule="exact"/>
        <w:rPr>
          <w:sz w:val="20"/>
          <w:szCs w:val="20"/>
          <w:color w:val="auto"/>
        </w:rPr>
      </w:pPr>
    </w:p>
    <w:p>
      <w:pPr>
        <w:jc w:val="both"/>
        <w:ind w:firstLine="1"/>
        <w:spacing w:after="0" w:line="265" w:lineRule="auto"/>
        <w:tabs>
          <w:tab w:leader="none" w:pos="227" w:val="left"/>
        </w:tabs>
        <w:numPr>
          <w:ilvl w:val="0"/>
          <w:numId w:val="10"/>
        </w:numPr>
        <w:rPr>
          <w:rFonts w:ascii="Arial" w:cs="Arial" w:eastAsia="Arial" w:hAnsi="Arial"/>
          <w:sz w:val="12"/>
          <w:szCs w:val="12"/>
          <w:color w:val="auto"/>
        </w:rPr>
      </w:pPr>
      <w:r>
        <w:rPr>
          <w:rFonts w:ascii="Arial" w:cs="Arial" w:eastAsia="Arial" w:hAnsi="Arial"/>
          <w:sz w:val="12"/>
          <w:szCs w:val="12"/>
          <w:color w:val="auto"/>
        </w:rPr>
        <w:t>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are not be subject to the same new or revised accounting standards as other public companies that are not emerging growth companies. Beginning in 2022 we will no longer be an emerging growth company and therefore will no longer be able to avail ourselves of this exemption.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See Note 2 of Notes to Condensed Consolidated Financial Statements (Unaudited) for related discussions on updates on recently issued accounting pronouncements not yet effective.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As a “smaller reporting company,” we are not required to provide the information otherwise required by this Item.</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74" w:lineRule="exact"/>
        <w:rPr>
          <w:sz w:val="20"/>
          <w:szCs w:val="20"/>
          <w:color w:val="auto"/>
        </w:rPr>
      </w:pPr>
    </w:p>
    <w:p>
      <w:pPr>
        <w:jc w:val="both"/>
        <w:ind w:firstLine="304"/>
        <w:spacing w:after="0" w:line="278" w:lineRule="auto"/>
        <w:rPr>
          <w:sz w:val="20"/>
          <w:szCs w:val="20"/>
          <w:color w:val="auto"/>
        </w:rPr>
      </w:pPr>
      <w:r>
        <w:rPr>
          <w:rFonts w:ascii="Arial" w:cs="Arial" w:eastAsia="Arial" w:hAnsi="Arial"/>
          <w:sz w:val="13"/>
          <w:szCs w:val="13"/>
          <w:color w:val="auto"/>
        </w:rPr>
        <w:t>We maintain disclosure controls and procedures that are designed to ensure that information required to be disclosed in the reports that we file or submit pursuant to the Securities and Exchange Act of 1934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40" w:right="319" w:bottom="1440" w:gutter="0" w:footer="0" w:header="0"/>
        </w:sectPr>
      </w:pPr>
    </w:p>
    <w:bookmarkStart w:id="34" w:name="page35"/>
    <w:bookmarkEnd w:id="34"/>
    <w:p>
      <w:pPr>
        <w:jc w:val="both"/>
        <w:ind w:firstLine="364"/>
        <w:spacing w:after="0" w:line="269" w:lineRule="auto"/>
        <w:rPr>
          <w:sz w:val="20"/>
          <w:szCs w:val="20"/>
          <w:color w:val="auto"/>
        </w:rPr>
      </w:pPr>
      <w:r>
        <w:rPr>
          <w:rFonts w:ascii="Arial" w:cs="Arial" w:eastAsia="Arial" w:hAnsi="Arial"/>
          <w:sz w:val="13"/>
          <w:szCs w:val="13"/>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34" w:lineRule="exact"/>
        <w:rPr>
          <w:sz w:val="20"/>
          <w:szCs w:val="20"/>
          <w:color w:val="auto"/>
        </w:rPr>
      </w:pPr>
    </w:p>
    <w:p>
      <w:pPr>
        <w:jc w:val="both"/>
        <w:ind w:firstLine="364"/>
        <w:spacing w:after="0" w:line="166" w:lineRule="exact"/>
        <w:rPr>
          <w:sz w:val="20"/>
          <w:szCs w:val="20"/>
          <w:color w:val="auto"/>
        </w:rPr>
      </w:pPr>
      <w:r>
        <w:rPr>
          <w:rFonts w:ascii="Arial" w:cs="Arial" w:eastAsia="Arial" w:hAnsi="Arial"/>
          <w:sz w:val="13"/>
          <w:szCs w:val="13"/>
          <w:color w:val="auto"/>
        </w:rPr>
        <w:t>As of September 30, 2021, our management, with the participation of our Chief Executive Officer (“CEO”) and our Chief Financial Officer (“CFO”), have evaluated our disclosure controls and procedures (as defined in Rules 13a</w:t>
      </w:r>
      <w:r>
        <w:rPr>
          <w:rFonts w:ascii="MS PGothic" w:cs="MS PGothic" w:eastAsia="MS PGothic" w:hAnsi="MS PGothic"/>
          <w:sz w:val="13"/>
          <w:szCs w:val="13"/>
          <w:color w:val="auto"/>
        </w:rPr>
        <w:t>‑</w:t>
      </w:r>
      <w:r>
        <w:rPr>
          <w:rFonts w:ascii="Arial" w:cs="Arial" w:eastAsia="Arial" w:hAnsi="Arial"/>
          <w:sz w:val="13"/>
          <w:szCs w:val="13"/>
          <w:color w:val="auto"/>
        </w:rPr>
        <w:t>15(e) and 15d</w:t>
      </w:r>
      <w:r>
        <w:rPr>
          <w:rFonts w:ascii="MS PGothic" w:cs="MS PGothic" w:eastAsia="MS PGothic" w:hAnsi="MS PGothic"/>
          <w:sz w:val="13"/>
          <w:szCs w:val="13"/>
          <w:color w:val="auto"/>
        </w:rPr>
        <w:t>‑</w:t>
      </w:r>
      <w:r>
        <w:rPr>
          <w:rFonts w:ascii="Arial" w:cs="Arial" w:eastAsia="Arial" w:hAnsi="Arial"/>
          <w:sz w:val="13"/>
          <w:szCs w:val="13"/>
          <w:color w:val="auto"/>
        </w:rPr>
        <w:t>15(e) under the Securities Exchange Act of 1934). Based on that evaluation, our CEO and our CFO have concluded that, as of September 30, 2021, our disclosure controls and procedures were effective at the reasonable assurance level.</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74" w:lineRule="exact"/>
        <w:rPr>
          <w:sz w:val="20"/>
          <w:szCs w:val="20"/>
          <w:color w:val="auto"/>
        </w:rPr>
      </w:pPr>
    </w:p>
    <w:p>
      <w:pPr>
        <w:jc w:val="both"/>
        <w:ind w:firstLine="364"/>
        <w:spacing w:after="0" w:line="278" w:lineRule="auto"/>
        <w:rPr>
          <w:sz w:val="20"/>
          <w:szCs w:val="20"/>
          <w:color w:val="auto"/>
        </w:rPr>
      </w:pPr>
      <w:r>
        <w:rPr>
          <w:rFonts w:ascii="Arial" w:cs="Arial" w:eastAsia="Arial" w:hAnsi="Arial"/>
          <w:sz w:val="13"/>
          <w:szCs w:val="13"/>
          <w:color w:val="auto"/>
        </w:rPr>
        <w:t>There were no changes in our internal control over financial reporting during the quarter ended September 30, 2021, that have materially affected, or are reasonably likely to materially affect, our internal control over financial reporting. In response to the COVID-19 pandemic, certain of our employees still continued to work remotely during the quarter. Management took measures to ensure that our internal control over financial reporting remained unchanged during this period.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II—OTHER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76" w:lineRule="exact"/>
        <w:rPr>
          <w:sz w:val="20"/>
          <w:szCs w:val="20"/>
          <w:color w:val="auto"/>
        </w:rPr>
      </w:pPr>
    </w:p>
    <w:p>
      <w:pPr>
        <w:jc w:val="both"/>
        <w:ind w:firstLine="364"/>
        <w:spacing w:after="0" w:line="278" w:lineRule="auto"/>
        <w:rPr>
          <w:sz w:val="20"/>
          <w:szCs w:val="20"/>
          <w:color w:val="auto"/>
        </w:rPr>
      </w:pPr>
      <w:r>
        <w:rPr>
          <w:rFonts w:ascii="Arial" w:cs="Arial" w:eastAsia="Arial" w:hAnsi="Arial"/>
          <w:sz w:val="13"/>
          <w:szCs w:val="13"/>
          <w:color w:val="auto"/>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9"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auto"/>
        </w:rPr>
        <w:t>Item 1A. Risk Factors</w:t>
      </w:r>
    </w:p>
    <w:p>
      <w:pPr>
        <w:spacing w:after="0" w:line="166" w:lineRule="exact"/>
        <w:rPr>
          <w:sz w:val="20"/>
          <w:szCs w:val="20"/>
          <w:color w:val="auto"/>
        </w:rPr>
      </w:pPr>
    </w:p>
    <w:p>
      <w:pPr>
        <w:jc w:val="both"/>
        <w:ind w:firstLine="334"/>
        <w:spacing w:after="0" w:line="252" w:lineRule="auto"/>
        <w:rPr>
          <w:sz w:val="20"/>
          <w:szCs w:val="20"/>
          <w:color w:val="auto"/>
        </w:rPr>
      </w:pPr>
      <w:r>
        <w:rPr>
          <w:rFonts w:ascii="Arial" w:cs="Arial" w:eastAsia="Arial" w:hAnsi="Arial"/>
          <w:sz w:val="13"/>
          <w:szCs w:val="13"/>
          <w:i w:val="1"/>
          <w:iCs w:val="1"/>
          <w:color w:val="auto"/>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Factor Summary</w:t>
      </w:r>
    </w:p>
    <w:p>
      <w:pPr>
        <w:spacing w:after="0" w:line="166" w:lineRule="exact"/>
        <w:rPr>
          <w:sz w:val="20"/>
          <w:szCs w:val="20"/>
          <w:color w:val="auto"/>
        </w:rPr>
      </w:pPr>
    </w:p>
    <w:p>
      <w:pPr>
        <w:ind w:left="480" w:hanging="236"/>
        <w:spacing w:after="0"/>
        <w:tabs>
          <w:tab w:leader="none" w:pos="480" w:val="left"/>
        </w:tabs>
        <w:numPr>
          <w:ilvl w:val="0"/>
          <w:numId w:val="1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We have incurred significant operating losses since inception, we expect to continue to incur operating losses in the future, and we may not be able to achieve or sustain future profitability</w:t>
      </w:r>
      <w:r>
        <w:rPr>
          <w:rFonts w:ascii="Arial" w:cs="Arial" w:eastAsia="Arial" w:hAnsi="Arial"/>
          <w:sz w:val="12"/>
          <w:szCs w:val="12"/>
          <w:color w:val="auto"/>
        </w:rPr>
        <w:t>;</w:t>
      </w:r>
    </w:p>
    <w:p>
      <w:pPr>
        <w:spacing w:after="0" w:line="175" w:lineRule="exact"/>
        <w:rPr>
          <w:rFonts w:ascii="Arial" w:cs="Arial" w:eastAsia="Arial" w:hAnsi="Arial"/>
          <w:sz w:val="12"/>
          <w:szCs w:val="12"/>
          <w:b w:val="1"/>
          <w:bCs w:val="1"/>
          <w:i w:val="1"/>
          <w:iCs w:val="1"/>
          <w:color w:val="auto"/>
        </w:rPr>
      </w:pPr>
    </w:p>
    <w:p>
      <w:pPr>
        <w:ind w:left="480" w:hanging="236"/>
        <w:spacing w:after="0" w:line="280" w:lineRule="auto"/>
        <w:tabs>
          <w:tab w:leader="none" w:pos="477" w:val="left"/>
        </w:tabs>
        <w:numPr>
          <w:ilvl w:val="0"/>
          <w:numId w:val="1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06" w:lineRule="exact"/>
        <w:rPr>
          <w:rFonts w:ascii="Arial" w:cs="Arial" w:eastAsia="Arial" w:hAnsi="Arial"/>
          <w:sz w:val="13"/>
          <w:szCs w:val="13"/>
          <w:b w:val="1"/>
          <w:bCs w:val="1"/>
          <w:i w:val="1"/>
          <w:iCs w:val="1"/>
          <w:color w:val="auto"/>
        </w:rPr>
      </w:pPr>
    </w:p>
    <w:p>
      <w:pPr>
        <w:ind w:left="480" w:hanging="236"/>
        <w:spacing w:after="0"/>
        <w:tabs>
          <w:tab w:leader="none" w:pos="480" w:val="left"/>
        </w:tabs>
        <w:numPr>
          <w:ilvl w:val="0"/>
          <w:numId w:val="1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Prolonged inflation and supply chain disruptions could result in delayed product launches, lost revenue, higher costs and decreased profit margins;</w:t>
      </w:r>
    </w:p>
    <w:p>
      <w:pPr>
        <w:spacing w:after="0" w:line="164" w:lineRule="exact"/>
        <w:rPr>
          <w:rFonts w:ascii="Arial" w:cs="Arial" w:eastAsia="Arial" w:hAnsi="Arial"/>
          <w:sz w:val="13"/>
          <w:szCs w:val="13"/>
          <w:b w:val="1"/>
          <w:bCs w:val="1"/>
          <w:i w:val="1"/>
          <w:iCs w:val="1"/>
          <w:color w:val="auto"/>
        </w:rPr>
      </w:pPr>
    </w:p>
    <w:p>
      <w:pPr>
        <w:ind w:left="480" w:hanging="236"/>
        <w:spacing w:after="0" w:line="280" w:lineRule="auto"/>
        <w:tabs>
          <w:tab w:leader="none" w:pos="477" w:val="left"/>
        </w:tabs>
        <w:numPr>
          <w:ilvl w:val="0"/>
          <w:numId w:val="1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If hospitals, surgeons, and other healthcare providers are unable to obtain and maintain adequate or any coverage and reimbursement from third-party payors for procedures performed using our products, adoption of our products may be delayed, it is unlikely that they will gain further acceptance, and the prices paid for our implants may decline</w:t>
      </w:r>
      <w:r>
        <w:rPr>
          <w:rFonts w:ascii="Arial" w:cs="Arial" w:eastAsia="Arial" w:hAnsi="Arial"/>
          <w:sz w:val="13"/>
          <w:szCs w:val="13"/>
          <w:color w:val="auto"/>
        </w:rPr>
        <w:t>;</w:t>
      </w:r>
    </w:p>
    <w:p>
      <w:pPr>
        <w:spacing w:after="0" w:line="147" w:lineRule="exact"/>
        <w:rPr>
          <w:rFonts w:ascii="Arial" w:cs="Arial" w:eastAsia="Arial" w:hAnsi="Arial"/>
          <w:sz w:val="13"/>
          <w:szCs w:val="13"/>
          <w:b w:val="1"/>
          <w:bCs w:val="1"/>
          <w:i w:val="1"/>
          <w:iCs w:val="1"/>
          <w:color w:val="auto"/>
        </w:rPr>
      </w:pPr>
    </w:p>
    <w:p>
      <w:pPr>
        <w:ind w:left="480" w:hanging="236"/>
        <w:spacing w:after="0" w:line="241" w:lineRule="auto"/>
        <w:tabs>
          <w:tab w:leader="none" w:pos="476" w:val="left"/>
        </w:tabs>
        <w:numPr>
          <w:ilvl w:val="0"/>
          <w:numId w:val="11"/>
        </w:numPr>
        <w:rPr>
          <w:rFonts w:ascii="Arial" w:cs="Arial" w:eastAsia="Arial" w:hAnsi="Arial"/>
          <w:sz w:val="16"/>
          <w:szCs w:val="16"/>
          <w:color w:val="auto"/>
        </w:rPr>
      </w:pPr>
      <w:r>
        <w:rPr>
          <w:rFonts w:ascii="Arial" w:cs="Arial" w:eastAsia="Arial" w:hAnsi="Arial"/>
          <w:sz w:val="13"/>
          <w:szCs w:val="13"/>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r>
        <w:rPr>
          <w:rFonts w:ascii="Arial" w:cs="Arial" w:eastAsia="Arial" w:hAnsi="Arial"/>
          <w:sz w:val="13"/>
          <w:szCs w:val="13"/>
          <w:color w:val="auto"/>
        </w:rPr>
        <w:t>;</w:t>
      </w:r>
    </w:p>
    <w:p>
      <w:pPr>
        <w:spacing w:after="0" w:line="150" w:lineRule="exact"/>
        <w:rPr>
          <w:rFonts w:ascii="Arial" w:cs="Arial" w:eastAsia="Arial" w:hAnsi="Arial"/>
          <w:sz w:val="16"/>
          <w:szCs w:val="16"/>
          <w:color w:val="auto"/>
        </w:rPr>
      </w:pPr>
    </w:p>
    <w:p>
      <w:pPr>
        <w:ind w:left="480" w:hanging="236"/>
        <w:spacing w:after="0" w:line="280" w:lineRule="auto"/>
        <w:tabs>
          <w:tab w:leader="none" w:pos="477" w:val="left"/>
        </w:tabs>
        <w:numPr>
          <w:ilvl w:val="0"/>
          <w:numId w:val="11"/>
        </w:numPr>
        <w:rPr>
          <w:rFonts w:ascii="Arial" w:cs="Arial" w:eastAsia="Arial" w:hAnsi="Arial"/>
          <w:sz w:val="13"/>
          <w:szCs w:val="13"/>
          <w:color w:val="auto"/>
        </w:rPr>
      </w:pPr>
      <w:r>
        <w:rPr>
          <w:rFonts w:ascii="Arial" w:cs="Arial" w:eastAsia="Arial" w:hAnsi="Arial"/>
          <w:sz w:val="13"/>
          <w:szCs w:val="13"/>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r>
        <w:rPr>
          <w:rFonts w:ascii="Arial" w:cs="Arial" w:eastAsia="Arial" w:hAnsi="Arial"/>
          <w:sz w:val="13"/>
          <w:szCs w:val="13"/>
          <w:color w:val="auto"/>
        </w:rPr>
        <w:t>;</w:t>
      </w:r>
    </w:p>
    <w:p>
      <w:pPr>
        <w:spacing w:after="0" w:line="116" w:lineRule="exact"/>
        <w:rPr>
          <w:rFonts w:ascii="Arial" w:cs="Arial" w:eastAsia="Arial" w:hAnsi="Arial"/>
          <w:sz w:val="13"/>
          <w:szCs w:val="13"/>
          <w:color w:val="auto"/>
        </w:rPr>
      </w:pPr>
    </w:p>
    <w:p>
      <w:pPr>
        <w:ind w:left="480" w:hanging="236"/>
        <w:spacing w:after="0" w:line="280" w:lineRule="auto"/>
        <w:tabs>
          <w:tab w:leader="none" w:pos="477" w:val="left"/>
        </w:tabs>
        <w:numPr>
          <w:ilvl w:val="0"/>
          <w:numId w:val="1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r>
        <w:rPr>
          <w:rFonts w:ascii="Arial" w:cs="Arial" w:eastAsia="Arial" w:hAnsi="Arial"/>
          <w:sz w:val="13"/>
          <w:szCs w:val="13"/>
          <w:color w:val="auto"/>
        </w:rPr>
        <w:t>;</w:t>
      </w:r>
    </w:p>
    <w:p>
      <w:pPr>
        <w:spacing w:after="0" w:line="137" w:lineRule="exact"/>
        <w:rPr>
          <w:rFonts w:ascii="Arial" w:cs="Arial" w:eastAsia="Arial" w:hAnsi="Arial"/>
          <w:sz w:val="13"/>
          <w:szCs w:val="13"/>
          <w:b w:val="1"/>
          <w:bCs w:val="1"/>
          <w:i w:val="1"/>
          <w:iCs w:val="1"/>
          <w:color w:val="auto"/>
        </w:rPr>
      </w:pPr>
    </w:p>
    <w:p>
      <w:pPr>
        <w:ind w:left="480" w:hanging="236"/>
        <w:spacing w:after="0" w:line="241" w:lineRule="auto"/>
        <w:tabs>
          <w:tab w:leader="none" w:pos="476" w:val="left"/>
        </w:tabs>
        <w:numPr>
          <w:ilvl w:val="0"/>
          <w:numId w:val="11"/>
        </w:numPr>
        <w:rPr>
          <w:rFonts w:ascii="Arial" w:cs="Arial" w:eastAsia="Arial" w:hAnsi="Arial"/>
          <w:sz w:val="16"/>
          <w:szCs w:val="16"/>
          <w:color w:val="auto"/>
        </w:rPr>
      </w:pPr>
      <w:r>
        <w:rPr>
          <w:rFonts w:ascii="Arial" w:cs="Arial" w:eastAsia="Arial" w:hAnsi="Arial"/>
          <w:sz w:val="13"/>
          <w:szCs w:val="13"/>
          <w:b w:val="1"/>
          <w:bCs w:val="1"/>
          <w:i w:val="1"/>
          <w:iCs w:val="1"/>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r>
        <w:rPr>
          <w:rFonts w:ascii="Arial" w:cs="Arial" w:eastAsia="Arial" w:hAnsi="Arial"/>
          <w:sz w:val="13"/>
          <w:szCs w:val="13"/>
          <w:color w:val="auto"/>
        </w:rPr>
        <w:t>;</w:t>
      </w:r>
    </w:p>
    <w:p>
      <w:pPr>
        <w:spacing w:after="0" w:line="161" w:lineRule="exact"/>
        <w:rPr>
          <w:rFonts w:ascii="Arial" w:cs="Arial" w:eastAsia="Arial" w:hAnsi="Arial"/>
          <w:sz w:val="16"/>
          <w:szCs w:val="16"/>
          <w:color w:val="auto"/>
        </w:rPr>
      </w:pPr>
    </w:p>
    <w:p>
      <w:pPr>
        <w:ind w:left="480" w:hanging="236"/>
        <w:spacing w:after="0" w:line="241" w:lineRule="auto"/>
        <w:tabs>
          <w:tab w:leader="none" w:pos="476" w:val="left"/>
        </w:tabs>
        <w:numPr>
          <w:ilvl w:val="0"/>
          <w:numId w:val="11"/>
        </w:numPr>
        <w:rPr>
          <w:rFonts w:ascii="Arial" w:cs="Arial" w:eastAsia="Arial" w:hAnsi="Arial"/>
          <w:sz w:val="16"/>
          <w:szCs w:val="16"/>
          <w:color w:val="auto"/>
        </w:rPr>
      </w:pPr>
      <w:r>
        <w:rPr>
          <w:rFonts w:ascii="Arial" w:cs="Arial" w:eastAsia="Arial" w:hAnsi="Arial"/>
          <w:sz w:val="13"/>
          <w:szCs w:val="13"/>
          <w:b w:val="1"/>
          <w:bCs w:val="1"/>
          <w:i w:val="1"/>
          <w:iCs w:val="1"/>
          <w:color w:val="auto"/>
        </w:rPr>
        <w:t>Practice trends or other factors, including the COVID-19 pandemic, may cause procedures to shift from the hospital environment to ambulatory surgical centers, or ASCs, where pressure on the prices of our products is generally more acute</w:t>
      </w:r>
      <w:r>
        <w:rPr>
          <w:rFonts w:ascii="Arial" w:cs="Arial" w:eastAsia="Arial" w:hAnsi="Arial"/>
          <w:sz w:val="13"/>
          <w:szCs w:val="13"/>
          <w:color w:val="auto"/>
        </w:rPr>
        <w:t>;</w:t>
      </w:r>
    </w:p>
    <w:p>
      <w:pPr>
        <w:spacing w:after="0" w:line="140" w:lineRule="exact"/>
        <w:rPr>
          <w:rFonts w:ascii="Arial" w:cs="Arial" w:eastAsia="Arial" w:hAnsi="Arial"/>
          <w:sz w:val="16"/>
          <w:szCs w:val="16"/>
          <w:color w:val="auto"/>
        </w:rPr>
      </w:pPr>
    </w:p>
    <w:p>
      <w:pPr>
        <w:ind w:left="480" w:hanging="236"/>
        <w:spacing w:after="0" w:line="280" w:lineRule="auto"/>
        <w:tabs>
          <w:tab w:leader="none" w:pos="477" w:val="left"/>
        </w:tabs>
        <w:numPr>
          <w:ilvl w:val="0"/>
          <w:numId w:val="11"/>
        </w:numPr>
        <w:rPr>
          <w:rFonts w:ascii="Arial" w:cs="Arial" w:eastAsia="Arial" w:hAnsi="Arial"/>
          <w:sz w:val="13"/>
          <w:szCs w:val="13"/>
          <w:color w:val="auto"/>
        </w:rPr>
      </w:pPr>
      <w:r>
        <w:rPr>
          <w:rFonts w:ascii="Arial" w:cs="Arial" w:eastAsia="Arial" w:hAnsi="Arial"/>
          <w:sz w:val="13"/>
          <w:szCs w:val="13"/>
          <w:b w:val="1"/>
          <w:bCs w:val="1"/>
          <w:i w:val="1"/>
          <w:iCs w:val="1"/>
          <w:color w:val="auto"/>
        </w:rPr>
        <w:t>We operate in a very competitive business environment and if we are unable to compete successfully against our existing or potential competitors, our sales and operating results may be adversely affected</w:t>
      </w:r>
      <w:r>
        <w:rPr>
          <w:rFonts w:ascii="Arial" w:cs="Arial" w:eastAsia="Arial" w:hAnsi="Arial"/>
          <w:sz w:val="13"/>
          <w:szCs w:val="13"/>
          <w:color w:val="auto"/>
        </w:rPr>
        <w:t>;</w:t>
      </w:r>
    </w:p>
    <w:p>
      <w:pPr>
        <w:spacing w:after="0" w:line="137" w:lineRule="exact"/>
        <w:rPr>
          <w:rFonts w:ascii="Arial" w:cs="Arial" w:eastAsia="Arial" w:hAnsi="Arial"/>
          <w:sz w:val="13"/>
          <w:szCs w:val="13"/>
          <w:color w:val="auto"/>
        </w:rPr>
      </w:pPr>
    </w:p>
    <w:p>
      <w:pPr>
        <w:ind w:left="480" w:hanging="236"/>
        <w:spacing w:after="0" w:line="241" w:lineRule="auto"/>
        <w:tabs>
          <w:tab w:leader="none" w:pos="476" w:val="left"/>
        </w:tabs>
        <w:numPr>
          <w:ilvl w:val="0"/>
          <w:numId w:val="11"/>
        </w:numPr>
        <w:rPr>
          <w:rFonts w:ascii="Arial" w:cs="Arial" w:eastAsia="Arial" w:hAnsi="Arial"/>
          <w:sz w:val="16"/>
          <w:szCs w:val="16"/>
          <w:color w:val="auto"/>
        </w:rPr>
      </w:pPr>
      <w:r>
        <w:rPr>
          <w:rFonts w:ascii="Arial" w:cs="Arial" w:eastAsia="Arial" w:hAnsi="Arial"/>
          <w:sz w:val="13"/>
          <w:szCs w:val="13"/>
          <w:b w:val="1"/>
          <w:bCs w:val="1"/>
          <w:i w:val="1"/>
          <w:iCs w:val="1"/>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r>
        <w:rPr>
          <w:rFonts w:ascii="Arial" w:cs="Arial" w:eastAsia="Arial" w:hAnsi="Arial"/>
          <w:sz w:val="13"/>
          <w:szCs w:val="13"/>
          <w:color w:val="auto"/>
        </w:rPr>
        <w:t>;</w:t>
      </w:r>
    </w:p>
    <w:p>
      <w:pPr>
        <w:spacing w:after="0" w:line="161" w:lineRule="exact"/>
        <w:rPr>
          <w:rFonts w:ascii="Arial" w:cs="Arial" w:eastAsia="Arial" w:hAnsi="Arial"/>
          <w:sz w:val="16"/>
          <w:szCs w:val="16"/>
          <w:color w:val="auto"/>
        </w:rPr>
      </w:pPr>
    </w:p>
    <w:p>
      <w:pPr>
        <w:ind w:left="480" w:hanging="236"/>
        <w:spacing w:after="0" w:line="241" w:lineRule="auto"/>
        <w:tabs>
          <w:tab w:leader="none" w:pos="476" w:val="left"/>
        </w:tabs>
        <w:numPr>
          <w:ilvl w:val="0"/>
          <w:numId w:val="11"/>
        </w:numPr>
        <w:rPr>
          <w:rFonts w:ascii="Arial" w:cs="Arial" w:eastAsia="Arial" w:hAnsi="Arial"/>
          <w:sz w:val="16"/>
          <w:szCs w:val="16"/>
          <w:color w:val="auto"/>
        </w:rPr>
      </w:pPr>
      <w:r>
        <w:rPr>
          <w:rFonts w:ascii="Arial" w:cs="Arial" w:eastAsia="Arial" w:hAnsi="Arial"/>
          <w:sz w:val="13"/>
          <w:szCs w:val="13"/>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r>
        <w:rPr>
          <w:rFonts w:ascii="Arial" w:cs="Arial" w:eastAsia="Arial" w:hAnsi="Arial"/>
          <w:sz w:val="13"/>
          <w:szCs w:val="13"/>
          <w:color w:val="auto"/>
        </w:rPr>
        <w:t>;</w:t>
      </w:r>
    </w:p>
    <w:p>
      <w:pPr>
        <w:spacing w:after="0" w:line="140" w:lineRule="exact"/>
        <w:rPr>
          <w:rFonts w:ascii="Arial" w:cs="Arial" w:eastAsia="Arial" w:hAnsi="Arial"/>
          <w:sz w:val="16"/>
          <w:szCs w:val="16"/>
          <w:color w:val="auto"/>
        </w:rPr>
      </w:pPr>
    </w:p>
    <w:p>
      <w:pPr>
        <w:ind w:left="480" w:hanging="236"/>
        <w:spacing w:after="0"/>
        <w:tabs>
          <w:tab w:leader="none" w:pos="480" w:val="left"/>
        </w:tabs>
        <w:numPr>
          <w:ilvl w:val="0"/>
          <w:numId w:val="1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If we are unable to maintain our network of direct sales representatives and third-party distributors, we may not be able to generate anticipated sales</w:t>
      </w:r>
      <w:r>
        <w:rPr>
          <w:rFonts w:ascii="Arial" w:cs="Arial" w:eastAsia="Arial" w:hAnsi="Arial"/>
          <w:sz w:val="13"/>
          <w:szCs w:val="13"/>
          <w:color w:val="auto"/>
        </w:rPr>
        <w: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36" w:name="page37"/>
    <w:bookmarkEnd w:id="36"/>
    <w:p>
      <w:pPr>
        <w:ind w:left="480" w:hanging="236"/>
        <w:spacing w:after="0" w:line="323" w:lineRule="auto"/>
        <w:tabs>
          <w:tab w:leader="none" w:pos="477" w:val="left"/>
        </w:tabs>
        <w:numPr>
          <w:ilvl w:val="0"/>
          <w:numId w:val="1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r>
        <w:rPr>
          <w:rFonts w:ascii="Arial" w:cs="Arial" w:eastAsia="Arial" w:hAnsi="Arial"/>
          <w:sz w:val="12"/>
          <w:szCs w:val="12"/>
          <w:color w:val="auto"/>
        </w:rPr>
        <w:t>;</w:t>
      </w:r>
    </w:p>
    <w:p>
      <w:pPr>
        <w:spacing w:after="0" w:line="94" w:lineRule="exact"/>
        <w:rPr>
          <w:rFonts w:ascii="Arial" w:cs="Arial" w:eastAsia="Arial" w:hAnsi="Arial"/>
          <w:sz w:val="12"/>
          <w:szCs w:val="12"/>
          <w:b w:val="1"/>
          <w:bCs w:val="1"/>
          <w:i w:val="1"/>
          <w:iCs w:val="1"/>
          <w:color w:val="auto"/>
        </w:rPr>
      </w:pPr>
    </w:p>
    <w:p>
      <w:pPr>
        <w:ind w:left="480" w:hanging="236"/>
        <w:spacing w:after="0" w:line="280" w:lineRule="auto"/>
        <w:tabs>
          <w:tab w:leader="none" w:pos="477" w:val="left"/>
        </w:tabs>
        <w:numPr>
          <w:ilvl w:val="0"/>
          <w:numId w:val="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r>
        <w:rPr>
          <w:rFonts w:ascii="Arial" w:cs="Arial" w:eastAsia="Arial" w:hAnsi="Arial"/>
          <w:sz w:val="13"/>
          <w:szCs w:val="13"/>
          <w:color w:val="auto"/>
        </w:rPr>
        <w:t>;</w:t>
      </w:r>
    </w:p>
    <w:p>
      <w:pPr>
        <w:spacing w:after="0" w:line="137" w:lineRule="exact"/>
        <w:rPr>
          <w:rFonts w:ascii="Arial" w:cs="Arial" w:eastAsia="Arial" w:hAnsi="Arial"/>
          <w:sz w:val="13"/>
          <w:szCs w:val="13"/>
          <w:b w:val="1"/>
          <w:bCs w:val="1"/>
          <w:i w:val="1"/>
          <w:iCs w:val="1"/>
          <w:color w:val="auto"/>
        </w:rPr>
      </w:pPr>
    </w:p>
    <w:p>
      <w:pPr>
        <w:ind w:left="480" w:hanging="236"/>
        <w:spacing w:after="0" w:line="241" w:lineRule="auto"/>
        <w:tabs>
          <w:tab w:leader="none" w:pos="476" w:val="left"/>
        </w:tabs>
        <w:numPr>
          <w:ilvl w:val="0"/>
          <w:numId w:val="12"/>
        </w:numPr>
        <w:rPr>
          <w:rFonts w:ascii="Arial" w:cs="Arial" w:eastAsia="Arial" w:hAnsi="Arial"/>
          <w:sz w:val="16"/>
          <w:szCs w:val="16"/>
          <w:color w:val="auto"/>
        </w:rPr>
      </w:pPr>
      <w:r>
        <w:rPr>
          <w:rFonts w:ascii="Arial" w:cs="Arial" w:eastAsia="Arial" w:hAnsi="Arial"/>
          <w:sz w:val="13"/>
          <w:szCs w:val="13"/>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r>
        <w:rPr>
          <w:rFonts w:ascii="Arial" w:cs="Arial" w:eastAsia="Arial" w:hAnsi="Arial"/>
          <w:sz w:val="13"/>
          <w:szCs w:val="13"/>
          <w:color w:val="auto"/>
        </w:rPr>
        <w:t>;</w:t>
      </w:r>
    </w:p>
    <w:p>
      <w:pPr>
        <w:spacing w:after="0" w:line="140" w:lineRule="exact"/>
        <w:rPr>
          <w:rFonts w:ascii="Arial" w:cs="Arial" w:eastAsia="Arial" w:hAnsi="Arial"/>
          <w:sz w:val="16"/>
          <w:szCs w:val="16"/>
          <w:color w:val="auto"/>
        </w:rPr>
      </w:pPr>
    </w:p>
    <w:p>
      <w:pPr>
        <w:ind w:left="480" w:hanging="236"/>
        <w:spacing w:after="0" w:line="280" w:lineRule="auto"/>
        <w:tabs>
          <w:tab w:leader="none" w:pos="477" w:val="left"/>
        </w:tabs>
        <w:numPr>
          <w:ilvl w:val="0"/>
          <w:numId w:val="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r>
        <w:rPr>
          <w:rFonts w:ascii="Arial" w:cs="Arial" w:eastAsia="Arial" w:hAnsi="Arial"/>
          <w:sz w:val="13"/>
          <w:szCs w:val="13"/>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 and Our Industry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6"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3"/>
          <w:szCs w:val="13"/>
          <w:color w:val="auto"/>
        </w:rPr>
        <w:t>We have incurred net losses since our inception in 2008. For the nine months ended September 30, 2021, we had a net loss of $42.1 million. For the years ended December 31, 2020 and 2019, we had net losses of $43.7 million and $38.4 million, respectively. As of September 30, 2021, we had an accumulated deficit of $281.4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38" w:lineRule="exact"/>
        <w:rPr>
          <w:sz w:val="20"/>
          <w:szCs w:val="20"/>
          <w:color w:val="auto"/>
        </w:rPr>
      </w:pPr>
    </w:p>
    <w:p>
      <w:pPr>
        <w:jc w:val="both"/>
        <w:ind w:firstLine="364"/>
        <w:spacing w:after="0" w:line="248" w:lineRule="auto"/>
        <w:rPr>
          <w:sz w:val="20"/>
          <w:szCs w:val="20"/>
          <w:color w:val="auto"/>
        </w:rPr>
      </w:pPr>
      <w:r>
        <w:rPr>
          <w:rFonts w:ascii="Arial" w:cs="Arial" w:eastAsia="Arial" w:hAnsi="Arial"/>
          <w:sz w:val="13"/>
          <w:szCs w:val="13"/>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37" w:name="page38"/>
    <w:bookmarkEnd w:id="37"/>
    <w:p>
      <w:pPr>
        <w:jc w:val="both"/>
        <w:ind w:firstLine="304"/>
        <w:spacing w:after="0" w:line="280" w:lineRule="auto"/>
        <w:rPr>
          <w:sz w:val="20"/>
          <w:szCs w:val="20"/>
          <w:color w:val="auto"/>
        </w:rPr>
      </w:pPr>
      <w:r>
        <w:rPr>
          <w:rFonts w:ascii="Arial" w:cs="Arial" w:eastAsia="Arial" w:hAnsi="Arial"/>
          <w:sz w:val="13"/>
          <w:szCs w:val="13"/>
          <w:b w:val="1"/>
          <w:bCs w:val="1"/>
          <w:i w:val="1"/>
          <w:iCs w:val="1"/>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17"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3"/>
          <w:szCs w:val="13"/>
          <w:color w:val="auto"/>
        </w:rPr>
        <w:t>Outbreaks of infectious diseases, such as COVID-19, and historically, the Ebola virus, Middle East Respiratory Syndrome, Severe Acute Respiratory Syndrome, or the H1N1 influenza virus, could divert medical resources and priorities towards the treatment of that disease. An outbreak of an infectious disease, or continued escalation of the outbreak of COVID-19 could also negatively affect hospital admission rates and the decision by patients to undergo elective surgery, which could decrease demand for procedures using our implants and cause other disruptions to our business. Business disruptions could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implants that are performed and have a material adverse effect on our business, financial condition, results of operations, or cash flows.</w:t>
      </w:r>
    </w:p>
    <w:p>
      <w:pPr>
        <w:spacing w:after="0" w:line="148" w:lineRule="exact"/>
        <w:rPr>
          <w:sz w:val="20"/>
          <w:szCs w:val="20"/>
          <w:color w:val="auto"/>
        </w:rPr>
      </w:pPr>
    </w:p>
    <w:p>
      <w:pPr>
        <w:jc w:val="both"/>
        <w:ind w:firstLine="334"/>
        <w:spacing w:after="0" w:line="253" w:lineRule="auto"/>
        <w:rPr>
          <w:sz w:val="20"/>
          <w:szCs w:val="20"/>
          <w:color w:val="auto"/>
        </w:rPr>
      </w:pPr>
      <w:r>
        <w:rPr>
          <w:rFonts w:ascii="Arial" w:cs="Arial" w:eastAsia="Arial" w:hAnsi="Arial"/>
          <w:sz w:val="12"/>
          <w:szCs w:val="12"/>
          <w:color w:val="auto"/>
        </w:rPr>
        <w:t>To date, COVID-19 has had, and we expect will continue to have, an adverse impact on our operations as a result of preventive and precautionary measures that we, other businesses, health systems and governments are taking. Due to these measures, we have experienced and expect to continue to experience significant and unpredictable reductions in the demand for our products, negative impact on hospital admission rates and delay in the decision by patients to undergo elective surgery, each of which has decreased and may continue to impact the demand for procedures using our implants. These developments and effects are expected to continue and may also significantly affect our business across the United States and other countries where COVID-19 has spread and may continue to spread. There are numerous uncertainties associated with this COVID-19 outbreak, including the number of individuals who will become infected, the effectiveness of vaccines or one or more therapies that mitigate the effect of the virus, the availability of vaccines and the vaccination rates in the U.S. and worldwide, the emergence of variants of the COVID-19 virus, the extent of the protective and preventative measures that have been put in place by both governmental entities and other businesses and those that may be put in place in the future, the effect that testing for COVID-19 and antibodies will enable relaxation of protective measures for a subset of the population, and numerous other uncertainties. We intend to continue to execute on our strategic plans and operational initiatives during the COVID-19 outbreak. However, the aforementioned uncertainties may result in delays or modifications to these plans and initiatives.</w:t>
      </w:r>
    </w:p>
    <w:p>
      <w:pPr>
        <w:spacing w:after="0" w:line="159"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Existing travel restrictions, and the risk that countries may continue to close borders, impose prolonged quarantines, and further restrict travel, limit our ability to reach surgeons with our goal of increasing surgeon activity by providing education and support.</w:t>
      </w:r>
    </w:p>
    <w:p>
      <w:pPr>
        <w:spacing w:after="0" w:line="137" w:lineRule="exact"/>
        <w:rPr>
          <w:sz w:val="20"/>
          <w:szCs w:val="20"/>
          <w:color w:val="auto"/>
        </w:rPr>
      </w:pPr>
    </w:p>
    <w:p>
      <w:pPr>
        <w:jc w:val="both"/>
        <w:ind w:firstLine="334"/>
        <w:spacing w:after="0" w:line="251" w:lineRule="auto"/>
        <w:rPr>
          <w:sz w:val="20"/>
          <w:szCs w:val="20"/>
          <w:color w:val="auto"/>
        </w:rPr>
      </w:pPr>
      <w:r>
        <w:rPr>
          <w:rFonts w:ascii="Arial" w:cs="Arial" w:eastAsia="Arial" w:hAnsi="Arial"/>
          <w:sz w:val="13"/>
          <w:szCs w:val="13"/>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existence and further duration of the COVID-19 pandemic may also further exacerbate certain of the risks as described in this “Item 1A - Risk Factors” of this Quarterly Report on Form 10-Q.”</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Prolonged inflation and supply chain disruptions could result in delayed product launches, lost revenue, higher costs and decreased profit margins.</w:t>
      </w:r>
    </w:p>
    <w:p>
      <w:pPr>
        <w:spacing w:after="0" w:line="174" w:lineRule="exact"/>
        <w:rPr>
          <w:sz w:val="20"/>
          <w:szCs w:val="20"/>
          <w:color w:val="auto"/>
        </w:rPr>
      </w:pPr>
    </w:p>
    <w:p>
      <w:pPr>
        <w:jc w:val="both"/>
        <w:ind w:firstLine="486"/>
        <w:spacing w:after="0" w:line="233" w:lineRule="auto"/>
        <w:rPr>
          <w:sz w:val="20"/>
          <w:szCs w:val="20"/>
          <w:color w:val="auto"/>
        </w:rPr>
      </w:pPr>
      <w:r>
        <w:rPr>
          <w:rFonts w:ascii="Arial" w:cs="Arial" w:eastAsia="Arial" w:hAnsi="Arial"/>
          <w:sz w:val="13"/>
          <w:szCs w:val="13"/>
          <w:color w:val="auto"/>
        </w:rPr>
        <w:t>A majority of our products are manufactured and sold inside of the United States, which increases our exposure to domestic inflation and fuel price increases. Recent inflationary pressures have resulted in increased fuel, raw materials and other costs which, if they continue for a prolonged period, may adversely affect our results of operations. We have begun to experience shortages in certain raw materials and component inputs of our products, primarily surgical instruments, suppliers have been unable to meet delivery schedules due to excess demand and labor shortages, and lead times have lengthened throughout our supply chain. Our efforts to mitigate supply chain weaknesses may not be successful or may have unfavorable effects. For example, efforts to purchase raw materials in advance for product manufacturing may result in increased storage costs or excess supply. If our costs rise due to continuing significant inflationary pressures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38" w:name="page39"/>
    <w:bookmarkEnd w:id="38"/>
    <w:p>
      <w:pPr>
        <w:jc w:val="both"/>
        <w:spacing w:after="0" w:line="280" w:lineRule="auto"/>
        <w:rPr>
          <w:sz w:val="20"/>
          <w:szCs w:val="20"/>
          <w:color w:val="auto"/>
        </w:rPr>
      </w:pPr>
      <w:r>
        <w:rPr>
          <w:rFonts w:ascii="Arial" w:cs="Arial" w:eastAsia="Arial" w:hAnsi="Arial"/>
          <w:sz w:val="13"/>
          <w:szCs w:val="13"/>
          <w:b w:val="1"/>
          <w:bCs w:val="1"/>
          <w:i w:val="1"/>
          <w:iCs w:val="1"/>
          <w:color w:val="auto"/>
        </w:rPr>
        <w:t>If hospitals, surgeons, and other healthcare providers are unable to obtain and maintain adequate or any coverage and reimbursement from third-party payors for procedures performed using our products, adoption of our products may be delayed, it is unlikely that they will gain further acceptance, and the prices paid for our implants may decline.</w:t>
      </w:r>
    </w:p>
    <w:p>
      <w:pPr>
        <w:spacing w:after="0" w:line="117" w:lineRule="exact"/>
        <w:rPr>
          <w:sz w:val="20"/>
          <w:szCs w:val="20"/>
          <w:color w:val="auto"/>
        </w:rPr>
      </w:pPr>
    </w:p>
    <w:p>
      <w:pPr>
        <w:jc w:val="both"/>
        <w:ind w:firstLine="304"/>
        <w:spacing w:after="0" w:line="251" w:lineRule="auto"/>
        <w:rPr>
          <w:sz w:val="20"/>
          <w:szCs w:val="20"/>
          <w:color w:val="auto"/>
        </w:rPr>
      </w:pPr>
      <w:r>
        <w:rPr>
          <w:rFonts w:ascii="Arial" w:cs="Arial" w:eastAsia="Arial" w:hAnsi="Arial"/>
          <w:sz w:val="13"/>
          <w:szCs w:val="13"/>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 When a procedure using our implants is performed, both the surgeon and the healthcare facility, either a hospital or ambulatory surgical center, submit claims for reimbursement to the healthcare payor. We may be unable to sell our products on a profitable basis if third-party payors deny coverage or reduce their current levels of payment, or if reimbursement levels are insufficient to support use of our products by healthcare facilities or to compensate surgeons for their time spent diagnosing patients and performing procedures using our products.</w:t>
      </w:r>
    </w:p>
    <w:p>
      <w:pPr>
        <w:spacing w:after="0" w:line="155" w:lineRule="exact"/>
        <w:rPr>
          <w:sz w:val="20"/>
          <w:szCs w:val="20"/>
          <w:color w:val="auto"/>
        </w:rPr>
      </w:pPr>
    </w:p>
    <w:p>
      <w:pPr>
        <w:jc w:val="both"/>
        <w:ind w:firstLine="304"/>
        <w:spacing w:after="0" w:line="261" w:lineRule="auto"/>
        <w:rPr>
          <w:sz w:val="20"/>
          <w:szCs w:val="20"/>
          <w:color w:val="auto"/>
        </w:rPr>
      </w:pPr>
      <w:r>
        <w:rPr>
          <w:rFonts w:ascii="Arial" w:cs="Arial" w:eastAsia="Arial" w:hAnsi="Arial"/>
          <w:sz w:val="13"/>
          <w:szCs w:val="13"/>
          <w:color w:val="auto"/>
        </w:rPr>
        <w:t>While all Medicare Administrative Contractors are regularly reimbursing for minimally invasive sacroiliac joint fusion, some private payors still have policies that treat the procedure as experimental or investigational and do not regularly reimburse for the procedure. Future action by the Centers for Medicare &amp; Medicaid Services (“CMS”) or third-party payors may further reduce the availability of payments to physicians, outpatient surgery centers, and/or hospitals for procedures using our products.</w:t>
      </w:r>
    </w:p>
    <w:p>
      <w:pPr>
        <w:spacing w:after="0" w:line="150" w:lineRule="exact"/>
        <w:rPr>
          <w:sz w:val="20"/>
          <w:szCs w:val="20"/>
          <w:color w:val="auto"/>
        </w:rPr>
      </w:pPr>
    </w:p>
    <w:p>
      <w:pPr>
        <w:jc w:val="both"/>
        <w:ind w:firstLine="304"/>
        <w:spacing w:after="0" w:line="255" w:lineRule="auto"/>
        <w:rPr>
          <w:sz w:val="20"/>
          <w:szCs w:val="20"/>
          <w:color w:val="auto"/>
        </w:rPr>
      </w:pPr>
      <w:r>
        <w:rPr>
          <w:rFonts w:ascii="Arial" w:cs="Arial" w:eastAsia="Arial" w:hAnsi="Arial"/>
          <w:sz w:val="13"/>
          <w:szCs w:val="13"/>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54" w:lineRule="exact"/>
        <w:rPr>
          <w:sz w:val="20"/>
          <w:szCs w:val="20"/>
          <w:color w:val="auto"/>
        </w:rPr>
      </w:pPr>
    </w:p>
    <w:p>
      <w:pPr>
        <w:jc w:val="both"/>
        <w:ind w:firstLine="304"/>
        <w:spacing w:after="0" w:line="249" w:lineRule="auto"/>
        <w:rPr>
          <w:sz w:val="20"/>
          <w:szCs w:val="20"/>
          <w:color w:val="auto"/>
        </w:rPr>
      </w:pPr>
      <w:r>
        <w:rPr>
          <w:rFonts w:ascii="Arial" w:cs="Arial" w:eastAsia="Arial" w:hAnsi="Arial"/>
          <w:sz w:val="13"/>
          <w:szCs w:val="13"/>
          <w:color w:val="auto"/>
        </w:rPr>
        <w:t>Effective January 1, 2020, the Medicare physician fee reimbursement for minimally invasive fusion with our iFuse implants, described as CPT Code 27279, increased by 27% to $920. Commercial payors generally set their physician fee reimbursement with reference to Medicare reimbursement rates. Notwithstanding the increase in physican reimbursement associated with our procedure in 2020, 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spacing w:after="0" w:line="159" w:lineRule="exact"/>
        <w:rPr>
          <w:sz w:val="20"/>
          <w:szCs w:val="20"/>
          <w:color w:val="auto"/>
        </w:rPr>
      </w:pPr>
    </w:p>
    <w:p>
      <w:pPr>
        <w:jc w:val="both"/>
        <w:ind w:firstLine="304"/>
        <w:spacing w:after="0" w:line="280" w:lineRule="auto"/>
        <w:rPr>
          <w:sz w:val="20"/>
          <w:szCs w:val="20"/>
          <w:color w:val="auto"/>
        </w:rPr>
      </w:pPr>
      <w:r>
        <w:rPr>
          <w:rFonts w:ascii="Arial" w:cs="Arial" w:eastAsia="Arial" w:hAnsi="Arial"/>
          <w:sz w:val="12"/>
          <w:szCs w:val="12"/>
          <w:color w:val="auto"/>
        </w:rPr>
        <w:t>The American Medical Association (AMA) develops and maintains Current Procedural Terminology (CPT) codes that are used by third-party payors to determine the amount of reimbursement that a healthcare provider and facility will receive for a particular service. CPT codes are divided into three categories: Category I codes represent existing services or procedures that are widely used. Category II codes are supplemental tracking codes, and Category III codes are temporary codes that represent new technologies, services, and procedures. A Category III code does not have a payment rate established and reimbursement is at the payor’s discretion. CPT Code 27279, which describes minimally-invasive surgical fusion of the sacroiliac joint performed with our iFuse implants, is a Category I CPT code. As the number of products and surgical procedures to address sacroiliac joint dysfunction has expanded and diversified, we are aware that certain medical societies have requested that the AMA create a Category III CPT code representing some of these unproven technologies. If either the current or future procedures performed with our products are determined to be best described by a Category III CPT code, or if the levels of reimbursement for, and consistency of coverage associated with, procedures performed with our medical devices, either under the existing Category I CPT Code or under any newly created Category III CPT Code, could decrease which could make our devices less attractive to healthcare professionals using our products.</w:t>
      </w:r>
    </w:p>
    <w:p>
      <w:pPr>
        <w:spacing w:after="0" w:line="139"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3"/>
          <w:szCs w:val="13"/>
          <w:color w:val="auto"/>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CMS budget neutrality requirements may impose cuts to the Medicare physician fee schedule, which may be mitigated by acts of Congress or other changes to regulations. Other federal laws, known as budget sequestration, further reduce Medicare’s payments to providers by two percent through 2030. However, COVID-19 relief support legislation suspended the 2% Medicare reductions from May 1, 2020 through March 31, 2021, which was extended through December 31, 2021.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9"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color w:val="auto"/>
        </w:rPr>
        <w:t>medical devices. This could harm our ability to market our products and generate sales, which could adversely affect our business, results of operations and financial condition.</w:t>
      </w:r>
    </w:p>
    <w:p>
      <w:pPr>
        <w:spacing w:after="0" w:line="185" w:lineRule="exact"/>
        <w:rPr>
          <w:sz w:val="20"/>
          <w:szCs w:val="20"/>
          <w:color w:val="auto"/>
        </w:rPr>
      </w:pPr>
    </w:p>
    <w:p>
      <w:pPr>
        <w:jc w:val="both"/>
        <w:ind w:firstLine="304"/>
        <w:spacing w:after="0" w:line="255" w:lineRule="auto"/>
        <w:rPr>
          <w:sz w:val="20"/>
          <w:szCs w:val="20"/>
          <w:color w:val="auto"/>
        </w:rPr>
      </w:pPr>
      <w:r>
        <w:rPr>
          <w:rFonts w:ascii="Arial" w:cs="Arial" w:eastAsia="Arial" w:hAnsi="Arial"/>
          <w:sz w:val="13"/>
          <w:szCs w:val="13"/>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154"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17"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3"/>
          <w:szCs w:val="13"/>
          <w:color w:val="auto"/>
        </w:rPr>
        <w:t>As of September 30, 2021, more than 35 of the largest 65 U.S.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 If healthcare payors covering a significant number of covered lives reverse their policies of covering minimally invasive sacroiliac joint fusion exclusively when performed with the iFuse system, sales of our iFuse implants could decline or fail to grow, which could adversely affect our business, results of operations and financial condition.</w:t>
      </w:r>
    </w:p>
    <w:p>
      <w:pPr>
        <w:spacing w:after="0" w:line="13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17" w:lineRule="exact"/>
        <w:rPr>
          <w:sz w:val="20"/>
          <w:szCs w:val="20"/>
          <w:color w:val="auto"/>
        </w:rPr>
      </w:pPr>
    </w:p>
    <w:p>
      <w:pPr>
        <w:jc w:val="both"/>
        <w:ind w:firstLine="334"/>
        <w:spacing w:after="0" w:line="261" w:lineRule="auto"/>
        <w:rPr>
          <w:sz w:val="20"/>
          <w:szCs w:val="20"/>
          <w:color w:val="auto"/>
        </w:rPr>
      </w:pPr>
      <w:r>
        <w:rPr>
          <w:rFonts w:ascii="Arial" w:cs="Arial" w:eastAsia="Arial" w:hAnsi="Arial"/>
          <w:sz w:val="13"/>
          <w:szCs w:val="13"/>
          <w:color w:val="auto"/>
        </w:rPr>
        <w:t>Surgeons, in consultation with their patients, play the primary role in determining the course of treatment and, ultimately, any product that will be used in treatment. In order for us to sell our iFuse system successfully, we must demonstrate to surgeons through education and training that treatment with iFuse is beneficial, safe, and cost-effective for patients as compared to our competitors’ products. If we are not successful in demonstrating the merits of iFuse to surgeons, their use of our products may decline, adversely affecting our revenues and profitability.</w:t>
      </w:r>
    </w:p>
    <w:p>
      <w:pPr>
        <w:spacing w:after="0" w:line="150"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Historically, most spine surgeons did not include an evaluation of the sacroiliac joint in their diagnostic work-up because they did not have an adequate surgical procedure to perform for patients diagnosed with sacroiliac joint dysfunction.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Surgeons may also hesitate to change their medical treatment practices for other reasons, including the following:</w:t>
      </w:r>
    </w:p>
    <w:p>
      <w:pPr>
        <w:spacing w:after="0" w:line="23" w:lineRule="exact"/>
        <w:rPr>
          <w:sz w:val="20"/>
          <w:szCs w:val="20"/>
          <w:color w:val="auto"/>
        </w:rPr>
      </w:pPr>
    </w:p>
    <w:p>
      <w:pPr>
        <w:ind w:left="760" w:hanging="91"/>
        <w:spacing w:after="0"/>
        <w:tabs>
          <w:tab w:leader="none" w:pos="7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lack of experience with minimally invasive procedures;</w:t>
      </w:r>
    </w:p>
    <w:p>
      <w:pPr>
        <w:spacing w:after="0" w:line="32" w:lineRule="exact"/>
        <w:rPr>
          <w:rFonts w:ascii="Arial" w:cs="Arial" w:eastAsia="Arial" w:hAnsi="Arial"/>
          <w:sz w:val="13"/>
          <w:szCs w:val="13"/>
          <w:color w:val="auto"/>
        </w:rPr>
      </w:pPr>
    </w:p>
    <w:p>
      <w:pPr>
        <w:ind w:left="760" w:hanging="91"/>
        <w:spacing w:after="0"/>
        <w:tabs>
          <w:tab w:leader="none" w:pos="7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perceived liability risks generally associated with the use of new products and procedures;</w:t>
      </w:r>
    </w:p>
    <w:p>
      <w:pPr>
        <w:spacing w:after="0" w:line="32" w:lineRule="exact"/>
        <w:rPr>
          <w:rFonts w:ascii="Arial" w:cs="Arial" w:eastAsia="Arial" w:hAnsi="Arial"/>
          <w:sz w:val="13"/>
          <w:szCs w:val="13"/>
          <w:color w:val="auto"/>
        </w:rPr>
      </w:pPr>
    </w:p>
    <w:p>
      <w:pPr>
        <w:ind w:left="760" w:hanging="91"/>
        <w:spacing w:after="0"/>
        <w:tabs>
          <w:tab w:leader="none" w:pos="7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costs associated with the purchase of new products; and</w:t>
      </w:r>
    </w:p>
    <w:p>
      <w:pPr>
        <w:spacing w:after="0" w:line="32" w:lineRule="exact"/>
        <w:rPr>
          <w:rFonts w:ascii="Arial" w:cs="Arial" w:eastAsia="Arial" w:hAnsi="Arial"/>
          <w:sz w:val="13"/>
          <w:szCs w:val="13"/>
          <w:color w:val="auto"/>
        </w:rPr>
      </w:pPr>
    </w:p>
    <w:p>
      <w:pPr>
        <w:ind w:left="760" w:hanging="91"/>
        <w:spacing w:after="0"/>
        <w:tabs>
          <w:tab w:leader="none" w:pos="7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time commitment that may be required for training.</w:t>
      </w:r>
    </w:p>
    <w:p>
      <w:pPr>
        <w:spacing w:after="0" w:line="195" w:lineRule="exact"/>
        <w:rPr>
          <w:sz w:val="20"/>
          <w:szCs w:val="20"/>
          <w:color w:val="auto"/>
        </w:rPr>
      </w:pPr>
    </w:p>
    <w:p>
      <w:pPr>
        <w:jc w:val="both"/>
        <w:ind w:firstLine="334"/>
        <w:spacing w:after="0" w:line="261" w:lineRule="auto"/>
        <w:rPr>
          <w:sz w:val="20"/>
          <w:szCs w:val="20"/>
          <w:color w:val="auto"/>
        </w:rPr>
      </w:pPr>
      <w:r>
        <w:rPr>
          <w:rFonts w:ascii="Arial" w:cs="Arial" w:eastAsia="Arial" w:hAnsi="Arial"/>
          <w:sz w:val="13"/>
          <w:szCs w:val="13"/>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spacing w:after="0" w:line="150" w:lineRule="exact"/>
        <w:rPr>
          <w:sz w:val="20"/>
          <w:szCs w:val="20"/>
          <w:color w:val="auto"/>
        </w:rPr>
      </w:pPr>
    </w:p>
    <w:p>
      <w:pPr>
        <w:jc w:val="both"/>
        <w:ind w:firstLine="334"/>
        <w:spacing w:after="0" w:line="251" w:lineRule="auto"/>
        <w:rPr>
          <w:sz w:val="20"/>
          <w:szCs w:val="20"/>
          <w:color w:val="auto"/>
        </w:rPr>
      </w:pPr>
      <w:r>
        <w:rPr>
          <w:rFonts w:ascii="Arial" w:cs="Arial" w:eastAsia="Arial" w:hAnsi="Arial"/>
          <w:sz w:val="13"/>
          <w:szCs w:val="13"/>
          <w:color w:val="auto"/>
        </w:rPr>
        <w:t>Many patients with sacroiliac joint dysfunction are cared for by pain physicians, who are generally trained as anesthesiologists or physical medicine and rehabilitation specialists.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allografts, and other products intended to treat the sacroiliac joint or the pain it can cause.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because they feel these interventions are superior or because they have a financial interest in offering additional treatments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40" w:name="page41"/>
    <w:bookmarkEnd w:id="40"/>
    <w:p>
      <w:pPr>
        <w:jc w:val="both"/>
        <w:spacing w:after="0" w:line="261" w:lineRule="auto"/>
        <w:rPr>
          <w:sz w:val="20"/>
          <w:szCs w:val="20"/>
          <w:color w:val="auto"/>
        </w:rPr>
      </w:pPr>
      <w:r>
        <w:rPr>
          <w:rFonts w:ascii="Arial" w:cs="Arial" w:eastAsia="Arial" w:hAnsi="Arial"/>
          <w:sz w:val="13"/>
          <w:szCs w:val="13"/>
          <w:color w:val="auto"/>
        </w:rPr>
        <w:t>to these patients. If we are unable to demonstrate to potential referring health care providers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130"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17" w:lineRule="exact"/>
        <w:rPr>
          <w:sz w:val="20"/>
          <w:szCs w:val="20"/>
          <w:color w:val="auto"/>
        </w:rPr>
      </w:pPr>
    </w:p>
    <w:p>
      <w:pPr>
        <w:jc w:val="both"/>
        <w:ind w:firstLine="334"/>
        <w:spacing w:after="0" w:line="272" w:lineRule="auto"/>
        <w:rPr>
          <w:sz w:val="20"/>
          <w:szCs w:val="20"/>
          <w:color w:val="auto"/>
        </w:rPr>
      </w:pPr>
      <w:r>
        <w:rPr>
          <w:rFonts w:ascii="Arial" w:cs="Arial" w:eastAsia="Arial" w:hAnsi="Arial"/>
          <w:sz w:val="12"/>
          <w:szCs w:val="12"/>
          <w:color w:val="auto"/>
        </w:rPr>
        <w:t>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137" w:lineRule="exact"/>
        <w:rPr>
          <w:sz w:val="20"/>
          <w:szCs w:val="20"/>
          <w:color w:val="auto"/>
        </w:rPr>
      </w:pPr>
    </w:p>
    <w:p>
      <w:pPr>
        <w:jc w:val="both"/>
        <w:ind w:firstLine="334"/>
        <w:spacing w:after="0" w:line="261" w:lineRule="auto"/>
        <w:rPr>
          <w:sz w:val="20"/>
          <w:szCs w:val="20"/>
          <w:color w:val="auto"/>
        </w:rPr>
      </w:pPr>
      <w:r>
        <w:rPr>
          <w:rFonts w:ascii="Arial" w:cs="Arial" w:eastAsia="Arial" w:hAnsi="Arial"/>
          <w:sz w:val="13"/>
          <w:szCs w:val="13"/>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50"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spacing w:after="0" w:line="137" w:lineRule="exact"/>
        <w:rPr>
          <w:sz w:val="20"/>
          <w:szCs w:val="20"/>
          <w:color w:val="auto"/>
        </w:rPr>
      </w:pPr>
    </w:p>
    <w:p>
      <w:pPr>
        <w:jc w:val="both"/>
        <w:ind w:firstLine="334"/>
        <w:spacing w:after="0" w:line="247" w:lineRule="auto"/>
        <w:rPr>
          <w:sz w:val="20"/>
          <w:szCs w:val="20"/>
          <w:color w:val="auto"/>
        </w:rPr>
      </w:pPr>
      <w:r>
        <w:rPr>
          <w:rFonts w:ascii="Arial" w:cs="Arial" w:eastAsia="Arial" w:hAnsi="Arial"/>
          <w:sz w:val="13"/>
          <w:szCs w:val="13"/>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 Physician-owned distributorships (“POD”) are medical device distributors that are owned, directly or indirectly, by physicians. These physicians profit from selling or arranging the sale of medical devices for use in procedures they perform on their own patients at hospitals that purchase the devices from the POD. We do not engage with PODs. The proliferation of PODs could result in increased pricing pressure on our products or harm our ability to sell our products to physicians who own or are affiliated with those distributorships and therefore choose to use competing products.</w:t>
      </w:r>
    </w:p>
    <w:p>
      <w:pPr>
        <w:spacing w:after="0" w:line="15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37"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To protect health care professionals involved in surgical care and their patients, we anticipate that more outpatient eligible procedures will be performed in ASCs during the COVID-19 pandemic, and as its acuity declines and the healthcare system returns to a more normalized state. We anticipate that this trend will nevertheless continue as a cost control measure with the healthcare system. Since patients do not stay overnight in ASCs and COVID-19 patients would not otherwise be treated in ASCs, it is likely that the ASC will be viewed as a safer site of service for patients and health care providers, where the risk of transmission of the novel coronavirus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41" w:name="page42"/>
    <w:bookmarkEnd w:id="41"/>
    <w:p>
      <w:pPr>
        <w:jc w:val="both"/>
        <w:spacing w:after="0" w:line="252" w:lineRule="auto"/>
        <w:rPr>
          <w:sz w:val="20"/>
          <w:szCs w:val="20"/>
          <w:color w:val="auto"/>
        </w:rPr>
      </w:pPr>
      <w:r>
        <w:rPr>
          <w:rFonts w:ascii="Arial" w:cs="Arial" w:eastAsia="Arial" w:hAnsi="Arial"/>
          <w:sz w:val="13"/>
          <w:szCs w:val="13"/>
          <w:color w:val="auto"/>
        </w:rPr>
        <w:t>can be more effectively controlled. In addition, ASC are generally more economically favorable site of service, and surgeons performing the procedures sometimes have ownership interests in the ASC. Because ASC facility fee reimbursement is typically less than facility fee reimbursement for hospitals and due to surgeons’ economic interest in ASCs, we typically experience more pressure on the pricing of our products by ASCs than by hospitals, and the average price for which we sell our products to ASCs is less than the average prices we charge to hospitals. In addition, some surgeons may choose to use fewer implants due to their interest in the profitability of the ASC. An accelerated shift of procedures using our products to ASCs as a result of the COVID-19 pandemic could adversely impact the average selling prices of our products and our revenues could suffer as a result.</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17"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39" w:lineRule="exact"/>
        <w:rPr>
          <w:sz w:val="20"/>
          <w:szCs w:val="20"/>
          <w:color w:val="auto"/>
        </w:rPr>
      </w:pPr>
    </w:p>
    <w:p>
      <w:pPr>
        <w:jc w:val="both"/>
        <w:ind w:firstLine="334"/>
        <w:spacing w:after="0" w:line="272" w:lineRule="auto"/>
        <w:rPr>
          <w:sz w:val="20"/>
          <w:szCs w:val="20"/>
          <w:color w:val="auto"/>
        </w:rPr>
      </w:pPr>
      <w:r>
        <w:rPr>
          <w:rFonts w:ascii="Arial" w:cs="Arial" w:eastAsia="Arial" w:hAnsi="Arial"/>
          <w:sz w:val="12"/>
          <w:szCs w:val="12"/>
          <w:color w:val="auto"/>
        </w:rPr>
        <w:t>The number of competitors that we are aware of marketing sacroiliac joint fusion products in the United States has grown from zero to more than 20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w:t>
      </w:r>
    </w:p>
    <w:p>
      <w:pPr>
        <w:spacing w:after="0" w:line="143" w:lineRule="exact"/>
        <w:rPr>
          <w:sz w:val="20"/>
          <w:szCs w:val="20"/>
          <w:color w:val="auto"/>
        </w:rPr>
      </w:pPr>
    </w:p>
    <w:p>
      <w:pPr>
        <w:jc w:val="both"/>
        <w:ind w:firstLine="334"/>
        <w:spacing w:after="0" w:line="251" w:lineRule="auto"/>
        <w:rPr>
          <w:sz w:val="20"/>
          <w:szCs w:val="20"/>
          <w:color w:val="auto"/>
        </w:rPr>
      </w:pPr>
      <w:r>
        <w:rPr>
          <w:rFonts w:ascii="Arial" w:cs="Arial" w:eastAsia="Arial" w:hAnsi="Arial"/>
          <w:sz w:val="13"/>
          <w:szCs w:val="13"/>
          <w:color w:val="auto"/>
        </w:rPr>
        <w:t>In the United States, we believe that our primary competitors marketing implantable devices currently are Medtronic plc and Globus Medical, Inc. In addition, a number of smaller companies selling allograft implants to a variety of physicians have collectively become a larger presence in our market.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54" w:lineRule="exact"/>
        <w:rPr>
          <w:sz w:val="20"/>
          <w:szCs w:val="20"/>
          <w:color w:val="auto"/>
        </w:rPr>
      </w:pPr>
    </w:p>
    <w:p>
      <w:pPr>
        <w:jc w:val="both"/>
        <w:ind w:firstLine="334"/>
        <w:spacing w:after="0" w:line="323" w:lineRule="auto"/>
        <w:rPr>
          <w:sz w:val="20"/>
          <w:szCs w:val="20"/>
          <w:color w:val="auto"/>
        </w:rPr>
      </w:pPr>
      <w:r>
        <w:rPr>
          <w:rFonts w:ascii="Arial" w:cs="Arial" w:eastAsia="Arial" w:hAnsi="Arial"/>
          <w:sz w:val="12"/>
          <w:szCs w:val="12"/>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137"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Substantially all of our revenue comes from the sale of iFuse, iFuse-3D and iFuse-TORQ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42" w:name="page43"/>
    <w:bookmarkEnd w:id="42"/>
    <w:p>
      <w:pPr>
        <w:jc w:val="both"/>
        <w:spacing w:after="0" w:line="280" w:lineRule="auto"/>
        <w:rPr>
          <w:sz w:val="20"/>
          <w:szCs w:val="20"/>
          <w:color w:val="auto"/>
        </w:rPr>
      </w:pPr>
      <w:r>
        <w:rPr>
          <w:rFonts w:ascii="Arial" w:cs="Arial" w:eastAsia="Arial" w:hAnsi="Arial"/>
          <w:sz w:val="13"/>
          <w:szCs w:val="13"/>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37" w:lineRule="exact"/>
        <w:rPr>
          <w:sz w:val="20"/>
          <w:szCs w:val="20"/>
          <w:color w:val="auto"/>
        </w:rPr>
      </w:pPr>
    </w:p>
    <w:p>
      <w:pPr>
        <w:jc w:val="both"/>
        <w:ind w:firstLine="334"/>
        <w:spacing w:after="0" w:line="290" w:lineRule="auto"/>
        <w:rPr>
          <w:sz w:val="20"/>
          <w:szCs w:val="20"/>
          <w:color w:val="auto"/>
        </w:rPr>
      </w:pPr>
      <w:r>
        <w:rPr>
          <w:rFonts w:ascii="Arial" w:cs="Arial" w:eastAsia="Arial" w:hAnsi="Arial"/>
          <w:sz w:val="13"/>
          <w:szCs w:val="13"/>
          <w:color w:val="auto"/>
        </w:rPr>
        <w:t>In November 2018, we introduced our iFuse Bedrock technique, in which spine surgeons place iFuse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maintain our network of direct sales representatives and third-party distributors, we may not be able to generate anticipated sales.</w:t>
      </w:r>
    </w:p>
    <w:p>
      <w:pPr>
        <w:spacing w:after="0" w:line="164" w:lineRule="exact"/>
        <w:rPr>
          <w:sz w:val="20"/>
          <w:szCs w:val="20"/>
          <w:color w:val="auto"/>
        </w:rPr>
      </w:pPr>
    </w:p>
    <w:p>
      <w:pPr>
        <w:jc w:val="both"/>
        <w:ind w:firstLine="334"/>
        <w:spacing w:after="0" w:line="261" w:lineRule="auto"/>
        <w:rPr>
          <w:sz w:val="20"/>
          <w:szCs w:val="20"/>
          <w:color w:val="auto"/>
        </w:rPr>
      </w:pPr>
      <w:r>
        <w:rPr>
          <w:rFonts w:ascii="Arial" w:cs="Arial" w:eastAsia="Arial" w:hAnsi="Arial"/>
          <w:sz w:val="13"/>
          <w:szCs w:val="13"/>
          <w:color w:val="auto"/>
        </w:rPr>
        <w:t>As of September 30, 2021, our U.S. sales force consisted of 78 territory sales managers and 57 clinical support specialists directly employed by us, and 53 third-party distributors. As of September 30, 2021, our international sales force consisted of 20 sales representatives directly employed by us and 33 third-party distributors, which together have had sales in 37 countries through September 30, 2021. Our operating results are directly dependent upon the sales and marketing efforts of both our direct sales force and of our third-party distributors.</w:t>
      </w:r>
    </w:p>
    <w:p>
      <w:pPr>
        <w:spacing w:after="0" w:line="130"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3"/>
          <w:szCs w:val="13"/>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 If our direct sales representatives or third-party distributors fail to adequately promote, market and sell our products or decide to leave or cease to do business with us, our sales could significantly decrease.</w:t>
      </w:r>
    </w:p>
    <w:p>
      <w:pPr>
        <w:spacing w:after="0" w:line="158"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could suffer if we lose the services of key members of our senior management, key advisors or personnel.</w:t>
      </w:r>
    </w:p>
    <w:p>
      <w:pPr>
        <w:spacing w:after="0" w:line="164"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use of our products result in adverse events, this may require them to be taken off the market, require them to include safety warnings or otherwise limit their sales.</w:t>
      </w:r>
    </w:p>
    <w:p>
      <w:pPr>
        <w:spacing w:after="0" w:line="164"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59" w:right="319" w:bottom="1440" w:gutter="0" w:footer="0" w:header="0"/>
        </w:sectPr>
      </w:pPr>
    </w:p>
    <w:bookmarkStart w:id="43" w:name="page44"/>
    <w:bookmarkEnd w:id="43"/>
    <w:p>
      <w:pPr>
        <w:ind w:left="340"/>
        <w:spacing w:after="0"/>
        <w:rPr>
          <w:sz w:val="20"/>
          <w:szCs w:val="20"/>
          <w:color w:val="auto"/>
        </w:rPr>
      </w:pPr>
      <w:r>
        <w:rPr>
          <w:rFonts w:ascii="Arial" w:cs="Arial" w:eastAsia="Arial" w:hAnsi="Arial"/>
          <w:sz w:val="13"/>
          <w:szCs w:val="13"/>
          <w:color w:val="auto"/>
        </w:rPr>
        <w:t>If we or others later identify adverse events caused by our products:</w:t>
      </w:r>
    </w:p>
    <w:p>
      <w:pPr>
        <w:spacing w:after="0" w:line="164" w:lineRule="exact"/>
        <w:rPr>
          <w:sz w:val="20"/>
          <w:szCs w:val="20"/>
          <w:color w:val="auto"/>
        </w:rPr>
      </w:pPr>
    </w:p>
    <w:p>
      <w:pPr>
        <w:ind w:left="540" w:hanging="175"/>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sales of the product may decrease significantly, and we may not achieve the anticipated market share;</w:t>
      </w:r>
    </w:p>
    <w:p>
      <w:pPr>
        <w:spacing w:after="0" w:line="164" w:lineRule="exact"/>
        <w:rPr>
          <w:rFonts w:ascii="Arial" w:cs="Arial" w:eastAsia="Arial" w:hAnsi="Arial"/>
          <w:sz w:val="13"/>
          <w:szCs w:val="13"/>
          <w:color w:val="auto"/>
        </w:rPr>
      </w:pPr>
    </w:p>
    <w:p>
      <w:pPr>
        <w:ind w:left="660" w:hanging="295"/>
        <w:spacing w:after="0" w:line="280" w:lineRule="auto"/>
        <w:tabs>
          <w:tab w:leader="none" w:pos="575"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116" w:lineRule="exact"/>
        <w:rPr>
          <w:rFonts w:ascii="Arial" w:cs="Arial" w:eastAsia="Arial" w:hAnsi="Arial"/>
          <w:sz w:val="13"/>
          <w:szCs w:val="13"/>
          <w:color w:val="auto"/>
        </w:rPr>
      </w:pPr>
    </w:p>
    <w:p>
      <w:pPr>
        <w:ind w:left="540" w:hanging="175"/>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may be required to change instructions regarding the way the product is implanted or conduct additional clinical trials;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may be subject to limitations on how we may promote the product;</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regulatory authorities may require us to temporarily or permanently take our approved product off the market or to conduct other field safety corrective actions;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may be required to modify our product;</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may be subject to litigation fines or product liability claims;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reputation may suffer.</w:t>
      </w:r>
    </w:p>
    <w:p>
      <w:pPr>
        <w:spacing w:after="0" w:line="164"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1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Unfavorable media reports or other negative publicity concerning both alleged improper methods of tissue recovery from donors and disease transmission from donated tissue could limit widespread acceptance of some of our products.</w:t>
      </w:r>
    </w:p>
    <w:p>
      <w:pPr>
        <w:spacing w:after="0" w:line="137" w:lineRule="exact"/>
        <w:rPr>
          <w:sz w:val="20"/>
          <w:szCs w:val="20"/>
          <w:color w:val="auto"/>
        </w:rPr>
      </w:pPr>
    </w:p>
    <w:p>
      <w:pPr>
        <w:jc w:val="both"/>
        <w:ind w:firstLine="304"/>
        <w:spacing w:after="0" w:line="283" w:lineRule="auto"/>
        <w:rPr>
          <w:sz w:val="20"/>
          <w:szCs w:val="20"/>
          <w:color w:val="auto"/>
        </w:rPr>
      </w:pPr>
      <w:r>
        <w:rPr>
          <w:rFonts w:ascii="Arial" w:cs="Arial" w:eastAsia="Arial" w:hAnsi="Arial"/>
          <w:sz w:val="12"/>
          <w:szCs w:val="12"/>
          <w:color w:val="auto"/>
        </w:rPr>
        <w:t>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Various factors outside our direct control may adversely affect manufacturing, sterilization, and distribution of our products.</w:t>
      </w:r>
    </w:p>
    <w:p>
      <w:pPr>
        <w:spacing w:after="0" w:line="164" w:lineRule="exact"/>
        <w:rPr>
          <w:sz w:val="20"/>
          <w:szCs w:val="20"/>
          <w:color w:val="auto"/>
        </w:rPr>
      </w:pPr>
    </w:p>
    <w:p>
      <w:pPr>
        <w:jc w:val="both"/>
        <w:ind w:firstLine="334"/>
        <w:spacing w:after="0" w:line="323" w:lineRule="auto"/>
        <w:rPr>
          <w:sz w:val="20"/>
          <w:szCs w:val="20"/>
          <w:color w:val="auto"/>
        </w:rPr>
      </w:pPr>
      <w:r>
        <w:rPr>
          <w:rFonts w:ascii="Arial" w:cs="Arial" w:eastAsia="Arial" w:hAnsi="Arial"/>
          <w:sz w:val="12"/>
          <w:szCs w:val="12"/>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94" w:lineRule="exact"/>
        <w:rPr>
          <w:sz w:val="20"/>
          <w:szCs w:val="20"/>
          <w:color w:val="auto"/>
        </w:rPr>
      </w:pPr>
    </w:p>
    <w:p>
      <w:pPr>
        <w:ind w:left="540" w:hanging="175"/>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failure to complete sterilization on time or in compliance with the required regulatory standards;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transportation and import and export risk;</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delays in analytical results or failure of analytical techniques that we depend on for quality control and release of products;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large-scale epidemics of communicable diseases such as COVID-19;</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supply chain disruptions, including those caused by material and labor supply shortages in the wake of COVID-19;</w:t>
      </w:r>
    </w:p>
    <w:p>
      <w:pPr>
        <w:spacing w:after="0" w:line="164" w:lineRule="exact"/>
        <w:rPr>
          <w:rFonts w:ascii="Arial" w:cs="Arial" w:eastAsia="Arial" w:hAnsi="Arial"/>
          <w:sz w:val="13"/>
          <w:szCs w:val="13"/>
          <w:color w:val="auto"/>
        </w:rPr>
      </w:pPr>
    </w:p>
    <w:p>
      <w:pPr>
        <w:ind w:left="660" w:hanging="295"/>
        <w:spacing w:after="0" w:line="280" w:lineRule="auto"/>
        <w:tabs>
          <w:tab w:leader="none" w:pos="569" w:val="left"/>
        </w:tabs>
        <w:numPr>
          <w:ilvl w:val="0"/>
          <w:numId w:val="15"/>
        </w:numPr>
        <w:rPr>
          <w:rFonts w:ascii="Arial" w:cs="Arial" w:eastAsia="Arial" w:hAnsi="Arial"/>
          <w:sz w:val="13"/>
          <w:szCs w:val="13"/>
          <w:color w:val="auto"/>
        </w:rPr>
      </w:pPr>
      <w:r>
        <w:rPr>
          <w:rFonts w:ascii="Arial" w:cs="Arial" w:eastAsia="Arial" w:hAnsi="Arial"/>
          <w:sz w:val="13"/>
          <w:szCs w:val="13"/>
          <w:color w:val="auto"/>
        </w:rPr>
        <w:t>natural disasters, labor disputes, financial distress, raw material availability, issues with facilities and equipment, or other forms of disruption to business operations affecting our manufacturers or suppliers; and</w:t>
      </w:r>
    </w:p>
    <w:p>
      <w:pPr>
        <w:spacing w:after="0" w:line="116" w:lineRule="exact"/>
        <w:rPr>
          <w:rFonts w:ascii="Arial" w:cs="Arial" w:eastAsia="Arial" w:hAnsi="Arial"/>
          <w:sz w:val="13"/>
          <w:szCs w:val="13"/>
          <w:color w:val="auto"/>
        </w:rPr>
      </w:pPr>
    </w:p>
    <w:p>
      <w:pPr>
        <w:ind w:left="540" w:hanging="175"/>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latent defects that may become apparent after products have been released and that may result in a recall or field safety corrective action with respect to such products.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If any of these risks were to materialize, our ability to provide our products to customers on a timely basis could be adversely impacted.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9" w:right="319" w:bottom="1440" w:gutter="0" w:footer="0" w:header="0"/>
        </w:sectPr>
      </w:pPr>
    </w:p>
    <w:bookmarkStart w:id="44" w:name="page45"/>
    <w:bookmarkEnd w:id="44"/>
    <w:p>
      <w:pPr>
        <w:jc w:val="both"/>
        <w:spacing w:after="0" w:line="323" w:lineRule="auto"/>
        <w:rPr>
          <w:sz w:val="20"/>
          <w:szCs w:val="20"/>
          <w:color w:val="auto"/>
        </w:rPr>
      </w:pPr>
      <w:r>
        <w:rPr>
          <w:rFonts w:ascii="Arial" w:cs="Arial" w:eastAsia="Arial" w:hAnsi="Arial"/>
          <w:sz w:val="12"/>
          <w:szCs w:val="12"/>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94"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134" w:lineRule="exact"/>
        <w:rPr>
          <w:sz w:val="20"/>
          <w:szCs w:val="20"/>
          <w:color w:val="auto"/>
        </w:rPr>
      </w:pPr>
    </w:p>
    <w:p>
      <w:pPr>
        <w:jc w:val="both"/>
        <w:ind w:firstLine="334"/>
        <w:spacing w:after="0" w:line="323" w:lineRule="auto"/>
        <w:rPr>
          <w:sz w:val="20"/>
          <w:szCs w:val="20"/>
          <w:color w:val="auto"/>
        </w:rPr>
      </w:pPr>
      <w:r>
        <w:rPr>
          <w:rFonts w:ascii="Arial" w:cs="Arial" w:eastAsia="Arial" w:hAnsi="Arial"/>
          <w:sz w:val="12"/>
          <w:szCs w:val="12"/>
          <w:color w:val="auto"/>
        </w:rPr>
        <w:t>In addition, future growth could strain the ability of our suppliers to deliver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94"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We generally use a small number of suppliers for our instruments and currently rely on RMS for iFuse-3D implants and Orchid for iFuse implants. Our dependence on such a limited number of suppliers exposes us to risks, including, among other things:</w:t>
      </w:r>
    </w:p>
    <w:p>
      <w:pPr>
        <w:spacing w:after="0" w:line="117" w:lineRule="exact"/>
        <w:rPr>
          <w:sz w:val="20"/>
          <w:szCs w:val="20"/>
          <w:color w:val="auto"/>
        </w:rPr>
      </w:pPr>
    </w:p>
    <w:p>
      <w:pPr>
        <w:ind w:left="660" w:hanging="295"/>
        <w:spacing w:after="0" w:line="280" w:lineRule="auto"/>
        <w:tabs>
          <w:tab w:leader="none" w:pos="603"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16" w:lineRule="exact"/>
        <w:rPr>
          <w:rFonts w:ascii="Arial" w:cs="Arial" w:eastAsia="Arial" w:hAnsi="Arial"/>
          <w:sz w:val="13"/>
          <w:szCs w:val="13"/>
          <w:color w:val="auto"/>
        </w:rPr>
      </w:pPr>
    </w:p>
    <w:p>
      <w:pPr>
        <w:ind w:left="660" w:hanging="295"/>
        <w:spacing w:after="0" w:line="280" w:lineRule="auto"/>
        <w:tabs>
          <w:tab w:leader="none" w:pos="583"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116" w:lineRule="exact"/>
        <w:rPr>
          <w:rFonts w:ascii="Arial" w:cs="Arial" w:eastAsia="Arial" w:hAnsi="Arial"/>
          <w:sz w:val="13"/>
          <w:szCs w:val="13"/>
          <w:color w:val="auto"/>
        </w:rPr>
      </w:pPr>
    </w:p>
    <w:p>
      <w:pPr>
        <w:ind w:left="660" w:hanging="295"/>
        <w:spacing w:after="0" w:line="280" w:lineRule="auto"/>
        <w:tabs>
          <w:tab w:leader="none" w:pos="551"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16" w:lineRule="exact"/>
        <w:rPr>
          <w:rFonts w:ascii="Arial" w:cs="Arial" w:eastAsia="Arial" w:hAnsi="Arial"/>
          <w:sz w:val="13"/>
          <w:szCs w:val="13"/>
          <w:color w:val="auto"/>
        </w:rPr>
      </w:pPr>
    </w:p>
    <w:p>
      <w:pPr>
        <w:ind w:left="540" w:hanging="175"/>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or our third-party manufacturers and suppliers may be subject to price fluctuations due to a lack of long-term supply arrangements for key components;</w:t>
      </w:r>
    </w:p>
    <w:p>
      <w:pPr>
        <w:spacing w:after="0" w:line="164" w:lineRule="exact"/>
        <w:rPr>
          <w:rFonts w:ascii="Arial" w:cs="Arial" w:eastAsia="Arial" w:hAnsi="Arial"/>
          <w:sz w:val="13"/>
          <w:szCs w:val="13"/>
          <w:color w:val="auto"/>
        </w:rPr>
      </w:pPr>
    </w:p>
    <w:p>
      <w:pPr>
        <w:ind w:left="660" w:hanging="295"/>
        <w:spacing w:after="0" w:line="280" w:lineRule="auto"/>
        <w:tabs>
          <w:tab w:leader="none" w:pos="541"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or our third-party manufacturers and suppliers may lose access to critical services, raw materials and components, or experience significant delays in obtaining them, resulting in an interruption in the manufacture, assembly and shipment of our systems;</w:t>
      </w:r>
    </w:p>
    <w:p>
      <w:pPr>
        <w:spacing w:after="0" w:line="116" w:lineRule="exact"/>
        <w:rPr>
          <w:rFonts w:ascii="Arial" w:cs="Arial" w:eastAsia="Arial" w:hAnsi="Arial"/>
          <w:sz w:val="13"/>
          <w:szCs w:val="13"/>
          <w:color w:val="auto"/>
        </w:rPr>
      </w:pPr>
    </w:p>
    <w:p>
      <w:pPr>
        <w:ind w:left="660" w:hanging="295"/>
        <w:spacing w:after="0" w:line="280" w:lineRule="auto"/>
        <w:tabs>
          <w:tab w:leader="none" w:pos="544"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spacing w:after="0" w:line="116" w:lineRule="exact"/>
        <w:rPr>
          <w:rFonts w:ascii="Arial" w:cs="Arial" w:eastAsia="Arial" w:hAnsi="Arial"/>
          <w:sz w:val="13"/>
          <w:szCs w:val="13"/>
          <w:color w:val="auto"/>
        </w:rPr>
      </w:pPr>
    </w:p>
    <w:p>
      <w:pPr>
        <w:ind w:left="540" w:hanging="175"/>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experience delays in delivery by our third-party manufacturers and suppliers due to changes in demand from us or their other customers;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fluctuations in demand for products that our third-party manufacturers and suppliers manufacture for others may affect their ability or willingness to deliver components to us in a timely manner;</w:t>
      </w:r>
    </w:p>
    <w:p>
      <w:pPr>
        <w:spacing w:after="0" w:line="175" w:lineRule="exact"/>
        <w:rPr>
          <w:rFonts w:ascii="Arial" w:cs="Arial" w:eastAsia="Arial" w:hAnsi="Arial"/>
          <w:sz w:val="12"/>
          <w:szCs w:val="12"/>
          <w:color w:val="auto"/>
        </w:rPr>
      </w:pPr>
    </w:p>
    <w:p>
      <w:pPr>
        <w:ind w:left="540" w:hanging="175"/>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third-party manufacturers and suppliers may wish to discontinue supplying components or services to us for risk management reasons;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may not be able to find new or alternative components or reconfigure our system and manufacturing processes in a timely manner if the necessary components become unavailable; and</w:t>
      </w:r>
    </w:p>
    <w:p>
      <w:pPr>
        <w:spacing w:after="0" w:line="175" w:lineRule="exact"/>
        <w:rPr>
          <w:rFonts w:ascii="Arial" w:cs="Arial" w:eastAsia="Arial" w:hAnsi="Arial"/>
          <w:sz w:val="12"/>
          <w:szCs w:val="12"/>
          <w:color w:val="auto"/>
        </w:rPr>
      </w:pPr>
    </w:p>
    <w:p>
      <w:pPr>
        <w:ind w:left="540" w:hanging="175"/>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third-party manufacturers and suppliers may encounter financial hardships unrelated to our demand, which could inhibit their ability to fulfill our orders and meet our requirements.</w:t>
      </w:r>
    </w:p>
    <w:p>
      <w:pPr>
        <w:spacing w:after="0" w:line="164" w:lineRule="exact"/>
        <w:rPr>
          <w:sz w:val="20"/>
          <w:szCs w:val="20"/>
          <w:color w:val="auto"/>
        </w:rPr>
      </w:pPr>
    </w:p>
    <w:p>
      <w:pPr>
        <w:jc w:val="both"/>
        <w:ind w:firstLine="334"/>
        <w:spacing w:after="0" w:line="261" w:lineRule="auto"/>
        <w:rPr>
          <w:sz w:val="20"/>
          <w:szCs w:val="20"/>
          <w:color w:val="auto"/>
        </w:rPr>
      </w:pPr>
      <w:r>
        <w:rPr>
          <w:rFonts w:ascii="Arial" w:cs="Arial" w:eastAsia="Arial" w:hAnsi="Arial"/>
          <w:sz w:val="13"/>
          <w:szCs w:val="13"/>
          <w:color w:val="auto"/>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9" w:right="319" w:bottom="1440" w:gutter="0" w:footer="0" w:header="0"/>
        </w:sectPr>
      </w:pPr>
    </w:p>
    <w:bookmarkStart w:id="45" w:name="page46"/>
    <w:bookmarkEnd w:id="45"/>
    <w:p>
      <w:pPr>
        <w:jc w:val="both"/>
        <w:ind w:firstLine="334"/>
        <w:spacing w:after="0" w:line="272" w:lineRule="auto"/>
        <w:rPr>
          <w:sz w:val="20"/>
          <w:szCs w:val="20"/>
          <w:color w:val="auto"/>
        </w:rPr>
      </w:pPr>
      <w:r>
        <w:rPr>
          <w:rFonts w:ascii="Arial" w:cs="Arial" w:eastAsia="Arial" w:hAnsi="Arial"/>
          <w:sz w:val="12"/>
          <w:szCs w:val="12"/>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46" w:lineRule="exact"/>
        <w:rPr>
          <w:sz w:val="20"/>
          <w:szCs w:val="20"/>
          <w:color w:val="auto"/>
        </w:rPr>
      </w:pPr>
    </w:p>
    <w:p>
      <w:pPr>
        <w:jc w:val="both"/>
        <w:ind w:firstLine="334"/>
        <w:spacing w:after="0" w:line="252" w:lineRule="auto"/>
        <w:rPr>
          <w:sz w:val="20"/>
          <w:szCs w:val="20"/>
          <w:color w:val="auto"/>
        </w:rPr>
      </w:pPr>
      <w:r>
        <w:rPr>
          <w:rFonts w:ascii="Arial" w:cs="Arial" w:eastAsia="Arial" w:hAnsi="Arial"/>
          <w:sz w:val="13"/>
          <w:szCs w:val="13"/>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57" w:lineRule="exact"/>
        <w:rPr>
          <w:sz w:val="20"/>
          <w:szCs w:val="20"/>
          <w:color w:val="auto"/>
        </w:rPr>
      </w:pPr>
    </w:p>
    <w:p>
      <w:pPr>
        <w:jc w:val="both"/>
        <w:ind w:firstLine="334"/>
        <w:spacing w:after="0" w:line="252" w:lineRule="auto"/>
        <w:rPr>
          <w:sz w:val="20"/>
          <w:szCs w:val="20"/>
          <w:color w:val="auto"/>
        </w:rPr>
      </w:pPr>
      <w:r>
        <w:rPr>
          <w:rFonts w:ascii="Arial" w:cs="Arial" w:eastAsia="Arial" w:hAnsi="Arial"/>
          <w:sz w:val="13"/>
          <w:szCs w:val="13"/>
          <w:color w:val="auto"/>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57"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In addition, each of our third-party suppliers operates at a facility in a single location and substantially all of our inventory of component supplies and finished goods is held at these locations. A local outbreak of COVID-19 cases,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After the impacts of the COVID-19 pandemic subside, to become profitable we must assemble our products in adequate quantities in compliance with regulatory requirements and at an acceptable cost.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Increasing our capacity to assemble and test our products will require us to improve internal efficiencies. We may encounter a number of difficulties in increasing our assembly and testing capacity, including:</w:t>
      </w:r>
    </w:p>
    <w:p>
      <w:pPr>
        <w:spacing w:after="0" w:line="164" w:lineRule="exact"/>
        <w:rPr>
          <w:sz w:val="20"/>
          <w:szCs w:val="20"/>
          <w:color w:val="auto"/>
        </w:rPr>
      </w:pPr>
    </w:p>
    <w:p>
      <w:pPr>
        <w:ind w:left="540" w:hanging="175"/>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managing production yields;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maintaining quality control and assurance;</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providing component and service availability;</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maintaining adequate control policies and procedures;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hiring and retaining qualified personnel;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complying with state, federal, and foreign regulations.</w:t>
      </w:r>
    </w:p>
    <w:p>
      <w:pPr>
        <w:spacing w:after="0" w:line="164" w:lineRule="exact"/>
        <w:rPr>
          <w:sz w:val="20"/>
          <w:szCs w:val="20"/>
          <w:color w:val="auto"/>
        </w:rPr>
      </w:pPr>
    </w:p>
    <w:p>
      <w:pPr>
        <w:ind w:firstLine="334"/>
        <w:spacing w:after="0" w:line="280" w:lineRule="auto"/>
        <w:rPr>
          <w:sz w:val="20"/>
          <w:szCs w:val="20"/>
          <w:color w:val="auto"/>
        </w:rPr>
      </w:pPr>
      <w:r>
        <w:rPr>
          <w:rFonts w:ascii="Arial" w:cs="Arial" w:eastAsia="Arial" w:hAnsi="Arial"/>
          <w:sz w:val="13"/>
          <w:szCs w:val="13"/>
          <w:color w:val="auto"/>
        </w:rPr>
        <w:t>If we are unable to satisfy commercial demand for our iFuse system due to our inability to assemble and test, our ability to generate revenue would be impaired, market acceptance of our products could be adversely affected and customers may instead purchase or use our competitors’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i w:val="1"/>
          <w:iCs w:val="1"/>
          <w:color w:val="auto"/>
        </w:rPr>
        <w:t>If we do not enhance and broaden our product offerings through our research and development efforts, we may be unable to compete effectively.</w:t>
      </w:r>
    </w:p>
    <w:p>
      <w:pPr>
        <w:spacing w:after="0" w:line="164"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134" w:lineRule="exact"/>
        <w:rPr>
          <w:sz w:val="20"/>
          <w:szCs w:val="20"/>
          <w:color w:val="auto"/>
        </w:rPr>
      </w:pPr>
    </w:p>
    <w:p>
      <w:pPr>
        <w:ind w:left="540" w:hanging="175"/>
        <w:spacing w:after="0"/>
        <w:tabs>
          <w:tab w:leader="none" w:pos="5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properly identify and anticipate surgeon and patient needs;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develop and introduce new products or product enhancements in a timely manner;</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adequately protect our intellectual property and avoid infringing upon the intellectual property rights of third parties;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demonstrate the safety and effectiveness of new products;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obtain the necessary domestic and international regulatory clearances or approvals and CE Certificates of Conformity for new products or product enhancements.</w:t>
      </w:r>
    </w:p>
    <w:p>
      <w:pPr>
        <w:spacing w:after="0" w:line="164" w:lineRule="exact"/>
        <w:rPr>
          <w:sz w:val="20"/>
          <w:szCs w:val="20"/>
          <w:color w:val="auto"/>
        </w:rPr>
      </w:pPr>
    </w:p>
    <w:p>
      <w:pPr>
        <w:jc w:val="both"/>
        <w:ind w:firstLine="334"/>
        <w:spacing w:after="0" w:line="281" w:lineRule="auto"/>
        <w:rPr>
          <w:sz w:val="20"/>
          <w:szCs w:val="20"/>
          <w:color w:val="auto"/>
        </w:rPr>
      </w:pPr>
      <w:r>
        <w:rPr>
          <w:rFonts w:ascii="Arial" w:cs="Arial" w:eastAsia="Arial" w:hAnsi="Arial"/>
          <w:sz w:val="12"/>
          <w:szCs w:val="12"/>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resources before we are adequately able to 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required to maintain adequate levels of inventory, the failure of which could consume our resources and reduce our cash flows.</w:t>
      </w:r>
    </w:p>
    <w:p>
      <w:pPr>
        <w:spacing w:after="0" w:line="164" w:lineRule="exact"/>
        <w:rPr>
          <w:sz w:val="20"/>
          <w:szCs w:val="20"/>
          <w:color w:val="auto"/>
        </w:rPr>
      </w:pPr>
    </w:p>
    <w:p>
      <w:pPr>
        <w:jc w:val="both"/>
        <w:ind w:firstLine="334"/>
        <w:spacing w:after="0" w:line="251" w:lineRule="auto"/>
        <w:rPr>
          <w:sz w:val="20"/>
          <w:szCs w:val="20"/>
          <w:color w:val="auto"/>
        </w:rPr>
      </w:pPr>
      <w:r>
        <w:rPr>
          <w:rFonts w:ascii="Arial" w:cs="Arial" w:eastAsia="Arial" w:hAnsi="Arial"/>
          <w:sz w:val="13"/>
          <w:szCs w:val="13"/>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47" w:name="page48"/>
    <w:bookmarkEnd w:id="47"/>
    <w:p>
      <w:pPr>
        <w:jc w:val="both"/>
        <w:spacing w:after="0" w:line="261" w:lineRule="auto"/>
        <w:rPr>
          <w:sz w:val="20"/>
          <w:szCs w:val="20"/>
          <w:color w:val="auto"/>
        </w:rPr>
      </w:pPr>
      <w:r>
        <w:rPr>
          <w:rFonts w:ascii="Arial" w:cs="Arial" w:eastAsia="Arial" w:hAnsi="Arial"/>
          <w:sz w:val="13"/>
          <w:szCs w:val="13"/>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150"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3"/>
          <w:szCs w:val="13"/>
          <w:color w:val="auto"/>
        </w:rPr>
        <w:t>We are not aware of an independent third-party study that reliably reports the potential market size for iFuse or cost savings as a result of the iFuse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results of operations could suffer if we are unable to manage our international business effectively.</w:t>
      </w:r>
    </w:p>
    <w:p>
      <w:pPr>
        <w:spacing w:after="0" w:line="164" w:lineRule="exact"/>
        <w:rPr>
          <w:sz w:val="20"/>
          <w:szCs w:val="20"/>
          <w:color w:val="auto"/>
        </w:rPr>
      </w:pPr>
    </w:p>
    <w:p>
      <w:pPr>
        <w:jc w:val="both"/>
        <w:ind w:firstLine="334"/>
        <w:spacing w:after="0" w:line="273" w:lineRule="auto"/>
        <w:rPr>
          <w:sz w:val="20"/>
          <w:szCs w:val="20"/>
          <w:color w:val="auto"/>
        </w:rPr>
      </w:pPr>
      <w:r>
        <w:rPr>
          <w:rFonts w:ascii="Arial" w:cs="Arial" w:eastAsia="Arial" w:hAnsi="Arial"/>
          <w:sz w:val="12"/>
          <w:szCs w:val="12"/>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 addition, some of the countries in which we sell or plan to sell our products are, to some degree, subject to various risks, including:</w:t>
      </w:r>
    </w:p>
    <w:p>
      <w:pPr>
        <w:spacing w:after="0" w:line="164" w:lineRule="exact"/>
        <w:rPr>
          <w:sz w:val="20"/>
          <w:szCs w:val="20"/>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exposure to different legal and regulatory standards;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lack of stringent protection of intellectual property;</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inability of the local healthcare system to absorb prices for our product that would enable our business to become profitable in those markets;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obstacles to obtaining domestic and foreign export, import, and other governmental approvals, permits, and licenses and compliance with foreign laws;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potentially adverse tax consequences and the complexities of foreign value-added tax systems;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adverse changes in tariffs and trade restrictions;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limitations on the repatriation of earnings;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difficulties in staffing and managing foreign operations;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insufficient numbers of patients requiring procedures that use our products;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transportation delays and difficulties of managing international distribution channels;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longer collection periods and difficulties in collecting receivables from foreign entities;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increased financing costs;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48" w:name="page49"/>
    <w:bookmarkEnd w:id="48"/>
    <w:p>
      <w:pPr>
        <w:ind w:left="540" w:hanging="175"/>
        <w:spacing w:after="0"/>
        <w:tabs>
          <w:tab w:leader="none" w:pos="5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currency risks;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political, social, and economic instability and increased security concerns.</w:t>
      </w:r>
    </w:p>
    <w:p>
      <w:pPr>
        <w:spacing w:after="0" w:line="164"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17" w:lineRule="exact"/>
        <w:rPr>
          <w:sz w:val="20"/>
          <w:szCs w:val="20"/>
          <w:color w:val="auto"/>
        </w:rPr>
      </w:pPr>
    </w:p>
    <w:p>
      <w:pPr>
        <w:jc w:val="both"/>
        <w:ind w:firstLine="334"/>
        <w:spacing w:after="0" w:line="323" w:lineRule="auto"/>
        <w:rPr>
          <w:sz w:val="20"/>
          <w:szCs w:val="20"/>
          <w:color w:val="auto"/>
        </w:rPr>
      </w:pPr>
      <w:r>
        <w:rPr>
          <w:rFonts w:ascii="Arial" w:cs="Arial" w:eastAsia="Arial" w:hAnsi="Arial"/>
          <w:sz w:val="12"/>
          <w:szCs w:val="12"/>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 the future our products may become obsolete, which would negatively affect operations and financial condition.</w:t>
      </w:r>
    </w:p>
    <w:p>
      <w:pPr>
        <w:spacing w:after="0" w:line="164"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118" w:lineRule="exact"/>
        <w:rPr>
          <w:sz w:val="20"/>
          <w:szCs w:val="20"/>
          <w:color w:val="auto"/>
        </w:rPr>
      </w:pPr>
    </w:p>
    <w:p>
      <w:pPr>
        <w:jc w:val="center"/>
        <w:ind w:right="2020"/>
        <w:spacing w:after="0"/>
        <w:rPr>
          <w:sz w:val="20"/>
          <w:szCs w:val="20"/>
          <w:color w:val="auto"/>
        </w:rPr>
      </w:pPr>
      <w:r>
        <w:rPr>
          <w:rFonts w:ascii="Arial" w:cs="Arial" w:eastAsia="Arial" w:hAnsi="Arial"/>
          <w:sz w:val="11"/>
          <w:szCs w:val="11"/>
          <w:b w:val="1"/>
          <w:bCs w:val="1"/>
          <w:i w:val="1"/>
          <w:iCs w:val="1"/>
          <w:color w:val="auto"/>
        </w:rPr>
        <w:t>If we experience significant disruptions in our information technology systems, our business, results of operations, and financial condition could be adversely affected.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efficient operation of our business depends on our information technology systems. We rely on our information technology systems to effectively manage:</w:t>
      </w:r>
    </w:p>
    <w:p>
      <w:pPr>
        <w:spacing w:after="0" w:line="164" w:lineRule="exact"/>
        <w:rPr>
          <w:sz w:val="20"/>
          <w:szCs w:val="20"/>
          <w:color w:val="auto"/>
        </w:rPr>
      </w:pPr>
    </w:p>
    <w:p>
      <w:pPr>
        <w:ind w:left="540" w:hanging="175"/>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sales and marketing, accounting, and financial functions;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inventory management;</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engineering and product development tasks;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research and development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Our information technology systems are vulnerable to damage or interruption from:</w:t>
      </w:r>
    </w:p>
    <w:p>
      <w:pPr>
        <w:spacing w:after="0" w:line="164" w:lineRule="exact"/>
        <w:rPr>
          <w:sz w:val="20"/>
          <w:szCs w:val="20"/>
          <w:color w:val="auto"/>
        </w:rPr>
      </w:pPr>
    </w:p>
    <w:p>
      <w:pPr>
        <w:ind w:left="540" w:hanging="175"/>
        <w:spacing w:after="0"/>
        <w:tabs>
          <w:tab w:leader="none" w:pos="5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earthquakes, fires, floods, and other natural disasters;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terrorist attacks and attacks by computer viruses or hackers or breach of our cybersecurity;</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power losses;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computer systems, or Internet, telecommunications, or data network failures.</w:t>
      </w:r>
    </w:p>
    <w:p>
      <w:pPr>
        <w:spacing w:after="0" w:line="164" w:lineRule="exact"/>
        <w:rPr>
          <w:sz w:val="20"/>
          <w:szCs w:val="20"/>
          <w:color w:val="auto"/>
        </w:rPr>
      </w:pPr>
    </w:p>
    <w:p>
      <w:pPr>
        <w:jc w:val="both"/>
        <w:ind w:firstLine="334"/>
        <w:spacing w:after="0" w:line="261" w:lineRule="auto"/>
        <w:rPr>
          <w:sz w:val="20"/>
          <w:szCs w:val="20"/>
          <w:color w:val="auto"/>
        </w:rPr>
      </w:pPr>
      <w:r>
        <w:rPr>
          <w:rFonts w:ascii="Arial" w:cs="Arial" w:eastAsia="Arial" w:hAnsi="Arial"/>
          <w:sz w:val="13"/>
          <w:szCs w:val="13"/>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50" w:lineRule="exact"/>
        <w:rPr>
          <w:sz w:val="20"/>
          <w:szCs w:val="20"/>
          <w:color w:val="auto"/>
        </w:rPr>
      </w:pPr>
    </w:p>
    <w:p>
      <w:pPr>
        <w:jc w:val="both"/>
        <w:ind w:firstLine="334"/>
        <w:spacing w:after="0" w:line="273" w:lineRule="auto"/>
        <w:rPr>
          <w:sz w:val="20"/>
          <w:szCs w:val="20"/>
          <w:color w:val="auto"/>
        </w:rPr>
      </w:pPr>
      <w:r>
        <w:rPr>
          <w:rFonts w:ascii="Arial" w:cs="Arial" w:eastAsia="Arial" w:hAnsi="Arial"/>
          <w:sz w:val="12"/>
          <w:szCs w:val="12"/>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49" w:name="page50"/>
    <w:bookmarkEnd w:id="49"/>
    <w:p>
      <w:pPr>
        <w:spacing w:after="0" w:line="280" w:lineRule="auto"/>
        <w:rPr>
          <w:sz w:val="20"/>
          <w:szCs w:val="20"/>
          <w:color w:val="auto"/>
        </w:rPr>
      </w:pPr>
      <w:r>
        <w:rPr>
          <w:rFonts w:ascii="Arial" w:cs="Arial" w:eastAsia="Arial" w:hAnsi="Arial"/>
          <w:sz w:val="13"/>
          <w:szCs w:val="13"/>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17" w:lineRule="exact"/>
        <w:rPr>
          <w:sz w:val="20"/>
          <w:szCs w:val="20"/>
          <w:color w:val="auto"/>
        </w:rPr>
      </w:pPr>
    </w:p>
    <w:p>
      <w:pPr>
        <w:ind w:firstLine="334"/>
        <w:spacing w:after="0" w:line="280" w:lineRule="auto"/>
        <w:rPr>
          <w:sz w:val="20"/>
          <w:szCs w:val="20"/>
          <w:color w:val="auto"/>
        </w:rPr>
      </w:pPr>
      <w:r>
        <w:rPr>
          <w:rFonts w:ascii="Arial" w:cs="Arial" w:eastAsia="Arial" w:hAnsi="Arial"/>
          <w:sz w:val="13"/>
          <w:szCs w:val="13"/>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17" w:lineRule="exact"/>
        <w:rPr>
          <w:sz w:val="20"/>
          <w:szCs w:val="20"/>
          <w:color w:val="auto"/>
        </w:rPr>
      </w:pPr>
    </w:p>
    <w:p>
      <w:pPr>
        <w:ind w:left="540" w:hanging="175"/>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problems assimilating the purchased technologies, products, or business operations;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issues maintaining uniform standards, procedures, controls, and policies;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unanticipated costs and liabilities associated with acquisitions;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diversion of management’s attention from our core business;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adverse effects on existing business relationships with suppliers and customers;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risks associated with entering new markets in which we have limited or no experience;</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potential loss of key employees of acquired businesses;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increased legal and accounting compliance costs.</w:t>
      </w:r>
    </w:p>
    <w:p>
      <w:pPr>
        <w:spacing w:after="0" w:line="164"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2"/>
          <w:szCs w:val="12"/>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2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17" w:lineRule="exact"/>
        <w:rPr>
          <w:sz w:val="20"/>
          <w:szCs w:val="20"/>
          <w:color w:val="auto"/>
        </w:rPr>
      </w:pPr>
    </w:p>
    <w:p>
      <w:pPr>
        <w:jc w:val="both"/>
        <w:ind w:firstLine="334"/>
        <w:spacing w:after="0" w:line="275" w:lineRule="auto"/>
        <w:rPr>
          <w:sz w:val="20"/>
          <w:szCs w:val="20"/>
          <w:color w:val="auto"/>
        </w:rPr>
      </w:pPr>
      <w:r>
        <w:rPr>
          <w:rFonts w:ascii="Arial" w:cs="Arial" w:eastAsia="Arial" w:hAnsi="Arial"/>
          <w:sz w:val="12"/>
          <w:szCs w:val="12"/>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44"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2"/>
          <w:szCs w:val="12"/>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42" w:lineRule="exact"/>
        <w:rPr>
          <w:sz w:val="20"/>
          <w:szCs w:val="20"/>
          <w:color w:val="auto"/>
        </w:rPr>
      </w:pPr>
    </w:p>
    <w:p>
      <w:pPr>
        <w:jc w:val="both"/>
        <w:ind w:firstLine="334"/>
        <w:spacing w:after="0" w:line="252" w:lineRule="auto"/>
        <w:rPr>
          <w:sz w:val="20"/>
          <w:szCs w:val="20"/>
          <w:color w:val="auto"/>
        </w:rPr>
      </w:pPr>
      <w:r>
        <w:rPr>
          <w:rFonts w:ascii="Arial" w:cs="Arial" w:eastAsia="Arial" w:hAnsi="Arial"/>
          <w:sz w:val="13"/>
          <w:szCs w:val="13"/>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9" w:right="319" w:bottom="144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3"/>
          <w:szCs w:val="13"/>
          <w:color w:val="auto"/>
        </w:rPr>
        <w:t>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term loan contains covenants that may restrict our business and financing activities.</w:t>
      </w:r>
    </w:p>
    <w:p>
      <w:pPr>
        <w:spacing w:after="0" w:line="195"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On August 12, 2021, we entered into a Loan and Security Agreement with Silicon Valley Bank (“SVB”), pursuant to which we borrowed $35.0 million pursuant to a term loan (the “SVB Term Loan”). The Loan and Security Agreement with SVB contains customary events of default, including bankruptcy, the failure to make payments when due, the occurrence of a material impairment on SVB's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spacing w:after="0" w:line="154"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The SVB Term Loan is secured by substantially all our assets other than our intellectual property. The Loan and Security Agreement with SVB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spacing w:after="0" w:line="13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2"/>
          <w:szCs w:val="12"/>
          <w:color w:val="auto"/>
        </w:rPr>
        <w:t>The covenants in the SVB Term Loan,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Loan and Security Agreement with SVB to become immediately due and payable.</w:t>
      </w:r>
    </w:p>
    <w:p>
      <w:pPr>
        <w:spacing w:after="0" w:line="132" w:lineRule="exact"/>
        <w:rPr>
          <w:sz w:val="20"/>
          <w:szCs w:val="20"/>
          <w:color w:val="auto"/>
        </w:rPr>
      </w:pPr>
    </w:p>
    <w:p>
      <w:pPr>
        <w:ind w:right="120" w:firstLine="486"/>
        <w:spacing w:after="0" w:line="296" w:lineRule="auto"/>
        <w:rPr>
          <w:sz w:val="20"/>
          <w:szCs w:val="20"/>
          <w:color w:val="auto"/>
        </w:rPr>
      </w:pPr>
      <w:r>
        <w:rPr>
          <w:rFonts w:ascii="Arial" w:cs="Arial" w:eastAsia="Arial" w:hAnsi="Arial"/>
          <w:sz w:val="13"/>
          <w:szCs w:val="13"/>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Risks Related to Our Legal and Regulatory Environment</w:t>
      </w:r>
    </w:p>
    <w:p>
      <w:pPr>
        <w:spacing w:after="0" w:line="166" w:lineRule="exact"/>
        <w:rPr>
          <w:sz w:val="20"/>
          <w:szCs w:val="20"/>
          <w:color w:val="auto"/>
        </w:rPr>
      </w:pPr>
    </w:p>
    <w:p>
      <w:pPr>
        <w:spacing w:after="0" w:line="280" w:lineRule="auto"/>
        <w:rPr>
          <w:sz w:val="20"/>
          <w:szCs w:val="20"/>
          <w:color w:val="auto"/>
        </w:rPr>
      </w:pPr>
      <w:r>
        <w:rPr>
          <w:rFonts w:ascii="Arial" w:cs="Arial" w:eastAsia="Arial" w:hAnsi="Arial"/>
          <w:sz w:val="13"/>
          <w:szCs w:val="13"/>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117" w:lineRule="exact"/>
        <w:rPr>
          <w:sz w:val="20"/>
          <w:szCs w:val="20"/>
          <w:color w:val="auto"/>
        </w:rPr>
      </w:pPr>
    </w:p>
    <w:p>
      <w:pPr>
        <w:ind w:firstLine="334"/>
        <w:spacing w:after="0" w:line="280" w:lineRule="auto"/>
        <w:rPr>
          <w:sz w:val="20"/>
          <w:szCs w:val="20"/>
          <w:color w:val="auto"/>
        </w:rPr>
      </w:pPr>
      <w:r>
        <w:rPr>
          <w:rFonts w:ascii="Arial" w:cs="Arial" w:eastAsia="Arial" w:hAnsi="Arial"/>
          <w:sz w:val="13"/>
          <w:szCs w:val="13"/>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117" w:lineRule="exact"/>
        <w:rPr>
          <w:sz w:val="20"/>
          <w:szCs w:val="20"/>
          <w:color w:val="auto"/>
        </w:rPr>
      </w:pPr>
    </w:p>
    <w:p>
      <w:pPr>
        <w:ind w:left="540" w:hanging="175"/>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design, development, and manufacturing;</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testing, labeling, content, and language of instructions for use and storage;</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clinical trials;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product safety;</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marketing, sales, and distribution;</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premarket clearance and approval;</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conformity assessment procedures;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record keeping procedures;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advertising and promotion;</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compliance with good manufacturing practices requirements;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51" w:name="page52"/>
    <w:bookmarkEnd w:id="51"/>
    <w:p>
      <w:pPr>
        <w:ind w:left="540" w:hanging="175"/>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recalls and field safety corrective actions;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post-market surveillance, including reporting of deaths or serious injuries and malfunctions that, if they were to recur, could lead to death or serious injury;</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post-market approval studies;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product import and export.</w:t>
      </w:r>
    </w:p>
    <w:p>
      <w:pPr>
        <w:spacing w:after="0" w:line="164"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17" w:lineRule="exact"/>
        <w:rPr>
          <w:sz w:val="20"/>
          <w:szCs w:val="20"/>
          <w:color w:val="auto"/>
        </w:rPr>
      </w:pPr>
    </w:p>
    <w:p>
      <w:pPr>
        <w:jc w:val="both"/>
        <w:ind w:firstLine="334"/>
        <w:spacing w:after="0" w:line="270" w:lineRule="auto"/>
        <w:rPr>
          <w:sz w:val="20"/>
          <w:szCs w:val="20"/>
          <w:color w:val="auto"/>
        </w:rPr>
      </w:pPr>
      <w:r>
        <w:rPr>
          <w:rFonts w:ascii="Arial" w:cs="Arial" w:eastAsia="Arial" w:hAnsi="Arial"/>
          <w:sz w:val="12"/>
          <w:szCs w:val="12"/>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28" w:lineRule="exact"/>
        <w:rPr>
          <w:sz w:val="20"/>
          <w:szCs w:val="20"/>
          <w:color w:val="auto"/>
        </w:rPr>
      </w:pPr>
    </w:p>
    <w:p>
      <w:pPr>
        <w:jc w:val="both"/>
        <w:ind w:firstLine="334"/>
        <w:spacing w:after="0" w:line="251" w:lineRule="auto"/>
        <w:rPr>
          <w:sz w:val="20"/>
          <w:szCs w:val="20"/>
          <w:color w:val="auto"/>
        </w:rPr>
      </w:pPr>
      <w:r>
        <w:rPr>
          <w:rFonts w:ascii="Arial" w:cs="Arial" w:eastAsia="Arial" w:hAnsi="Arial"/>
          <w:sz w:val="13"/>
          <w:szCs w:val="13"/>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FDA can delay, limit or deny clearance or approval of a device for many reasons, including:</w:t>
      </w:r>
    </w:p>
    <w:p>
      <w:pPr>
        <w:spacing w:after="0" w:line="164" w:lineRule="exact"/>
        <w:rPr>
          <w:sz w:val="20"/>
          <w:szCs w:val="20"/>
          <w:color w:val="auto"/>
        </w:rPr>
      </w:pPr>
    </w:p>
    <w:p>
      <w:pPr>
        <w:ind w:left="540" w:hanging="175"/>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we may not be able to demonstrate to the FDA’s satisfaction that our products are safe and effective for their intended uses;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data from our pre-clinical studies and clinical trials may be insufficient to support clearance or approval, where required;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manufacturing process or facilities we use may not meet applicable requirements.</w:t>
      </w:r>
    </w:p>
    <w:p>
      <w:pPr>
        <w:spacing w:after="0" w:line="164"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Any delay in, or failure to receive or maintain, clearance or approval for our products under development could prevent us from generating revenue from these products or achieving profitability.</w:t>
      </w:r>
    </w:p>
    <w:p>
      <w:pPr>
        <w:spacing w:after="0" w:line="176" w:lineRule="exact"/>
        <w:rPr>
          <w:sz w:val="20"/>
          <w:szCs w:val="20"/>
          <w:color w:val="auto"/>
        </w:rPr>
      </w:pPr>
    </w:p>
    <w:p>
      <w:pPr>
        <w:jc w:val="both"/>
        <w:ind w:firstLine="334"/>
        <w:spacing w:after="0" w:line="261" w:lineRule="auto"/>
        <w:rPr>
          <w:sz w:val="20"/>
          <w:szCs w:val="20"/>
          <w:color w:val="auto"/>
        </w:rPr>
      </w:pPr>
      <w:r>
        <w:rPr>
          <w:rFonts w:ascii="Arial" w:cs="Arial" w:eastAsia="Arial" w:hAnsi="Arial"/>
          <w:sz w:val="13"/>
          <w:szCs w:val="13"/>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9" w:right="319" w:bottom="1440" w:gutter="0" w:footer="0" w:header="0"/>
        </w:sectPr>
      </w:pPr>
    </w:p>
    <w:bookmarkStart w:id="52" w:name="page53"/>
    <w:bookmarkEnd w:id="52"/>
    <w:p>
      <w:pPr>
        <w:jc w:val="both"/>
        <w:ind w:firstLine="334"/>
        <w:spacing w:after="0" w:line="248" w:lineRule="auto"/>
        <w:rPr>
          <w:sz w:val="20"/>
          <w:szCs w:val="20"/>
          <w:color w:val="auto"/>
        </w:rPr>
      </w:pPr>
      <w:r>
        <w:rPr>
          <w:rFonts w:ascii="Arial" w:cs="Arial" w:eastAsia="Arial" w:hAnsi="Arial"/>
          <w:sz w:val="13"/>
          <w:szCs w:val="13"/>
          <w:color w:val="auto"/>
        </w:rPr>
        <w:t>In the EEA., a single regulatory approval process exists, and conformity with its requirements is required to affix a CE mark to our medical devices, without which they cannot be marketed or sold in the EEA. To obtain a CE mark, defined products must meet minimum standards of performance, safety, and quality, and then, according to their classification, undergo a conformity assessment procedure. Except for low risk medical devices, a conformity assessment procedure requires the intervention of a third-party organization designated by the competent authorities of a EEA country, known as a Notified Body. The competent authorities of the E.U. countries separately regulate the clinical research for medical devices and the market surveillance of products once they are placed on the market. A new Medical Device Regulation was published by the E.U. in 2017 and became effective on May 26, 2021. Medical devices marketed in the EEA will require certification according to these new requirements, except that devices with valid CE certificates, issued pursuant to the Medical Device Directives before May 2020, can be placed on the market until May 2024. The new EU MDR includes significant additional premarket and post-market requirements. Penalties for regulatory non-compliance could be severe, including fines and revocation or suspension of a company’s business license, mandatory price reductions and criminal sanctions.</w:t>
      </w:r>
    </w:p>
    <w:p>
      <w:pPr>
        <w:spacing w:after="0" w:line="141"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Failure to comply with applicable regulations could jeopardize our ability to sell our products and result in enforcement actions such as:</w:t>
      </w:r>
    </w:p>
    <w:p>
      <w:pPr>
        <w:spacing w:after="0" w:line="164" w:lineRule="exact"/>
        <w:rPr>
          <w:sz w:val="20"/>
          <w:szCs w:val="20"/>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warning letters;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fines;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injunctions;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civil penalties;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termination of distribution;</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recalls or seizures of products;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delays in the introduction of products into the market;</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total or partial suspension of production;</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facility closures;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refusal of the FDA or our Notified Body or other regulator to grant future clearances or approvals or to issue CE Certificates of Conformity;</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withdrawals, variation, or suspensions of current clearances or approvals and CE Certificates of Conformity, resulting in prohibitions on sales of our products;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the most serious cases, criminal penalties.</w:t>
      </w:r>
    </w:p>
    <w:p>
      <w:pPr>
        <w:spacing w:after="0" w:line="164" w:lineRule="exact"/>
        <w:rPr>
          <w:sz w:val="20"/>
          <w:szCs w:val="20"/>
          <w:color w:val="auto"/>
        </w:rPr>
      </w:pPr>
    </w:p>
    <w:p>
      <w:pPr>
        <w:ind w:firstLine="334"/>
        <w:spacing w:after="0" w:line="323" w:lineRule="auto"/>
        <w:rPr>
          <w:sz w:val="20"/>
          <w:szCs w:val="20"/>
          <w:color w:val="auto"/>
        </w:rPr>
      </w:pPr>
      <w:r>
        <w:rPr>
          <w:rFonts w:ascii="Arial" w:cs="Arial" w:eastAsia="Arial" w:hAnsi="Arial"/>
          <w:sz w:val="12"/>
          <w:szCs w:val="12"/>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53" w:name="page54"/>
    <w:bookmarkEnd w:id="53"/>
    <w:p>
      <w:pPr>
        <w:jc w:val="both"/>
        <w:spacing w:after="0" w:line="280" w:lineRule="auto"/>
        <w:rPr>
          <w:sz w:val="20"/>
          <w:szCs w:val="20"/>
          <w:color w:val="auto"/>
        </w:rPr>
      </w:pPr>
      <w:r>
        <w:rPr>
          <w:rFonts w:ascii="Arial" w:cs="Arial" w:eastAsia="Arial" w:hAnsi="Arial"/>
          <w:sz w:val="13"/>
          <w:szCs w:val="13"/>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37" w:lineRule="exact"/>
        <w:rPr>
          <w:sz w:val="20"/>
          <w:szCs w:val="20"/>
          <w:color w:val="auto"/>
        </w:rPr>
      </w:pPr>
    </w:p>
    <w:p>
      <w:pPr>
        <w:jc w:val="both"/>
        <w:ind w:firstLine="334"/>
        <w:spacing w:after="0" w:line="272" w:lineRule="auto"/>
        <w:rPr>
          <w:sz w:val="20"/>
          <w:szCs w:val="20"/>
          <w:color w:val="auto"/>
        </w:rPr>
      </w:pPr>
      <w:r>
        <w:rPr>
          <w:rFonts w:ascii="Arial" w:cs="Arial" w:eastAsia="Arial" w:hAnsi="Arial"/>
          <w:sz w:val="12"/>
          <w:szCs w:val="12"/>
          <w:color w:val="auto"/>
        </w:rPr>
        <w:t>Healthcare providers, distributors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spacing w:after="0" w:line="146" w:lineRule="exact"/>
        <w:rPr>
          <w:sz w:val="20"/>
          <w:szCs w:val="20"/>
          <w:color w:val="auto"/>
        </w:rPr>
      </w:pPr>
    </w:p>
    <w:p>
      <w:pPr>
        <w:jc w:val="both"/>
        <w:ind w:firstLine="334"/>
        <w:spacing w:after="0" w:line="272" w:lineRule="auto"/>
        <w:rPr>
          <w:sz w:val="20"/>
          <w:szCs w:val="20"/>
          <w:color w:val="auto"/>
        </w:rPr>
      </w:pPr>
      <w:r>
        <w:rPr>
          <w:rFonts w:ascii="Arial" w:cs="Arial" w:eastAsia="Arial" w:hAnsi="Arial"/>
          <w:sz w:val="13"/>
          <w:szCs w:val="13"/>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 in our Annual Report on Form 10-K filed with the SEC on March 10, 2021.</w:t>
      </w:r>
    </w:p>
    <w:p>
      <w:pPr>
        <w:spacing w:after="0" w:line="152" w:lineRule="exact"/>
        <w:rPr>
          <w:sz w:val="20"/>
          <w:szCs w:val="20"/>
          <w:color w:val="auto"/>
        </w:rPr>
      </w:pPr>
    </w:p>
    <w:p>
      <w:pPr>
        <w:jc w:val="both"/>
        <w:ind w:firstLine="334"/>
        <w:spacing w:after="0" w:line="293" w:lineRule="auto"/>
        <w:rPr>
          <w:sz w:val="20"/>
          <w:szCs w:val="20"/>
          <w:color w:val="auto"/>
        </w:rPr>
      </w:pPr>
      <w:r>
        <w:rPr>
          <w:rFonts w:ascii="Arial" w:cs="Arial" w:eastAsia="Arial" w:hAnsi="Arial"/>
          <w:sz w:val="12"/>
          <w:szCs w:val="12"/>
          <w:color w:val="auto"/>
        </w:rPr>
        <w:t>Certain states also have enacted analogous state and foreign law equivalents of each of the above federal laws and certain states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laws differ from each other in significant ways and may not have the same effect, thus complicating compliance efforts.</w:t>
      </w:r>
    </w:p>
    <w:p>
      <w:pPr>
        <w:spacing w:after="0" w:line="200" w:lineRule="exact"/>
        <w:rPr>
          <w:sz w:val="20"/>
          <w:szCs w:val="20"/>
          <w:color w:val="auto"/>
        </w:rPr>
      </w:pPr>
    </w:p>
    <w:p>
      <w:pPr>
        <w:spacing w:after="0" w:line="29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3"/>
          <w:szCs w:val="13"/>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150" w:lineRule="exact"/>
        <w:rPr>
          <w:sz w:val="20"/>
          <w:szCs w:val="20"/>
          <w:color w:val="auto"/>
        </w:rPr>
      </w:pPr>
    </w:p>
    <w:p>
      <w:pPr>
        <w:jc w:val="both"/>
        <w:ind w:firstLine="337"/>
        <w:spacing w:after="0" w:line="273" w:lineRule="auto"/>
        <w:rPr>
          <w:sz w:val="20"/>
          <w:szCs w:val="20"/>
          <w:color w:val="auto"/>
        </w:rPr>
      </w:pPr>
      <w:r>
        <w:rPr>
          <w:rFonts w:ascii="Arial" w:cs="Arial" w:eastAsia="Arial" w:hAnsi="Arial"/>
          <w:sz w:val="12"/>
          <w:szCs w:val="12"/>
          <w:color w:val="auto"/>
        </w:rPr>
        <w:t>We have entered into consulting agreements and royalty agreements with physicians and healthcare executives, including some who are customers. We also engage in co-marketing arrangements with certain surgeons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46" w:lineRule="exact"/>
        <w:rPr>
          <w:sz w:val="20"/>
          <w:szCs w:val="20"/>
          <w:color w:val="auto"/>
        </w:rPr>
      </w:pPr>
    </w:p>
    <w:p>
      <w:pPr>
        <w:jc w:val="both"/>
        <w:ind w:firstLine="337"/>
        <w:spacing w:after="0" w:line="273" w:lineRule="auto"/>
        <w:rPr>
          <w:sz w:val="20"/>
          <w:szCs w:val="20"/>
          <w:color w:val="auto"/>
        </w:rPr>
      </w:pPr>
      <w:r>
        <w:rPr>
          <w:rFonts w:ascii="Arial" w:cs="Arial" w:eastAsia="Arial" w:hAnsi="Arial"/>
          <w:sz w:val="12"/>
          <w:szCs w:val="12"/>
          <w:color w:val="auto"/>
        </w:rPr>
        <w:t>Various state and federal regulatory and enforcement agencies continue actively to investigate violations of health 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46" w:lineRule="exact"/>
        <w:rPr>
          <w:sz w:val="20"/>
          <w:szCs w:val="20"/>
          <w:color w:val="auto"/>
        </w:rPr>
      </w:pPr>
    </w:p>
    <w:p>
      <w:pPr>
        <w:jc w:val="both"/>
        <w:ind w:firstLine="337"/>
        <w:spacing w:after="0" w:line="323" w:lineRule="auto"/>
        <w:rPr>
          <w:sz w:val="20"/>
          <w:szCs w:val="20"/>
          <w:color w:val="auto"/>
        </w:rPr>
      </w:pPr>
      <w:r>
        <w:rPr>
          <w:rFonts w:ascii="Arial" w:cs="Arial" w:eastAsia="Arial" w:hAnsi="Arial"/>
          <w:sz w:val="12"/>
          <w:szCs w:val="12"/>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color w:val="auto"/>
        </w:rPr>
        <w:t>or state regulatory authorities might challenge our current or future activities under these laws. Additionally, we cannot predict the impact of any changes in these laws, whether or not retroactive.</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failure to adequately protect personal information in compliance with evolving legal requirements could harm our business.</w:t>
      </w:r>
    </w:p>
    <w:p>
      <w:pPr>
        <w:spacing w:after="0" w:line="164" w:lineRule="exact"/>
        <w:rPr>
          <w:sz w:val="20"/>
          <w:szCs w:val="20"/>
          <w:color w:val="auto"/>
        </w:rPr>
      </w:pPr>
    </w:p>
    <w:p>
      <w:pPr>
        <w:jc w:val="both"/>
        <w:ind w:firstLine="334"/>
        <w:spacing w:after="0" w:line="269" w:lineRule="auto"/>
        <w:rPr>
          <w:sz w:val="20"/>
          <w:szCs w:val="20"/>
          <w:color w:val="auto"/>
        </w:rPr>
      </w:pPr>
      <w:r>
        <w:rPr>
          <w:rFonts w:ascii="Arial" w:cs="Arial" w:eastAsia="Arial" w:hAnsi="Arial"/>
          <w:sz w:val="13"/>
          <w:szCs w:val="13"/>
          <w:color w:val="auto"/>
        </w:rPr>
        <w:t>In the ordinary course of our business, we collect and store sensitive data, including legally protected personally identifiable information. We collect this kind of information for billing, reimbursement support, marketing purposes, post-marketing safety vigilance, servicing potential warranty claims and during the course of clinical trials.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10, 2021.</w:t>
      </w:r>
    </w:p>
    <w:p>
      <w:pPr>
        <w:spacing w:after="0" w:line="154" w:lineRule="exact"/>
        <w:rPr>
          <w:sz w:val="20"/>
          <w:szCs w:val="20"/>
          <w:color w:val="auto"/>
        </w:rPr>
      </w:pPr>
    </w:p>
    <w:p>
      <w:pPr>
        <w:jc w:val="both"/>
        <w:ind w:firstLine="334"/>
        <w:spacing w:after="0" w:line="275" w:lineRule="auto"/>
        <w:rPr>
          <w:sz w:val="20"/>
          <w:szCs w:val="20"/>
          <w:color w:val="auto"/>
        </w:rPr>
      </w:pPr>
      <w:r>
        <w:rPr>
          <w:rFonts w:ascii="Arial" w:cs="Arial" w:eastAsia="Arial" w:hAnsi="Arial"/>
          <w:sz w:val="12"/>
          <w:szCs w:val="12"/>
          <w:color w:val="auto"/>
        </w:rPr>
        <w:t>The California Consumer Privacy Act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 damages or statutory damages of up to $750 per</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consumer per data breach. These remedies are expected to increase data breach litigation. Although the CCPA includes exemptions for certain clinical trials data, and protected health information governed by HIPAA, the law may increase our compliance costs and potential liability with respect to other personal information we collect about California residents. Our compliance costs and potential liability with respect to personal information may also increase in response to other states adopting and considering initiative regarding protection of personal information. In March 2021, Virginia passed the Consumer Data Protection Act (“CDPA”) which will take effect on January 1, 2023. Virginia is the second state to pass comprehensive privacy litigation. Colorado passed the Colorado Privacy Act (“CPA”) on July 7, 2021 with enforcement to begin on July 1, 2023. While the CDPA and CPA emulate the GDPR and the CCPA in certain respects, the laws differ and compliance with one law does not equate to compliance with the other laws. Several other states (including Washington, New York, and Minnesota) also are considering comprehensive privacy legislation that could further complicate and increase the cost of complying with various state privacy laws. If states pass a patchwork of privacy laws, this also could increase pressure on the U.S. Congress to harmonize privacy laws through federal legislation.</w:t>
      </w:r>
    </w:p>
    <w:p>
      <w:pPr>
        <w:spacing w:after="0" w:line="144" w:lineRule="exact"/>
        <w:rPr>
          <w:sz w:val="20"/>
          <w:szCs w:val="20"/>
          <w:color w:val="auto"/>
        </w:rPr>
      </w:pPr>
    </w:p>
    <w:p>
      <w:pPr>
        <w:jc w:val="both"/>
        <w:ind w:firstLine="337"/>
        <w:spacing w:after="0" w:line="249" w:lineRule="auto"/>
        <w:rPr>
          <w:sz w:val="20"/>
          <w:szCs w:val="20"/>
          <w:color w:val="auto"/>
        </w:rPr>
      </w:pPr>
      <w:r>
        <w:rPr>
          <w:rFonts w:ascii="Arial" w:cs="Arial" w:eastAsia="Arial" w:hAnsi="Arial"/>
          <w:sz w:val="13"/>
          <w:szCs w:val="13"/>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risks associated with our non-U.S. operations.</w:t>
      </w:r>
    </w:p>
    <w:p>
      <w:pPr>
        <w:spacing w:after="0" w:line="164" w:lineRule="exact"/>
        <w:rPr>
          <w:sz w:val="20"/>
          <w:szCs w:val="20"/>
          <w:color w:val="auto"/>
        </w:rPr>
      </w:pPr>
    </w:p>
    <w:p>
      <w:pPr>
        <w:jc w:val="both"/>
        <w:ind w:firstLine="334"/>
        <w:spacing w:after="0" w:line="272" w:lineRule="auto"/>
        <w:rPr>
          <w:sz w:val="20"/>
          <w:szCs w:val="20"/>
          <w:color w:val="auto"/>
        </w:rPr>
      </w:pPr>
      <w:r>
        <w:rPr>
          <w:rFonts w:ascii="Arial" w:cs="Arial" w:eastAsia="Arial" w:hAnsi="Arial"/>
          <w:sz w:val="12"/>
          <w:szCs w:val="12"/>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46"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55" w:name="page56"/>
    <w:bookmarkEnd w:id="55"/>
    <w:p>
      <w:pPr>
        <w:jc w:val="both"/>
        <w:spacing w:after="0" w:line="280" w:lineRule="auto"/>
        <w:rPr>
          <w:sz w:val="20"/>
          <w:szCs w:val="20"/>
          <w:color w:val="auto"/>
        </w:rPr>
      </w:pPr>
      <w:r>
        <w:rPr>
          <w:rFonts w:ascii="Arial" w:cs="Arial" w:eastAsia="Arial" w:hAnsi="Arial"/>
          <w:sz w:val="13"/>
          <w:szCs w:val="13"/>
          <w:color w:val="auto"/>
        </w:rPr>
        <w:t>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1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17" w:lineRule="exact"/>
        <w:rPr>
          <w:sz w:val="20"/>
          <w:szCs w:val="20"/>
          <w:color w:val="auto"/>
        </w:rPr>
      </w:pPr>
    </w:p>
    <w:p>
      <w:pPr>
        <w:jc w:val="both"/>
        <w:ind w:firstLine="334"/>
        <w:spacing w:after="0" w:line="252" w:lineRule="auto"/>
        <w:rPr>
          <w:sz w:val="20"/>
          <w:szCs w:val="20"/>
          <w:color w:val="auto"/>
        </w:rPr>
      </w:pPr>
      <w:r>
        <w:rPr>
          <w:rFonts w:ascii="Arial" w:cs="Arial" w:eastAsia="Arial" w:hAnsi="Arial"/>
          <w:sz w:val="13"/>
          <w:szCs w:val="13"/>
          <w:color w:val="auto"/>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36"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17" w:lineRule="exact"/>
        <w:rPr>
          <w:sz w:val="20"/>
          <w:szCs w:val="20"/>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untitled letters, warning letters, fines, injunctions, consent, and civil penalties;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unanticipated expenditures to address or defend such actions;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customer notifications for repair, replacement, refunds;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recall, detention, or seizure of our products;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operating restrictions or partial suspension or total shutdown of production;</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refusing or delaying our requests for 510(k) clearance or premarket approval and conformity assessments of new products or modified products;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limitations on the intended uses for which the product may be marketed;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operating restrictions;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withdrawing 510(k) clearances or PMA approvals that have already been granted;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suspension, variation or withdrawal of CE Certificates of Conformity;</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refusal to grant export approval for our products;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criminal prosecution.</w:t>
      </w:r>
    </w:p>
    <w:p>
      <w:pPr>
        <w:spacing w:after="0" w:line="164" w:lineRule="exact"/>
        <w:rPr>
          <w:sz w:val="20"/>
          <w:szCs w:val="20"/>
          <w:color w:val="auto"/>
        </w:rPr>
      </w:pPr>
    </w:p>
    <w:p>
      <w:pPr>
        <w:jc w:val="both"/>
        <w:ind w:firstLine="334"/>
        <w:spacing w:after="0" w:line="251" w:lineRule="auto"/>
        <w:rPr>
          <w:sz w:val="20"/>
          <w:szCs w:val="20"/>
          <w:color w:val="auto"/>
        </w:rPr>
      </w:pPr>
      <w:r>
        <w:rPr>
          <w:rFonts w:ascii="Arial" w:cs="Arial" w:eastAsia="Arial" w:hAnsi="Arial"/>
          <w:sz w:val="13"/>
          <w:szCs w:val="13"/>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55"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56" w:name="page57"/>
    <w:bookmarkEnd w:id="56"/>
    <w:p>
      <w:pPr>
        <w:jc w:val="both"/>
        <w:spacing w:after="0" w:line="280" w:lineRule="auto"/>
        <w:rPr>
          <w:sz w:val="20"/>
          <w:szCs w:val="20"/>
          <w:color w:val="auto"/>
        </w:rPr>
      </w:pPr>
      <w:r>
        <w:rPr>
          <w:rFonts w:ascii="Arial" w:cs="Arial" w:eastAsia="Arial" w:hAnsi="Arial"/>
          <w:sz w:val="13"/>
          <w:szCs w:val="13"/>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117" w:lineRule="exact"/>
        <w:rPr>
          <w:sz w:val="20"/>
          <w:szCs w:val="20"/>
          <w:color w:val="auto"/>
        </w:rPr>
      </w:pPr>
    </w:p>
    <w:p>
      <w:pPr>
        <w:jc w:val="both"/>
        <w:ind w:firstLine="334"/>
        <w:spacing w:after="0" w:line="247" w:lineRule="auto"/>
        <w:rPr>
          <w:sz w:val="20"/>
          <w:szCs w:val="20"/>
          <w:color w:val="auto"/>
        </w:rPr>
      </w:pPr>
      <w:r>
        <w:rPr>
          <w:rFonts w:ascii="Arial" w:cs="Arial" w:eastAsia="Arial" w:hAnsi="Arial"/>
          <w:sz w:val="13"/>
          <w:szCs w:val="13"/>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subject to enforcement action, including fines, penalties or injunctions, if we are determined to be engaging in the off-label promotion of our products.</w:t>
      </w:r>
    </w:p>
    <w:p>
      <w:pPr>
        <w:spacing w:after="0" w:line="164" w:lineRule="exact"/>
        <w:rPr>
          <w:sz w:val="20"/>
          <w:szCs w:val="20"/>
          <w:color w:val="auto"/>
        </w:rPr>
      </w:pPr>
    </w:p>
    <w:p>
      <w:pPr>
        <w:jc w:val="both"/>
        <w:ind w:firstLine="334"/>
        <w:spacing w:after="0" w:line="273" w:lineRule="auto"/>
        <w:rPr>
          <w:sz w:val="20"/>
          <w:szCs w:val="20"/>
          <w:color w:val="auto"/>
        </w:rPr>
      </w:pPr>
      <w:r>
        <w:rPr>
          <w:rFonts w:ascii="Arial" w:cs="Arial" w:eastAsia="Arial" w:hAnsi="Arial"/>
          <w:sz w:val="12"/>
          <w:szCs w:val="12"/>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fusion for the following conditions: (i) Sacroiliac joint dysfunction that is a direct result of sacroiliac joint disruption and degenerative sacroiliitis. This includes conditions whose symptoms began during pregnancy or in the peripartum period and have persisted postpartum for more than 6 months. (ii) To augment immobilization and stabilization of the sacroiliac joint in skeletally mature patients undergoing sacropelvic fixation as part of a lumbar or thoracolumbar fusion. (iii) Acute, non-acute, and non-traumatic fractures involving the sacroiliac joint.”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200" w:lineRule="exact"/>
        <w:rPr>
          <w:sz w:val="20"/>
          <w:szCs w:val="20"/>
          <w:color w:val="auto"/>
        </w:rPr>
      </w:pPr>
    </w:p>
    <w:p>
      <w:pPr>
        <w:spacing w:after="0" w:line="311" w:lineRule="exact"/>
        <w:rPr>
          <w:sz w:val="20"/>
          <w:szCs w:val="20"/>
          <w:color w:val="auto"/>
        </w:rPr>
      </w:pPr>
    </w:p>
    <w:p>
      <w:pPr>
        <w:jc w:val="both"/>
        <w:ind w:firstLine="334"/>
        <w:spacing w:after="0" w:line="248" w:lineRule="auto"/>
        <w:rPr>
          <w:sz w:val="20"/>
          <w:szCs w:val="20"/>
          <w:color w:val="auto"/>
        </w:rPr>
      </w:pPr>
      <w:r>
        <w:rPr>
          <w:rFonts w:ascii="Arial" w:cs="Arial" w:eastAsia="Arial" w:hAnsi="Arial"/>
          <w:sz w:val="13"/>
          <w:szCs w:val="13"/>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76"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In the EEA, we must report serious incidents and field safety corrective actions through the Commission’s electronic system on vigilance and post-market surveillance, which reports are transmitted to the competent authority of the Member State in which the incident occurred.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9" w:right="319" w:bottom="1440" w:gutter="0" w:footer="0" w:header="0"/>
        </w:sectPr>
      </w:pPr>
    </w:p>
    <w:bookmarkStart w:id="57" w:name="page58"/>
    <w:bookmarkEnd w:id="57"/>
    <w:p>
      <w:pPr>
        <w:jc w:val="both"/>
        <w:ind w:firstLine="334"/>
        <w:spacing w:after="0" w:line="283" w:lineRule="auto"/>
        <w:rPr>
          <w:sz w:val="20"/>
          <w:szCs w:val="20"/>
          <w:color w:val="auto"/>
        </w:rPr>
      </w:pPr>
      <w:r>
        <w:rPr>
          <w:rFonts w:ascii="Arial" w:cs="Arial" w:eastAsia="Arial" w:hAnsi="Arial"/>
          <w:sz w:val="12"/>
          <w:szCs w:val="12"/>
          <w:color w:val="auto"/>
        </w:rPr>
        <w:t>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18" w:lineRule="exact"/>
        <w:rPr>
          <w:sz w:val="20"/>
          <w:szCs w:val="20"/>
          <w:color w:val="auto"/>
        </w:rPr>
      </w:pPr>
    </w:p>
    <w:p>
      <w:pPr>
        <w:jc w:val="both"/>
        <w:ind w:firstLine="334"/>
        <w:spacing w:after="0" w:line="252" w:lineRule="auto"/>
        <w:rPr>
          <w:sz w:val="20"/>
          <w:szCs w:val="20"/>
          <w:color w:val="auto"/>
        </w:rPr>
      </w:pPr>
      <w:r>
        <w:rPr>
          <w:rFonts w:ascii="Arial" w:cs="Arial" w:eastAsia="Arial" w:hAnsi="Arial"/>
          <w:sz w:val="13"/>
          <w:szCs w:val="13"/>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117"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37" w:lineRule="exact"/>
        <w:rPr>
          <w:sz w:val="20"/>
          <w:szCs w:val="20"/>
          <w:color w:val="auto"/>
        </w:rPr>
      </w:pPr>
    </w:p>
    <w:p>
      <w:pPr>
        <w:jc w:val="both"/>
        <w:ind w:firstLine="334"/>
        <w:spacing w:after="0" w:line="278" w:lineRule="auto"/>
        <w:rPr>
          <w:sz w:val="20"/>
          <w:szCs w:val="20"/>
          <w:color w:val="auto"/>
        </w:rPr>
      </w:pPr>
      <w:r>
        <w:rPr>
          <w:rFonts w:ascii="Arial" w:cs="Arial" w:eastAsia="Arial" w:hAnsi="Arial"/>
          <w:sz w:val="12"/>
          <w:szCs w:val="12"/>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42"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17"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139"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336" w:lineRule="exact"/>
        <w:rPr>
          <w:sz w:val="20"/>
          <w:szCs w:val="20"/>
          <w:color w:val="auto"/>
        </w:rPr>
      </w:pPr>
    </w:p>
    <w:p>
      <w:pPr>
        <w:jc w:val="both"/>
        <w:ind w:firstLine="334"/>
        <w:spacing w:after="0" w:line="261" w:lineRule="auto"/>
        <w:rPr>
          <w:sz w:val="20"/>
          <w:szCs w:val="20"/>
          <w:color w:val="auto"/>
        </w:rPr>
      </w:pPr>
      <w:r>
        <w:rPr>
          <w:rFonts w:ascii="Arial" w:cs="Arial" w:eastAsia="Arial" w:hAnsi="Arial"/>
          <w:sz w:val="13"/>
          <w:szCs w:val="13"/>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9" w:right="319" w:bottom="1440" w:gutter="0" w:footer="0" w:header="0"/>
        </w:sectPr>
      </w:pPr>
    </w:p>
    <w:bookmarkStart w:id="58" w:name="page59"/>
    <w:bookmarkEnd w:id="58"/>
    <w:p>
      <w:pPr>
        <w:jc w:val="both"/>
        <w:spacing w:after="0" w:line="280" w:lineRule="auto"/>
        <w:rPr>
          <w:sz w:val="20"/>
          <w:szCs w:val="20"/>
          <w:color w:val="auto"/>
        </w:rPr>
      </w:pPr>
      <w:r>
        <w:rPr>
          <w:rFonts w:ascii="Arial" w:cs="Arial" w:eastAsia="Arial" w:hAnsi="Arial"/>
          <w:sz w:val="13"/>
          <w:szCs w:val="13"/>
          <w:color w:val="auto"/>
        </w:rPr>
        <w:t>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37" w:lineRule="exact"/>
        <w:rPr>
          <w:sz w:val="20"/>
          <w:szCs w:val="20"/>
          <w:color w:val="auto"/>
        </w:rPr>
      </w:pPr>
    </w:p>
    <w:p>
      <w:pPr>
        <w:jc w:val="both"/>
        <w:ind w:firstLine="334"/>
        <w:spacing w:after="0" w:line="252" w:lineRule="auto"/>
        <w:rPr>
          <w:sz w:val="20"/>
          <w:szCs w:val="20"/>
          <w:color w:val="auto"/>
        </w:rPr>
      </w:pPr>
      <w:r>
        <w:rPr>
          <w:rFonts w:ascii="Arial" w:cs="Arial" w:eastAsia="Arial" w:hAnsi="Arial"/>
          <w:sz w:val="13"/>
          <w:szCs w:val="13"/>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117" w:lineRule="exact"/>
        <w:rPr>
          <w:sz w:val="20"/>
          <w:szCs w:val="20"/>
          <w:color w:val="auto"/>
        </w:rPr>
      </w:pPr>
    </w:p>
    <w:p>
      <w:pPr>
        <w:jc w:val="both"/>
        <w:ind w:firstLine="334"/>
        <w:spacing w:after="0" w:line="273" w:lineRule="auto"/>
        <w:rPr>
          <w:sz w:val="20"/>
          <w:szCs w:val="20"/>
          <w:color w:val="auto"/>
        </w:rPr>
      </w:pPr>
      <w:r>
        <w:rPr>
          <w:rFonts w:ascii="Arial" w:cs="Arial" w:eastAsia="Arial" w:hAnsi="Arial"/>
          <w:sz w:val="12"/>
          <w:szCs w:val="12"/>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fail to obtain or maintain foreign regulatory approvals to market our products in other countries.</w:t>
      </w:r>
    </w:p>
    <w:p>
      <w:pPr>
        <w:spacing w:after="0" w:line="164"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34" w:lineRule="exact"/>
        <w:rPr>
          <w:sz w:val="20"/>
          <w:szCs w:val="20"/>
          <w:color w:val="auto"/>
        </w:rPr>
      </w:pPr>
    </w:p>
    <w:p>
      <w:pPr>
        <w:jc w:val="both"/>
        <w:ind w:firstLine="334"/>
        <w:spacing w:after="0" w:line="275" w:lineRule="auto"/>
        <w:rPr>
          <w:sz w:val="20"/>
          <w:szCs w:val="20"/>
          <w:color w:val="auto"/>
        </w:rPr>
      </w:pPr>
      <w:r>
        <w:rPr>
          <w:rFonts w:ascii="Arial" w:cs="Arial" w:eastAsia="Arial" w:hAnsi="Arial"/>
          <w:sz w:val="12"/>
          <w:szCs w:val="12"/>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130" w:lineRule="exact"/>
        <w:rPr>
          <w:sz w:val="20"/>
          <w:szCs w:val="20"/>
          <w:color w:val="auto"/>
        </w:rPr>
      </w:pPr>
    </w:p>
    <w:p>
      <w:pPr>
        <w:jc w:val="both"/>
        <w:ind w:firstLine="334"/>
        <w:spacing w:after="0" w:line="261" w:lineRule="auto"/>
        <w:rPr>
          <w:sz w:val="20"/>
          <w:szCs w:val="20"/>
          <w:color w:val="auto"/>
        </w:rPr>
      </w:pPr>
      <w:r>
        <w:rPr>
          <w:rFonts w:ascii="Arial" w:cs="Arial" w:eastAsia="Arial" w:hAnsi="Arial"/>
          <w:sz w:val="13"/>
          <w:szCs w:val="13"/>
          <w:color w:val="auto"/>
        </w:rPr>
        <w:t>Initiating and completing clinical trials necessary to support a De Novo 510(k) or PMA application for our possible future products or to support a conformity assessment procedure for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59" w:name="page60"/>
    <w:bookmarkEnd w:id="59"/>
    <w:p>
      <w:pPr>
        <w:jc w:val="both"/>
        <w:ind w:firstLine="334"/>
        <w:spacing w:after="0" w:line="247" w:lineRule="auto"/>
        <w:rPr>
          <w:sz w:val="20"/>
          <w:szCs w:val="20"/>
          <w:color w:val="auto"/>
        </w:rPr>
      </w:pPr>
      <w:r>
        <w:rPr>
          <w:rFonts w:ascii="Arial" w:cs="Arial" w:eastAsia="Arial" w:hAnsi="Arial"/>
          <w:sz w:val="13"/>
          <w:szCs w:val="13"/>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and support staff, the proximity of patients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has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42"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Our facility and our clinical investigational sites operate under procedures that govern the conduct and management of FDA -regulated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results of our clinical trials may not support our product candidate claims or may result in the occurrence of adverse events.</w:t>
      </w:r>
    </w:p>
    <w:p>
      <w:pPr>
        <w:spacing w:after="0" w:line="164" w:lineRule="exact"/>
        <w:rPr>
          <w:sz w:val="20"/>
          <w:szCs w:val="20"/>
          <w:color w:val="auto"/>
        </w:rPr>
      </w:pPr>
    </w:p>
    <w:p>
      <w:pPr>
        <w:jc w:val="both"/>
        <w:ind w:firstLine="334"/>
        <w:spacing w:after="0" w:line="251" w:lineRule="auto"/>
        <w:rPr>
          <w:sz w:val="20"/>
          <w:szCs w:val="20"/>
          <w:color w:val="auto"/>
        </w:rPr>
      </w:pPr>
      <w:r>
        <w:rPr>
          <w:rFonts w:ascii="Arial" w:cs="Arial" w:eastAsia="Arial" w:hAnsi="Arial"/>
          <w:sz w:val="13"/>
          <w:szCs w:val="13"/>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37"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entered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139" w:lineRule="exact"/>
        <w:rPr>
          <w:sz w:val="20"/>
          <w:szCs w:val="20"/>
          <w:color w:val="auto"/>
        </w:rPr>
      </w:pPr>
    </w:p>
    <w:p>
      <w:pPr>
        <w:jc w:val="both"/>
        <w:ind w:firstLine="334"/>
        <w:spacing w:after="0" w:line="255" w:lineRule="auto"/>
        <w:rPr>
          <w:sz w:val="20"/>
          <w:szCs w:val="20"/>
          <w:color w:val="auto"/>
        </w:rPr>
      </w:pPr>
      <w:r>
        <w:rPr>
          <w:rFonts w:ascii="Arial" w:cs="Arial" w:eastAsia="Arial" w:hAnsi="Arial"/>
          <w:sz w:val="13"/>
          <w:szCs w:val="13"/>
          <w:color w:val="auto"/>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54"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Another example can be found in the EEA. The Medical Devices Regulation (“MDR”) entered into application on May 26, 2021. MDR introduced substantial changes to the obligations with which medical device manufacturers must comply in the EEA. Examples of the changes which will be introduced by these regulations include the following:</w:t>
      </w:r>
    </w:p>
    <w:p>
      <w:pPr>
        <w:spacing w:after="0" w:line="117" w:lineRule="exact"/>
        <w:rPr>
          <w:sz w:val="20"/>
          <w:szCs w:val="20"/>
          <w:color w:val="auto"/>
        </w:rPr>
      </w:pPr>
    </w:p>
    <w:p>
      <w:pPr>
        <w:ind w:left="540" w:hanging="175"/>
        <w:spacing w:after="0"/>
        <w:tabs>
          <w:tab w:leader="none" w:pos="5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additional scrutiny during the conformity assessment procedure for high risk medical devices;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strengthening of the clinical data requirements related to medical devices;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strengthening of the designation and monitoring processes governing notified bodies;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60" w:name="page61"/>
    <w:bookmarkEnd w:id="60"/>
    <w:p>
      <w:pPr>
        <w:ind w:left="540" w:hanging="175"/>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obligation for manufacturers and authorized representative to have a person responsible for regulatory compliance continuously at their disposal;</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authorized representatives held legally responsible and liable for defective products placed on the EU market;</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increased traceability of medical devices following the introduction of a Unique Device Identification (“UDI”), system;</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new rules governing the reprocessing of medical devices; and</w:t>
      </w:r>
    </w:p>
    <w:p>
      <w:pPr>
        <w:spacing w:after="0" w:line="164" w:lineRule="exact"/>
        <w:rPr>
          <w:rFonts w:ascii="Arial" w:cs="Arial" w:eastAsia="Arial" w:hAnsi="Arial"/>
          <w:sz w:val="13"/>
          <w:szCs w:val="13"/>
          <w:color w:val="auto"/>
        </w:rPr>
      </w:pPr>
    </w:p>
    <w:p>
      <w:pPr>
        <w:ind w:left="660" w:hanging="295"/>
        <w:spacing w:after="0" w:line="280" w:lineRule="auto"/>
        <w:tabs>
          <w:tab w:leader="none" w:pos="548"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17"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Transition from the regulation of our products under the Medical Device Directive, and implementing legislation in each EU Member State, to regulation under the Medical Devices Regulation has</w:t>
      </w:r>
    </w:p>
    <w:p>
      <w:pPr>
        <w:spacing w:after="0" w:line="3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required and will continue to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w:t>
      </w:r>
    </w:p>
    <w:p>
      <w:pPr>
        <w:spacing w:after="0" w:line="153" w:lineRule="exact"/>
        <w:rPr>
          <w:sz w:val="20"/>
          <w:szCs w:val="20"/>
          <w:color w:val="auto"/>
        </w:rPr>
      </w:pPr>
    </w:p>
    <w:p>
      <w:pPr>
        <w:jc w:val="both"/>
        <w:ind w:firstLine="334"/>
        <w:spacing w:after="0" w:line="235" w:lineRule="auto"/>
        <w:rPr>
          <w:sz w:val="20"/>
          <w:szCs w:val="20"/>
          <w:color w:val="auto"/>
        </w:rPr>
      </w:pPr>
      <w:r>
        <w:rPr>
          <w:rFonts w:ascii="Arial" w:cs="Arial" w:eastAsia="Arial" w:hAnsi="Arial"/>
          <w:sz w:val="13"/>
          <w:szCs w:val="13"/>
          <w:color w:val="auto"/>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pursuant to guidance issued by the UK Government as a result of the UK formally withdrawing from the European Union, the Medicines and Healthcare products Regulatory Agency (“MHRA”) became the standalone medicines and medical devices regulator for the UK as of January 1, 2021. A new mark referred to as “UKCA” (UK Conformity Assessed) has also been introduced and will replace the CE conformity mark. Although CE conformity marketing and certificates issued by Notified Bodies will continue to be recognized in the UK through June 2023, all medical devices must be registered with the MHRA as of January 1, 2021. Complying with this new regulatory framework will require us to invest in additional resources and could be expensive, time-consuming and disruptive to our existing operations in the UK.</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incur product liability losses, and insurance coverage may be inadequate or unavailable to cover these losses.</w:t>
      </w:r>
    </w:p>
    <w:p>
      <w:pPr>
        <w:spacing w:after="0" w:line="164" w:lineRule="exact"/>
        <w:rPr>
          <w:sz w:val="20"/>
          <w:szCs w:val="20"/>
          <w:color w:val="auto"/>
        </w:rPr>
      </w:pPr>
    </w:p>
    <w:p>
      <w:pPr>
        <w:jc w:val="both"/>
        <w:ind w:firstLine="334"/>
        <w:spacing w:after="0" w:line="275" w:lineRule="auto"/>
        <w:rPr>
          <w:sz w:val="20"/>
          <w:szCs w:val="20"/>
          <w:color w:val="auto"/>
        </w:rPr>
      </w:pPr>
      <w:r>
        <w:rPr>
          <w:rFonts w:ascii="Arial" w:cs="Arial" w:eastAsia="Arial" w:hAnsi="Arial"/>
          <w:sz w:val="12"/>
          <w:szCs w:val="12"/>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Surgeons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24" w:lineRule="exact"/>
        <w:rPr>
          <w:sz w:val="20"/>
          <w:szCs w:val="20"/>
          <w:color w:val="auto"/>
        </w:rPr>
      </w:pPr>
    </w:p>
    <w:p>
      <w:pPr>
        <w:jc w:val="both"/>
        <w:ind w:firstLine="334"/>
        <w:spacing w:after="0" w:line="261" w:lineRule="auto"/>
        <w:rPr>
          <w:sz w:val="20"/>
          <w:szCs w:val="20"/>
          <w:color w:val="auto"/>
        </w:rPr>
      </w:pPr>
      <w:r>
        <w:rPr>
          <w:rFonts w:ascii="Arial" w:cs="Arial" w:eastAsia="Arial" w:hAnsi="Arial"/>
          <w:sz w:val="13"/>
          <w:szCs w:val="13"/>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30"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i w:val="1"/>
          <w:iCs w:val="1"/>
          <w:color w:val="auto"/>
        </w:rPr>
        <w:t>We are subject to environmental laws and regulations that can impose significant costs and expose us to potential financial liabilities.</w:t>
      </w:r>
    </w:p>
    <w:p>
      <w:pPr>
        <w:spacing w:after="0" w:line="164" w:lineRule="exact"/>
        <w:rPr>
          <w:sz w:val="20"/>
          <w:szCs w:val="20"/>
          <w:color w:val="auto"/>
        </w:rPr>
      </w:pPr>
    </w:p>
    <w:p>
      <w:pPr>
        <w:jc w:val="both"/>
        <w:ind w:firstLine="334"/>
        <w:spacing w:after="0" w:line="275" w:lineRule="auto"/>
        <w:rPr>
          <w:sz w:val="20"/>
          <w:szCs w:val="20"/>
          <w:color w:val="auto"/>
        </w:rPr>
      </w:pPr>
      <w:r>
        <w:rPr>
          <w:rFonts w:ascii="Arial" w:cs="Arial" w:eastAsia="Arial" w:hAnsi="Arial"/>
          <w:sz w:val="12"/>
          <w:szCs w:val="12"/>
          <w:color w:val="auto"/>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requires adoption of a radiation safety plan. 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of our products are derived from human tissue and are or could be subject to additional regulations and requirements.</w:t>
      </w:r>
    </w:p>
    <w:p>
      <w:pPr>
        <w:spacing w:after="0" w:line="185" w:lineRule="exact"/>
        <w:rPr>
          <w:sz w:val="20"/>
          <w:szCs w:val="20"/>
          <w:color w:val="auto"/>
        </w:rPr>
      </w:pPr>
    </w:p>
    <w:p>
      <w:pPr>
        <w:jc w:val="both"/>
        <w:ind w:firstLine="304"/>
        <w:spacing w:after="0" w:line="283" w:lineRule="auto"/>
        <w:rPr>
          <w:sz w:val="20"/>
          <w:szCs w:val="20"/>
          <w:color w:val="auto"/>
        </w:rPr>
      </w:pPr>
      <w:r>
        <w:rPr>
          <w:rFonts w:ascii="Arial" w:cs="Arial" w:eastAsia="Arial" w:hAnsi="Arial"/>
          <w:sz w:val="12"/>
          <w:szCs w:val="12"/>
          <w:color w:val="auto"/>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spacing w:after="0" w:line="139" w:lineRule="exact"/>
        <w:rPr>
          <w:sz w:val="20"/>
          <w:szCs w:val="20"/>
          <w:color w:val="auto"/>
        </w:rPr>
      </w:pPr>
    </w:p>
    <w:p>
      <w:pPr>
        <w:jc w:val="both"/>
        <w:ind w:firstLine="304"/>
        <w:spacing w:after="0" w:line="248" w:lineRule="auto"/>
        <w:rPr>
          <w:sz w:val="20"/>
          <w:szCs w:val="20"/>
          <w:color w:val="auto"/>
        </w:rPr>
      </w:pPr>
      <w:r>
        <w:rPr>
          <w:rFonts w:ascii="Arial" w:cs="Arial" w:eastAsia="Arial" w:hAnsi="Arial"/>
          <w:sz w:val="13"/>
          <w:szCs w:val="13"/>
          <w:color w:val="auto"/>
        </w:rPr>
        <w:t>In addition, procurement of certain human organs and tissue for transplantation is subject to the National Organ Transplant Act, or NOTA, which prohibits the transfer of certain human organs, including skin and related tissue, for valuable consideration, but permits the reasonable payment for costs associated with the removal, transportation, implantation, processing, preservation, quality control and storage of human tissue and skin. We reimburse tissue banks for their expenses associated with the recovery, storage and transportation of donated human tissue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Intellectual Property</w:t>
      </w:r>
    </w:p>
    <w:p>
      <w:pPr>
        <w:spacing w:after="0" w:line="16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17" w:lineRule="exact"/>
        <w:rPr>
          <w:sz w:val="20"/>
          <w:szCs w:val="20"/>
          <w:color w:val="auto"/>
        </w:rPr>
      </w:pPr>
    </w:p>
    <w:p>
      <w:pPr>
        <w:jc w:val="both"/>
        <w:ind w:firstLine="364"/>
        <w:spacing w:after="0" w:line="252" w:lineRule="auto"/>
        <w:rPr>
          <w:sz w:val="20"/>
          <w:szCs w:val="20"/>
          <w:color w:val="auto"/>
        </w:rPr>
      </w:pPr>
      <w:r>
        <w:rPr>
          <w:rFonts w:ascii="Arial" w:cs="Arial" w:eastAsia="Arial" w:hAnsi="Arial"/>
          <w:sz w:val="13"/>
          <w:szCs w:val="13"/>
          <w:color w:val="auto"/>
        </w:rPr>
        <w:t>We rely primarily on patent, copyright, trademark and trade secret laws, as well as confidentiality and nondisclosure agreements and other methods, to protect our proprietary technologies and know-how. As of September 30, 2021, we owned 43 issued U.S. patents and had 31 pending U.S. patent applications, and we owned 14 issued foreign patents and had 10 pending foreign patent applications. We have focused the majority of our foreign patent efforts in China, Europe, and Japan. Our current U.S. patents on iFuse, including the triangular shape, expire in November 2024. Competitors may market similar triangular shaped devices upon the expiration of the patents in late 2024. Our current U.S. patents on iFuse-3D, including the fenestrated design, expire in September 2035. Our foreign patents will expire between August 2025 and October 2031.</w:t>
      </w:r>
    </w:p>
    <w:p>
      <w:pPr>
        <w:spacing w:after="0" w:line="136" w:lineRule="exact"/>
        <w:rPr>
          <w:sz w:val="20"/>
          <w:szCs w:val="20"/>
          <w:color w:val="auto"/>
        </w:rPr>
      </w:pPr>
    </w:p>
    <w:p>
      <w:pPr>
        <w:ind w:right="500" w:firstLine="364"/>
        <w:spacing w:after="0" w:line="280" w:lineRule="auto"/>
        <w:rPr>
          <w:sz w:val="20"/>
          <w:szCs w:val="20"/>
          <w:color w:val="auto"/>
        </w:rPr>
      </w:pPr>
      <w:r>
        <w:rPr>
          <w:rFonts w:ascii="Arial" w:cs="Arial" w:eastAsia="Arial" w:hAnsi="Arial"/>
          <w:sz w:val="13"/>
          <w:szCs w:val="13"/>
          <w:color w:val="auto"/>
        </w:rPr>
        <w:t>As of September 30, 2021, we have 17 registered trademarks in the U.S. and have filed for 15 more. We have sought protection for at least 2 of these trademarks in 60 countries including the 27 European member countries of the Madrid Protocol.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62" w:name="page63"/>
    <w:bookmarkEnd w:id="62"/>
    <w:p>
      <w:pPr>
        <w:jc w:val="both"/>
        <w:ind w:firstLine="334"/>
        <w:spacing w:after="0" w:line="271" w:lineRule="auto"/>
        <w:rPr>
          <w:sz w:val="20"/>
          <w:szCs w:val="20"/>
          <w:color w:val="auto"/>
        </w:rPr>
      </w:pPr>
      <w:r>
        <w:rPr>
          <w:rFonts w:ascii="Arial" w:cs="Arial" w:eastAsia="Arial" w:hAnsi="Arial"/>
          <w:sz w:val="12"/>
          <w:szCs w:val="12"/>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46"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39" w:lineRule="exact"/>
        <w:rPr>
          <w:sz w:val="20"/>
          <w:szCs w:val="20"/>
          <w:color w:val="auto"/>
        </w:rPr>
      </w:pPr>
    </w:p>
    <w:p>
      <w:pPr>
        <w:jc w:val="both"/>
        <w:ind w:firstLine="334"/>
        <w:spacing w:after="0" w:line="275" w:lineRule="auto"/>
        <w:rPr>
          <w:sz w:val="20"/>
          <w:szCs w:val="20"/>
          <w:color w:val="auto"/>
        </w:rPr>
      </w:pPr>
      <w:r>
        <w:rPr>
          <w:rFonts w:ascii="Arial" w:cs="Arial" w:eastAsia="Arial" w:hAnsi="Arial"/>
          <w:sz w:val="12"/>
          <w:szCs w:val="12"/>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44" w:lineRule="exact"/>
        <w:rPr>
          <w:sz w:val="20"/>
          <w:szCs w:val="20"/>
          <w:color w:val="auto"/>
        </w:rPr>
      </w:pPr>
    </w:p>
    <w:p>
      <w:pPr>
        <w:jc w:val="both"/>
        <w:ind w:firstLine="334"/>
        <w:spacing w:after="0" w:line="251" w:lineRule="auto"/>
        <w:rPr>
          <w:sz w:val="20"/>
          <w:szCs w:val="20"/>
          <w:color w:val="auto"/>
        </w:rPr>
      </w:pPr>
      <w:r>
        <w:rPr>
          <w:rFonts w:ascii="Arial" w:cs="Arial" w:eastAsia="Arial" w:hAnsi="Arial"/>
          <w:sz w:val="13"/>
          <w:szCs w:val="13"/>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55"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77" w:right="319" w:bottom="1440" w:gutter="0" w:footer="0" w:header="0"/>
        </w:sectPr>
      </w:pPr>
    </w:p>
    <w:bookmarkStart w:id="63" w:name="page64"/>
    <w:bookmarkEnd w:id="63"/>
    <w:p>
      <w:pPr>
        <w:jc w:val="both"/>
        <w:spacing w:after="0" w:line="280" w:lineRule="auto"/>
        <w:rPr>
          <w:sz w:val="20"/>
          <w:szCs w:val="20"/>
          <w:color w:val="auto"/>
        </w:rPr>
      </w:pPr>
      <w:r>
        <w:rPr>
          <w:rFonts w:ascii="Arial" w:cs="Arial" w:eastAsia="Arial" w:hAnsi="Arial"/>
          <w:sz w:val="13"/>
          <w:szCs w:val="13"/>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17" w:lineRule="exact"/>
        <w:rPr>
          <w:sz w:val="20"/>
          <w:szCs w:val="20"/>
          <w:color w:val="auto"/>
        </w:rPr>
      </w:pPr>
    </w:p>
    <w:p>
      <w:pPr>
        <w:jc w:val="both"/>
        <w:ind w:firstLine="334"/>
        <w:spacing w:after="0" w:line="273" w:lineRule="auto"/>
        <w:rPr>
          <w:sz w:val="20"/>
          <w:szCs w:val="20"/>
          <w:color w:val="auto"/>
        </w:rPr>
      </w:pPr>
      <w:r>
        <w:rPr>
          <w:rFonts w:ascii="Arial" w:cs="Arial" w:eastAsia="Arial" w:hAnsi="Arial"/>
          <w:sz w:val="12"/>
          <w:szCs w:val="12"/>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17" w:lineRule="exact"/>
        <w:rPr>
          <w:sz w:val="20"/>
          <w:szCs w:val="20"/>
          <w:color w:val="auto"/>
        </w:rPr>
      </w:pPr>
    </w:p>
    <w:p>
      <w:pPr>
        <w:jc w:val="both"/>
        <w:ind w:firstLine="334"/>
        <w:spacing w:after="0" w:line="269" w:lineRule="auto"/>
        <w:rPr>
          <w:sz w:val="20"/>
          <w:szCs w:val="20"/>
          <w:color w:val="auto"/>
        </w:rPr>
      </w:pPr>
      <w:r>
        <w:rPr>
          <w:rFonts w:ascii="Arial" w:cs="Arial" w:eastAsia="Arial" w:hAnsi="Arial"/>
          <w:sz w:val="12"/>
          <w:szCs w:val="12"/>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w:t>
      </w:r>
    </w:p>
    <w:p>
      <w:pPr>
        <w:spacing w:after="0" w:line="128" w:lineRule="exact"/>
        <w:rPr>
          <w:sz w:val="20"/>
          <w:szCs w:val="20"/>
          <w:color w:val="auto"/>
        </w:rPr>
      </w:pPr>
    </w:p>
    <w:p>
      <w:pPr>
        <w:jc w:val="both"/>
        <w:ind w:firstLine="334"/>
        <w:spacing w:after="0" w:line="283" w:lineRule="auto"/>
        <w:rPr>
          <w:sz w:val="20"/>
          <w:szCs w:val="20"/>
          <w:color w:val="auto"/>
        </w:rPr>
      </w:pPr>
      <w:r>
        <w:rPr>
          <w:rFonts w:ascii="Arial" w:cs="Arial" w:eastAsia="Arial" w:hAnsi="Arial"/>
          <w:sz w:val="12"/>
          <w:szCs w:val="12"/>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Ownership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price of our common stock may be volatile, and the value of an investment in our common stock could decline.</w:t>
      </w:r>
    </w:p>
    <w:p>
      <w:pPr>
        <w:spacing w:after="0" w:line="164"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117" w:lineRule="exact"/>
        <w:rPr>
          <w:sz w:val="20"/>
          <w:szCs w:val="20"/>
          <w:color w:val="auto"/>
        </w:rPr>
      </w:pPr>
    </w:p>
    <w:p>
      <w:pPr>
        <w:ind w:left="540" w:hanging="175"/>
        <w:spacing w:after="0"/>
        <w:tabs>
          <w:tab w:leader="none" w:pos="5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impact that the COVID-19 pandemic has on our business;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actual or anticipated changes or fluctuations in our results of operations;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results of our clinical trials and that of our competitors’ products;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regulatory actions with respect to our products or our competitor’s products;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64" w:name="page65"/>
    <w:bookmarkEnd w:id="64"/>
    <w:p>
      <w:pPr>
        <w:ind w:left="540" w:hanging="175"/>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announcements of new offerings, products, services or technologies, commercial relationships, acquisitions, or other events by us or our competitors;</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price and volume fluctuations in the overall stock market from time to time;</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significant volatility in the market price and trading volume of healthcare companies, in general, and of companies in the medical device industry in particular;</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fluctuations in the trading volume of our shares or the size of our public float;</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negative publicity;</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whether our results of operations meet the expectations of securities analysts or investors or those expectations change;</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litigation involving us, our industry, or both;</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regulatory developments in the U.S., foreign countries, or both;</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lock-up releases and sales of large blocks of our common stock;</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additions or departures of key employees or scientific personnel; and</w:t>
      </w:r>
    </w:p>
    <w:p>
      <w:pPr>
        <w:spacing w:after="0" w:line="164" w:lineRule="exact"/>
        <w:rPr>
          <w:rFonts w:ascii="Arial" w:cs="Arial" w:eastAsia="Arial" w:hAnsi="Arial"/>
          <w:sz w:val="13"/>
          <w:szCs w:val="13"/>
          <w:color w:val="auto"/>
        </w:rPr>
      </w:pPr>
    </w:p>
    <w:p>
      <w:pPr>
        <w:ind w:left="540" w:hanging="175"/>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general economic conditions and trends.</w:t>
      </w:r>
    </w:p>
    <w:p>
      <w:pPr>
        <w:spacing w:after="0" w:line="164" w:lineRule="exact"/>
        <w:rPr>
          <w:sz w:val="20"/>
          <w:szCs w:val="20"/>
          <w:color w:val="auto"/>
        </w:rPr>
      </w:pPr>
    </w:p>
    <w:p>
      <w:pPr>
        <w:jc w:val="both"/>
        <w:ind w:firstLine="334"/>
        <w:spacing w:after="0" w:line="252" w:lineRule="auto"/>
        <w:rPr>
          <w:sz w:val="20"/>
          <w:szCs w:val="20"/>
          <w:color w:val="auto"/>
        </w:rPr>
      </w:pPr>
      <w:r>
        <w:rPr>
          <w:rFonts w:ascii="Arial" w:cs="Arial" w:eastAsia="Arial" w:hAnsi="Arial"/>
          <w:sz w:val="13"/>
          <w:szCs w:val="13"/>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sales volumes and our operating results may fluctuate over the course of the year, which could affect the price of our common stock.</w:t>
      </w:r>
    </w:p>
    <w:p>
      <w:pPr>
        <w:spacing w:after="0" w:line="164" w:lineRule="exact"/>
        <w:rPr>
          <w:sz w:val="20"/>
          <w:szCs w:val="20"/>
          <w:color w:val="auto"/>
        </w:rPr>
      </w:pPr>
    </w:p>
    <w:p>
      <w:pPr>
        <w:jc w:val="both"/>
        <w:ind w:firstLine="337"/>
        <w:spacing w:after="0" w:line="280" w:lineRule="auto"/>
        <w:rPr>
          <w:sz w:val="20"/>
          <w:szCs w:val="20"/>
          <w:color w:val="auto"/>
        </w:rPr>
      </w:pPr>
      <w:r>
        <w:rPr>
          <w:rFonts w:ascii="Arial" w:cs="Arial" w:eastAsia="Arial" w:hAnsi="Arial"/>
          <w:sz w:val="13"/>
          <w:szCs w:val="13"/>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17" w:lineRule="exact"/>
        <w:rPr>
          <w:sz w:val="20"/>
          <w:szCs w:val="20"/>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impact that the COVID-19 pandemic has on our business;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payor coverage and reimbursement;</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number of products sold in the quarter and our ability to drive increased sales of our products;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ability to establish and maintain an effective and dedicated sales force;</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pricing pressure applicable to our products, including adverse third-party coverage and reimbursement outcomes;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results of clinical research and trials on our existing products and products in development;</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mix of our products sold because profit margins differ amongst our products;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timing of new product offerings, acquisitions, licenses or other significant events by us or our competitors;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ability of our suppliers to timely provide us with an adequate supply of materials and components;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evolving product offerings of our competitors;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demand for, and pricing of, our products and the products of our competitors;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factors that may affect the sale of our products, including seasonality and budgets of our customers;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9" w:right="319" w:bottom="1440" w:gutter="0" w:footer="0" w:header="0"/>
        </w:sectPr>
      </w:pPr>
    </w:p>
    <w:bookmarkStart w:id="65" w:name="page66"/>
    <w:bookmarkEnd w:id="65"/>
    <w:p>
      <w:pPr>
        <w:ind w:left="660" w:hanging="295"/>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domestic and international regulatory clearances or approvals, or CE Certificates of Conformity, and legislative changes affecting the products we may offer or those of our competitors;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interruption in the manufacturing or distribution of our products;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effect of competing technological, industry and market developments;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our ability to expand the geographic reach of our sales and marketing efforts;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costs of maintaining adequate insurance coverage, including product liability insurance;</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availability and cost of components and materials;</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number of selling days in the quarter;</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fluctuation in foreign currency exchange rates; and</w:t>
      </w:r>
    </w:p>
    <w:p>
      <w:pPr>
        <w:spacing w:after="0" w:line="164" w:lineRule="exact"/>
        <w:rPr>
          <w:rFonts w:ascii="Arial" w:cs="Arial" w:eastAsia="Arial" w:hAnsi="Arial"/>
          <w:sz w:val="13"/>
          <w:szCs w:val="13"/>
          <w:color w:val="auto"/>
        </w:rPr>
      </w:pPr>
    </w:p>
    <w:p>
      <w:pPr>
        <w:ind w:left="660" w:hanging="295"/>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impairment and other special charges.</w:t>
      </w:r>
    </w:p>
    <w:p>
      <w:pPr>
        <w:spacing w:after="0" w:line="164" w:lineRule="exact"/>
        <w:rPr>
          <w:sz w:val="20"/>
          <w:szCs w:val="20"/>
          <w:color w:val="auto"/>
        </w:rPr>
      </w:pPr>
    </w:p>
    <w:p>
      <w:pPr>
        <w:jc w:val="both"/>
        <w:ind w:firstLine="337"/>
        <w:spacing w:after="0" w:line="251" w:lineRule="auto"/>
        <w:rPr>
          <w:sz w:val="20"/>
          <w:szCs w:val="20"/>
          <w:color w:val="auto"/>
        </w:rPr>
      </w:pPr>
      <w:r>
        <w:rPr>
          <w:rFonts w:ascii="Arial" w:cs="Arial" w:eastAsia="Arial" w:hAnsi="Arial"/>
          <w:sz w:val="13"/>
          <w:szCs w:val="13"/>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utilize our federal and state net operating loss carryforwards to reduce our income taxes.</w:t>
      </w:r>
    </w:p>
    <w:p>
      <w:pPr>
        <w:spacing w:after="0" w:line="164" w:lineRule="exact"/>
        <w:rPr>
          <w:sz w:val="20"/>
          <w:szCs w:val="20"/>
          <w:color w:val="auto"/>
        </w:rPr>
      </w:pPr>
    </w:p>
    <w:p>
      <w:pPr>
        <w:jc w:val="both"/>
        <w:ind w:firstLine="334"/>
        <w:spacing w:after="0" w:line="287" w:lineRule="auto"/>
        <w:rPr>
          <w:sz w:val="20"/>
          <w:szCs w:val="20"/>
          <w:color w:val="auto"/>
        </w:rPr>
      </w:pPr>
      <w:r>
        <w:rPr>
          <w:rFonts w:ascii="Arial" w:cs="Arial" w:eastAsia="Arial" w:hAnsi="Arial"/>
          <w:sz w:val="12"/>
          <w:szCs w:val="12"/>
          <w:color w:val="auto"/>
        </w:rPr>
        <w:t>As of December 31, 2020, we had net operating loss (“NOL”) carryforwards of $200.5 million and $165.0 million available to reduce future taxable income, if any, for U.S. federal income tax and state income tax purposes, respectively. If not utilized, our federal and state NOL carryforwards begin to expire in 2028 and 2021,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 by</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legislation enacted in 2020, unused U.S. federal NOLs generated in tax years beginning after December 31, 2017</w:t>
      </w:r>
      <w:r>
        <w:rPr>
          <w:rFonts w:ascii="Arial" w:cs="Arial" w:eastAsia="Arial" w:hAnsi="Arial"/>
          <w:sz w:val="16"/>
          <w:szCs w:val="16"/>
          <w:color w:val="auto"/>
        </w:rPr>
        <w:t>,</w:t>
      </w:r>
      <w:r>
        <w:rPr>
          <w:rFonts w:ascii="Arial" w:cs="Arial" w:eastAsia="Arial" w:hAnsi="Arial"/>
          <w:sz w:val="13"/>
          <w:szCs w:val="13"/>
          <w:color w:val="auto"/>
        </w:rPr>
        <w:t xml:space="preserve"> 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w:t>
      </w:r>
    </w:p>
    <w:p>
      <w:pPr>
        <w:spacing w:after="0" w:line="161" w:lineRule="exact"/>
        <w:rPr>
          <w:sz w:val="20"/>
          <w:szCs w:val="20"/>
          <w:color w:val="auto"/>
        </w:rPr>
      </w:pPr>
    </w:p>
    <w:p>
      <w:pPr>
        <w:jc w:val="both"/>
        <w:ind w:firstLine="334"/>
        <w:spacing w:after="0" w:line="272" w:lineRule="auto"/>
        <w:rPr>
          <w:sz w:val="20"/>
          <w:szCs w:val="20"/>
          <w:color w:val="auto"/>
        </w:rPr>
      </w:pPr>
      <w:r>
        <w:rPr>
          <w:rFonts w:ascii="Arial" w:cs="Arial" w:eastAsia="Arial" w:hAnsi="Arial"/>
          <w:sz w:val="13"/>
          <w:szCs w:val="13"/>
          <w:color w:val="auto"/>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Given that we expect to be at a loss position in the current year, the new legislation will not impact our current year provision. We will continue to monitor the possible California NOLs and credit limitation in future periods.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charter documents and Delaware law could discourage takeover attempts and lead to management entrenchment.</w:t>
      </w:r>
    </w:p>
    <w:p>
      <w:pPr>
        <w:spacing w:after="0" w:line="164"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66" w:name="page67"/>
    <w:bookmarkEnd w:id="66"/>
    <w:p>
      <w:pPr>
        <w:spacing w:after="0"/>
        <w:rPr>
          <w:sz w:val="20"/>
          <w:szCs w:val="20"/>
          <w:color w:val="auto"/>
        </w:rPr>
      </w:pPr>
      <w:r>
        <w:rPr>
          <w:rFonts w:ascii="Arial" w:cs="Arial" w:eastAsia="Arial" w:hAnsi="Arial"/>
          <w:sz w:val="13"/>
          <w:szCs w:val="13"/>
          <w:color w:val="auto"/>
        </w:rPr>
        <w:t>not nominated by the current members of our board of directors or take other corporate actions, including effecting changes in our management. These provisions include:</w:t>
      </w:r>
    </w:p>
    <w:p>
      <w:pPr>
        <w:spacing w:after="0" w:line="164" w:lineRule="exact"/>
        <w:rPr>
          <w:sz w:val="20"/>
          <w:szCs w:val="20"/>
          <w:color w:val="auto"/>
        </w:rPr>
      </w:pPr>
    </w:p>
    <w:p>
      <w:pPr>
        <w:ind w:left="540" w:hanging="175"/>
        <w:spacing w:after="0"/>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classified board of directors with three-year staggered terms, which could delay the ability of stockholders to change the membership of a majority of our board of directors;</w:t>
      </w:r>
    </w:p>
    <w:p>
      <w:pPr>
        <w:spacing w:after="0" w:line="164" w:lineRule="exact"/>
        <w:rPr>
          <w:rFonts w:ascii="Arial" w:cs="Arial" w:eastAsia="Arial" w:hAnsi="Arial"/>
          <w:sz w:val="13"/>
          <w:szCs w:val="13"/>
          <w:color w:val="auto"/>
        </w:rPr>
      </w:pPr>
    </w:p>
    <w:p>
      <w:pPr>
        <w:ind w:left="660" w:hanging="295"/>
        <w:spacing w:after="0" w:line="280" w:lineRule="auto"/>
        <w:tabs>
          <w:tab w:leader="none" w:pos="541"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16" w:lineRule="exact"/>
        <w:rPr>
          <w:rFonts w:ascii="Arial" w:cs="Arial" w:eastAsia="Arial" w:hAnsi="Arial"/>
          <w:sz w:val="13"/>
          <w:szCs w:val="13"/>
          <w:color w:val="auto"/>
        </w:rPr>
      </w:pPr>
    </w:p>
    <w:p>
      <w:pPr>
        <w:ind w:left="660" w:hanging="295"/>
        <w:spacing w:after="0" w:line="280" w:lineRule="auto"/>
        <w:tabs>
          <w:tab w:leader="none" w:pos="564"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16" w:lineRule="exact"/>
        <w:rPr>
          <w:rFonts w:ascii="Arial" w:cs="Arial" w:eastAsia="Arial" w:hAnsi="Arial"/>
          <w:sz w:val="13"/>
          <w:szCs w:val="13"/>
          <w:color w:val="auto"/>
        </w:rPr>
      </w:pPr>
    </w:p>
    <w:p>
      <w:pPr>
        <w:ind w:left="540" w:hanging="175"/>
        <w:spacing w:after="0"/>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prohibition on stockholder action by written consent, which forces stockholder action to be taken at an annual or special meeting of our stockholders;</w:t>
      </w:r>
    </w:p>
    <w:p>
      <w:pPr>
        <w:spacing w:after="0" w:line="164" w:lineRule="exact"/>
        <w:rPr>
          <w:rFonts w:ascii="Arial" w:cs="Arial" w:eastAsia="Arial" w:hAnsi="Arial"/>
          <w:sz w:val="13"/>
          <w:szCs w:val="13"/>
          <w:color w:val="auto"/>
        </w:rPr>
      </w:pPr>
    </w:p>
    <w:p>
      <w:pPr>
        <w:ind w:left="660" w:hanging="295"/>
        <w:spacing w:after="0" w:line="280" w:lineRule="auto"/>
        <w:tabs>
          <w:tab w:leader="none" w:pos="567"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16" w:lineRule="exact"/>
        <w:rPr>
          <w:rFonts w:ascii="Arial" w:cs="Arial" w:eastAsia="Arial" w:hAnsi="Arial"/>
          <w:sz w:val="13"/>
          <w:szCs w:val="13"/>
          <w:color w:val="auto"/>
        </w:rPr>
      </w:pPr>
    </w:p>
    <w:p>
      <w:pPr>
        <w:ind w:left="660" w:hanging="295"/>
        <w:spacing w:after="0" w:line="261" w:lineRule="auto"/>
        <w:tabs>
          <w:tab w:leader="none" w:pos="572"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129" w:lineRule="exact"/>
        <w:rPr>
          <w:rFonts w:ascii="Arial" w:cs="Arial" w:eastAsia="Arial" w:hAnsi="Arial"/>
          <w:sz w:val="13"/>
          <w:szCs w:val="13"/>
          <w:color w:val="auto"/>
        </w:rPr>
      </w:pPr>
    </w:p>
    <w:p>
      <w:pPr>
        <w:ind w:left="660" w:hanging="295"/>
        <w:spacing w:after="0" w:line="280" w:lineRule="auto"/>
        <w:tabs>
          <w:tab w:leader="none" w:pos="585" w:val="left"/>
        </w:tabs>
        <w:numPr>
          <w:ilvl w:val="0"/>
          <w:numId w:val="35"/>
        </w:numPr>
        <w:rPr>
          <w:rFonts w:ascii="Arial" w:cs="Arial" w:eastAsia="Arial" w:hAnsi="Arial"/>
          <w:sz w:val="13"/>
          <w:szCs w:val="13"/>
          <w:color w:val="auto"/>
        </w:rPr>
      </w:pPr>
      <w:r>
        <w:rPr>
          <w:rFonts w:ascii="Arial" w:cs="Arial" w:eastAsia="Arial" w:hAnsi="Arial"/>
          <w:sz w:val="13"/>
          <w:szCs w:val="13"/>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17"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17"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17" w:lineRule="exact"/>
        <w:rPr>
          <w:sz w:val="20"/>
          <w:szCs w:val="20"/>
          <w:color w:val="auto"/>
        </w:rPr>
      </w:pPr>
    </w:p>
    <w:p>
      <w:pPr>
        <w:jc w:val="both"/>
        <w:ind w:firstLine="334"/>
        <w:spacing w:after="0" w:line="293" w:lineRule="auto"/>
        <w:rPr>
          <w:sz w:val="20"/>
          <w:szCs w:val="20"/>
          <w:color w:val="auto"/>
        </w:rPr>
      </w:pPr>
      <w:r>
        <w:rPr>
          <w:rFonts w:ascii="Arial" w:cs="Arial" w:eastAsia="Arial" w:hAnsi="Arial"/>
          <w:sz w:val="12"/>
          <w:szCs w:val="12"/>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30" w:lineRule="exact"/>
        <w:rPr>
          <w:sz w:val="20"/>
          <w:szCs w:val="20"/>
          <w:color w:val="auto"/>
        </w:rPr>
      </w:pPr>
    </w:p>
    <w:p>
      <w:pPr>
        <w:jc w:val="both"/>
        <w:ind w:firstLine="334"/>
        <w:spacing w:after="0" w:line="252" w:lineRule="auto"/>
        <w:rPr>
          <w:sz w:val="20"/>
          <w:szCs w:val="20"/>
          <w:color w:val="auto"/>
        </w:rPr>
      </w:pPr>
      <w:r>
        <w:rPr>
          <w:rFonts w:ascii="Arial" w:cs="Arial" w:eastAsia="Arial" w:hAnsi="Arial"/>
          <w:sz w:val="13"/>
          <w:szCs w:val="13"/>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136" w:lineRule="exact"/>
        <w:rPr>
          <w:sz w:val="20"/>
          <w:szCs w:val="20"/>
          <w:color w:val="auto"/>
        </w:rPr>
      </w:pPr>
    </w:p>
    <w:p>
      <w:pPr>
        <w:jc w:val="both"/>
        <w:ind w:firstLine="334"/>
        <w:spacing w:after="0" w:line="280" w:lineRule="auto"/>
        <w:rPr>
          <w:sz w:val="20"/>
          <w:szCs w:val="20"/>
          <w:color w:val="auto"/>
        </w:rPr>
      </w:pPr>
      <w:r>
        <w:rPr>
          <w:rFonts w:ascii="Arial" w:cs="Arial" w:eastAsia="Arial" w:hAnsi="Arial"/>
          <w:sz w:val="13"/>
          <w:szCs w:val="13"/>
          <w:color w:val="auto"/>
        </w:rPr>
        <w:t>Our amended and restated certificate of incorporation also provides that the U.S. federal district courts are the exclusive forum for resolving any complaint 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8" w:right="319"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Recent Sales of Unregistered Securities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There were no sales of unregistered equity securities during the three months ended September 30, 2021.</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Purchases of Equity Securities by the Issuer and Affiliated Purchasers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There were no repurchases of shares or equity securities during the three months ended September 30, 2021.</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Use of Proceeds from our Initial Public Offering of Common Stock</w:t>
      </w:r>
    </w:p>
    <w:p>
      <w:pPr>
        <w:spacing w:after="0" w:line="174" w:lineRule="exact"/>
        <w:rPr>
          <w:sz w:val="20"/>
          <w:szCs w:val="20"/>
          <w:color w:val="auto"/>
        </w:rPr>
      </w:pPr>
    </w:p>
    <w:p>
      <w:pPr>
        <w:jc w:val="both"/>
        <w:ind w:firstLine="334"/>
        <w:spacing w:after="0" w:line="272" w:lineRule="auto"/>
        <w:rPr>
          <w:sz w:val="20"/>
          <w:szCs w:val="20"/>
          <w:color w:val="auto"/>
        </w:rPr>
      </w:pPr>
      <w:r>
        <w:rPr>
          <w:rFonts w:ascii="Arial" w:cs="Arial" w:eastAsia="Arial" w:hAnsi="Arial"/>
          <w:sz w:val="13"/>
          <w:szCs w:val="13"/>
          <w:color w:val="auto"/>
        </w:rPr>
        <w:t>On October 16, 2018, our registration statement on Form S-1 (File No. 333-227445) relating to our Initial Public Offering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the IPO were paid to directors, officers, persons owning 10% or more of any class of equity securities, or to their associates, or to our affiliates.</w:t>
      </w:r>
    </w:p>
    <w:p>
      <w:pPr>
        <w:spacing w:after="0" w:line="132" w:lineRule="exact"/>
        <w:rPr>
          <w:sz w:val="20"/>
          <w:szCs w:val="20"/>
          <w:color w:val="auto"/>
        </w:rPr>
      </w:pPr>
    </w:p>
    <w:p>
      <w:pPr>
        <w:jc w:val="both"/>
        <w:ind w:firstLine="334"/>
        <w:spacing w:after="0" w:line="341" w:lineRule="auto"/>
        <w:rPr>
          <w:sz w:val="20"/>
          <w:szCs w:val="20"/>
          <w:color w:val="auto"/>
        </w:rPr>
      </w:pPr>
      <w:r>
        <w:rPr>
          <w:rFonts w:ascii="Arial" w:cs="Arial" w:eastAsia="Arial" w:hAnsi="Arial"/>
          <w:sz w:val="12"/>
          <w:szCs w:val="12"/>
          <w:color w:val="auto"/>
        </w:rPr>
        <w:t>There has been no material change in the planned use of proceeds from the IPO from that described in the prospectus filed with the SEC pursuant to Rule 424(b)(4) under the Securities Act on October 16, 2018. As of September 30, 2021, approximately $104.1 million of the net proceeds had been used for general corporate purposes including cash used in operations and capital expenditures.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Not Applicable.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359" w:lineRule="exact"/>
        <w:rPr>
          <w:sz w:val="20"/>
          <w:szCs w:val="20"/>
          <w:color w:val="auto"/>
        </w:rPr>
      </w:pPr>
    </w:p>
    <w:p>
      <w:pPr>
        <w:jc w:val="both"/>
        <w:ind w:firstLine="364"/>
        <w:spacing w:after="0" w:line="281" w:lineRule="auto"/>
        <w:rPr>
          <w:sz w:val="20"/>
          <w:szCs w:val="20"/>
          <w:color w:val="auto"/>
        </w:rPr>
      </w:pPr>
      <w:r>
        <w:rPr>
          <w:rFonts w:ascii="Arial" w:cs="Arial" w:eastAsia="Arial" w:hAnsi="Arial"/>
          <w:sz w:val="12"/>
          <w:szCs w:val="12"/>
          <w:color w:val="auto"/>
        </w:rPr>
        <w:t>On October 20, 2021, we entered into a Second Amendment to the Offer Letter Agreement and Severance Plan Participation Agreement (the “Second Amendment”) with Jeffery Dunn, our Executive Chairman. The Second Amendment to Mr. Dunn’s offer letter agreement provides that (1) Mr. Dunn will be entitled to receive the severance benefit set forth in Section 2 of the Participation Agreement only</w:t>
      </w:r>
    </w:p>
    <w:p>
      <w:pPr>
        <w:spacing w:after="0" w:line="1" w:lineRule="exact"/>
        <w:rPr>
          <w:sz w:val="20"/>
          <w:szCs w:val="20"/>
          <w:color w:val="auto"/>
        </w:rPr>
      </w:pPr>
    </w:p>
    <w:p>
      <w:pPr>
        <w:jc w:val="both"/>
        <w:spacing w:after="0" w:line="320" w:lineRule="auto"/>
        <w:rPr>
          <w:sz w:val="20"/>
          <w:szCs w:val="20"/>
          <w:color w:val="auto"/>
        </w:rPr>
      </w:pPr>
      <w:r>
        <w:rPr>
          <w:rFonts w:ascii="Arial" w:cs="Arial" w:eastAsia="Arial" w:hAnsi="Arial"/>
          <w:sz w:val="12"/>
          <w:szCs w:val="12"/>
          <w:color w:val="auto"/>
        </w:rPr>
        <w:t>upon the occurrence of a Covered Termination occurring during the Change in Control Period and will not be entitled to receive the severance benefits set forth in Section 2 of the Participation Agreement upon the Closing of a Change in Control absent a Covered Termination within the Change in Control Period, and (2) The second prong of the “Good Reason” definition will be triggered if Mr. Dunn ceases to be, at any point during the Change in Control Period, the Chairman of the Board or, following a Change in Control, the Chairman of the board of the successor entity or its ultimate parent entity, if any.</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 copy of the Second Amendment to the Offer Letter Agreement and Severance Plan Participation Agreement is attached to this Quarterly Report on Form 10-Q as Exhibit 10.2.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936" w:right="31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color w:val="auto"/>
        </w:rPr>
        <w:t>Item 6. Exhibits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w w:val="88"/>
              </w:rPr>
              <w:t>Incorporation By Reference</w:t>
            </w:r>
          </w:p>
        </w:tc>
        <w:tc>
          <w:tcPr>
            <w:tcW w:w="11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200" w:type="dxa"/>
            <w:vAlign w:val="bottom"/>
            <w:gridSpan w:val="2"/>
          </w:tcPr>
          <w:p>
            <w:pPr>
              <w:ind w:left="360"/>
              <w:spacing w:after="0" w:line="100" w:lineRule="exact"/>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40" w:type="dxa"/>
            <w:vAlign w:val="bottom"/>
            <w:gridSpan w:val="12"/>
            <w:vMerge w:val="restart"/>
          </w:tcPr>
          <w:p>
            <w:pPr>
              <w:ind w:left="120"/>
              <w:spacing w:after="0"/>
              <w:rPr>
                <w:sz w:val="20"/>
                <w:szCs w:val="20"/>
                <w:color w:val="auto"/>
              </w:rPr>
            </w:pPr>
            <w:r>
              <w:rPr>
                <w:rFonts w:ascii="Arial" w:cs="Arial" w:eastAsia="Arial" w:hAnsi="Arial"/>
                <w:sz w:val="11"/>
                <w:szCs w:val="11"/>
                <w:b w:val="1"/>
                <w:bCs w:val="1"/>
                <w:color w:val="auto"/>
              </w:rPr>
              <w:t>Description</w:t>
            </w: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Form</w:t>
            </w:r>
          </w:p>
        </w:tc>
        <w:tc>
          <w:tcPr>
            <w:tcW w:w="140" w:type="dxa"/>
            <w:vAlign w:val="bottom"/>
          </w:tcPr>
          <w:p>
            <w:pPr>
              <w:spacing w:after="0"/>
              <w:rPr>
                <w:sz w:val="8"/>
                <w:szCs w:val="8"/>
                <w:color w:val="auto"/>
              </w:rPr>
            </w:pPr>
          </w:p>
        </w:tc>
        <w:tc>
          <w:tcPr>
            <w:tcW w:w="130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SEC File No.</w:t>
            </w:r>
          </w:p>
        </w:tc>
        <w:tc>
          <w:tcPr>
            <w:tcW w:w="110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5"/>
              </w:rPr>
              <w:t>Exhibit/</w:t>
            </w:r>
          </w:p>
        </w:tc>
        <w:tc>
          <w:tcPr>
            <w:tcW w:w="140" w:type="dxa"/>
            <w:vAlign w:val="bottom"/>
          </w:tcPr>
          <w:p>
            <w:pPr>
              <w:spacing w:after="0"/>
              <w:rPr>
                <w:sz w:val="8"/>
                <w:szCs w:val="8"/>
                <w:color w:val="auto"/>
              </w:rPr>
            </w:pPr>
          </w:p>
        </w:tc>
        <w:tc>
          <w:tcPr>
            <w:tcW w:w="122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Filing Date</w:t>
            </w:r>
          </w:p>
        </w:tc>
        <w:tc>
          <w:tcPr>
            <w:tcW w:w="0" w:type="dxa"/>
            <w:vAlign w:val="bottom"/>
          </w:tcPr>
          <w:p>
            <w:pPr>
              <w:spacing w:after="0"/>
              <w:rPr>
                <w:sz w:val="1"/>
                <w:szCs w:val="1"/>
                <w:color w:val="auto"/>
              </w:rPr>
            </w:pPr>
          </w:p>
        </w:tc>
      </w:tr>
      <w:tr>
        <w:trPr>
          <w:trHeight w:val="141"/>
        </w:trPr>
        <w:tc>
          <w:tcPr>
            <w:tcW w:w="1200" w:type="dxa"/>
            <w:vAlign w:val="bottom"/>
            <w:gridSpan w:val="2"/>
          </w:tcPr>
          <w:p>
            <w:pPr>
              <w:ind w:left="34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1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Reference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0" w:type="dxa"/>
            <w:vAlign w:val="bottom"/>
            <w:tcBorders>
              <w:top w:val="single" w:sz="8" w:color="auto"/>
              <w:bottom w:val="single" w:sz="8" w:color="0000FF"/>
            </w:tcBorders>
            <w:gridSpan w:val="9"/>
          </w:tcPr>
          <w:p>
            <w:pPr>
              <w:spacing w:after="0" w:line="133" w:lineRule="exact"/>
              <w:rPr>
                <w:rFonts w:ascii="Arial" w:cs="Arial" w:eastAsia="Arial" w:hAnsi="Arial"/>
                <w:sz w:val="13"/>
                <w:szCs w:val="13"/>
                <w:color w:val="0000FF"/>
                <w:w w:val="93"/>
              </w:rPr>
            </w:pPr>
            <w:hyperlink r:id="rId82">
              <w:r>
                <w:rPr>
                  <w:rFonts w:ascii="Arial" w:cs="Arial" w:eastAsia="Arial" w:hAnsi="Arial"/>
                  <w:sz w:val="13"/>
                  <w:szCs w:val="13"/>
                  <w:color w:val="0000FF"/>
                  <w:w w:val="93"/>
                </w:rPr>
                <w:t>Amended and Restated Certificate of Incorporation.</w:t>
              </w:r>
            </w:hyperlink>
          </w:p>
        </w:tc>
        <w:tc>
          <w:tcPr>
            <w:tcW w:w="2160" w:type="dxa"/>
            <w:vAlign w:val="bottom"/>
            <w:tcBorders>
              <w:top w:val="single" w:sz="8" w:color="auto"/>
            </w:tcBorders>
            <w:gridSpan w:val="9"/>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98"/>
              </w:rPr>
              <w:t>8-K</w:t>
            </w:r>
          </w:p>
        </w:tc>
        <w:tc>
          <w:tcPr>
            <w:tcW w:w="14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96"/>
              </w:rPr>
              <w:t>001-38701</w:t>
            </w:r>
          </w:p>
        </w:tc>
        <w:tc>
          <w:tcPr>
            <w:tcW w:w="12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99"/>
              </w:rPr>
              <w:t>3.1</w:t>
            </w:r>
          </w:p>
        </w:tc>
        <w:tc>
          <w:tcPr>
            <w:tcW w:w="140" w:type="dxa"/>
            <w:vAlign w:val="bottom"/>
          </w:tcPr>
          <w:p>
            <w:pPr>
              <w:spacing w:after="0"/>
              <w:rPr>
                <w:sz w:val="11"/>
                <w:szCs w:val="11"/>
                <w:color w:val="auto"/>
              </w:rPr>
            </w:pPr>
          </w:p>
        </w:tc>
        <w:tc>
          <w:tcPr>
            <w:tcW w:w="12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95"/>
              </w:rPr>
              <w:t>10/19/2018</w:t>
            </w:r>
          </w:p>
        </w:tc>
        <w:tc>
          <w:tcPr>
            <w:tcW w:w="0" w:type="dxa"/>
            <w:vAlign w:val="bottom"/>
          </w:tcPr>
          <w:p>
            <w:pPr>
              <w:spacing w:after="0"/>
              <w:rPr>
                <w:sz w:val="1"/>
                <w:szCs w:val="1"/>
                <w:color w:val="auto"/>
              </w:rPr>
            </w:pPr>
          </w:p>
        </w:tc>
      </w:tr>
      <w:tr>
        <w:trPr>
          <w:trHeight w:val="193"/>
        </w:trPr>
        <w:tc>
          <w:tcPr>
            <w:tcW w:w="1080" w:type="dxa"/>
            <w:vAlign w:val="bottom"/>
          </w:tcPr>
          <w:p>
            <w:pPr>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Borders>
              <w:bottom w:val="single" w:sz="8" w:color="0000FF"/>
            </w:tcBorders>
            <w:gridSpan w:val="5"/>
          </w:tcPr>
          <w:p>
            <w:pPr>
              <w:spacing w:after="0"/>
              <w:rPr>
                <w:rFonts w:ascii="Arial" w:cs="Arial" w:eastAsia="Arial" w:hAnsi="Arial"/>
                <w:sz w:val="13"/>
                <w:szCs w:val="13"/>
                <w:color w:val="0000FF"/>
                <w:w w:val="91"/>
              </w:rPr>
            </w:pPr>
            <w:hyperlink r:id="rId83">
              <w:r>
                <w:rPr>
                  <w:rFonts w:ascii="Arial" w:cs="Arial" w:eastAsia="Arial" w:hAnsi="Arial"/>
                  <w:sz w:val="13"/>
                  <w:szCs w:val="13"/>
                  <w:color w:val="0000FF"/>
                  <w:w w:val="91"/>
                </w:rPr>
                <w:t>Amended and Restated Bylaws.</w:t>
              </w:r>
            </w:hyperlink>
          </w:p>
        </w:tc>
        <w:tc>
          <w:tcPr>
            <w:tcW w:w="3400" w:type="dxa"/>
            <w:vAlign w:val="bottom"/>
            <w:gridSpan w:val="14"/>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1320" w:type="dxa"/>
            <w:vAlign w:val="bottom"/>
            <w:gridSpan w:val="2"/>
          </w:tcPr>
          <w:p>
            <w:pPr>
              <w:jc w:val="center"/>
              <w:ind w:left="57"/>
              <w:spacing w:after="0"/>
              <w:rPr>
                <w:sz w:val="20"/>
                <w:szCs w:val="20"/>
                <w:color w:val="auto"/>
              </w:rPr>
            </w:pPr>
            <w:r>
              <w:rPr>
                <w:rFonts w:ascii="Arial" w:cs="Arial" w:eastAsia="Arial" w:hAnsi="Arial"/>
                <w:sz w:val="13"/>
                <w:szCs w:val="13"/>
                <w:color w:val="auto"/>
                <w:w w:val="92"/>
              </w:rPr>
              <w:t>333-227445</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9"/>
              </w:rPr>
              <w:t>3.4</w:t>
            </w:r>
          </w:p>
        </w:tc>
        <w:tc>
          <w:tcPr>
            <w:tcW w:w="1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10/5/2018</w:t>
            </w:r>
          </w:p>
        </w:tc>
        <w:tc>
          <w:tcPr>
            <w:tcW w:w="0" w:type="dxa"/>
            <w:vAlign w:val="bottom"/>
          </w:tcPr>
          <w:p>
            <w:pPr>
              <w:spacing w:after="0"/>
              <w:rPr>
                <w:sz w:val="1"/>
                <w:szCs w:val="1"/>
                <w:color w:val="auto"/>
              </w:rPr>
            </w:pPr>
          </w:p>
        </w:tc>
      </w:tr>
      <w:tr>
        <w:trPr>
          <w:trHeight w:val="193"/>
        </w:trPr>
        <w:tc>
          <w:tcPr>
            <w:tcW w:w="1080" w:type="dxa"/>
            <w:vAlign w:val="bottom"/>
          </w:tcPr>
          <w:p>
            <w:pPr>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gridSpan w:val="19"/>
          </w:tcPr>
          <w:p>
            <w:pPr>
              <w:spacing w:after="0"/>
              <w:rPr>
                <w:rFonts w:ascii="Arial" w:cs="Arial" w:eastAsia="Arial" w:hAnsi="Arial"/>
                <w:sz w:val="13"/>
                <w:szCs w:val="13"/>
                <w:color w:val="0000FF"/>
              </w:rPr>
            </w:pPr>
            <w:hyperlink r:id="rId84">
              <w:r>
                <w:rPr>
                  <w:rFonts w:ascii="Arial" w:cs="Arial" w:eastAsia="Arial" w:hAnsi="Arial"/>
                  <w:sz w:val="13"/>
                  <w:szCs w:val="13"/>
                  <w:color w:val="0000FF"/>
                </w:rPr>
                <w:t>Form of Common Stock Certificate of the Company.</w:t>
              </w:r>
            </w:hyperlink>
          </w:p>
        </w:tc>
        <w:tc>
          <w:tcPr>
            <w:tcW w:w="98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1320" w:type="dxa"/>
            <w:vAlign w:val="bottom"/>
            <w:gridSpan w:val="2"/>
          </w:tcPr>
          <w:p>
            <w:pPr>
              <w:jc w:val="center"/>
              <w:ind w:left="57"/>
              <w:spacing w:after="0"/>
              <w:rPr>
                <w:sz w:val="20"/>
                <w:szCs w:val="20"/>
                <w:color w:val="auto"/>
              </w:rPr>
            </w:pPr>
            <w:r>
              <w:rPr>
                <w:rFonts w:ascii="Arial" w:cs="Arial" w:eastAsia="Arial" w:hAnsi="Arial"/>
                <w:sz w:val="13"/>
                <w:szCs w:val="13"/>
                <w:color w:val="auto"/>
                <w:w w:val="92"/>
              </w:rPr>
              <w:t>333-227445</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1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10/5/2018</w:t>
            </w:r>
          </w:p>
        </w:tc>
        <w:tc>
          <w:tcPr>
            <w:tcW w:w="0" w:type="dxa"/>
            <w:vAlign w:val="bottom"/>
          </w:tcPr>
          <w:p>
            <w:pPr>
              <w:spacing w:after="0"/>
              <w:rPr>
                <w:sz w:val="1"/>
                <w:szCs w:val="1"/>
                <w:color w:val="auto"/>
              </w:rPr>
            </w:pPr>
          </w:p>
        </w:tc>
      </w:tr>
      <w:tr>
        <w:trPr>
          <w:trHeight w:val="193"/>
        </w:trPr>
        <w:tc>
          <w:tcPr>
            <w:tcW w:w="1080" w:type="dxa"/>
            <w:vAlign w:val="bottom"/>
          </w:tcPr>
          <w:p>
            <w:pPr>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Borders>
              <w:top w:val="single" w:sz="8" w:color="0000FF"/>
            </w:tcBorders>
            <w:gridSpan w:val="10"/>
          </w:tcPr>
          <w:p>
            <w:pPr>
              <w:spacing w:after="0"/>
              <w:rPr>
                <w:rFonts w:ascii="Arial" w:cs="Arial" w:eastAsia="Arial" w:hAnsi="Arial"/>
                <w:sz w:val="13"/>
                <w:szCs w:val="13"/>
                <w:color w:val="auto"/>
              </w:rPr>
            </w:pPr>
            <w:r>
              <w:rPr>
                <w:rFonts w:ascii="Arial" w:cs="Arial" w:eastAsia="Arial" w:hAnsi="Arial"/>
                <w:sz w:val="13"/>
                <w:szCs w:val="13"/>
                <w:color w:val="auto"/>
              </w:rPr>
              <w:t xml:space="preserve">Reference is made to Exhibits </w:t>
            </w:r>
            <w:hyperlink r:id="rId82">
              <w:r>
                <w:rPr>
                  <w:rFonts w:ascii="Arial" w:cs="Arial" w:eastAsia="Arial" w:hAnsi="Arial"/>
                  <w:sz w:val="13"/>
                  <w:szCs w:val="13"/>
                  <w:color w:val="0000FF"/>
                </w:rPr>
                <w:t>3.1</w:t>
              </w:r>
              <w:r>
                <w:rPr>
                  <w:rFonts w:ascii="Arial" w:cs="Arial" w:eastAsia="Arial" w:hAnsi="Arial"/>
                  <w:sz w:val="13"/>
                  <w:szCs w:val="13"/>
                  <w:color w:val="auto"/>
                </w:rPr>
                <w:t xml:space="preserve"> </w:t>
              </w:r>
            </w:hyperlink>
            <w:r>
              <w:rPr>
                <w:rFonts w:ascii="Arial" w:cs="Arial" w:eastAsia="Arial" w:hAnsi="Arial"/>
                <w:sz w:val="13"/>
                <w:szCs w:val="13"/>
                <w:color w:val="auto"/>
              </w:rPr>
              <w:t xml:space="preserve">and </w:t>
            </w:r>
            <w:hyperlink r:id="rId83">
              <w:r>
                <w:rPr>
                  <w:rFonts w:ascii="Arial" w:cs="Arial" w:eastAsia="Arial" w:hAnsi="Arial"/>
                  <w:sz w:val="13"/>
                  <w:szCs w:val="13"/>
                  <w:color w:val="0000FF"/>
                </w:rPr>
                <w:t>3.2</w:t>
              </w:r>
            </w:hyperlink>
            <w:r>
              <w:rPr>
                <w:rFonts w:ascii="Arial" w:cs="Arial" w:eastAsia="Arial" w:hAnsi="Arial"/>
                <w:sz w:val="13"/>
                <w:szCs w:val="13"/>
                <w:color w:val="auto"/>
              </w:rPr>
              <w:t>.</w:t>
            </w:r>
          </w:p>
        </w:tc>
        <w:tc>
          <w:tcPr>
            <w:tcW w:w="2280" w:type="dxa"/>
            <w:vAlign w:val="bottom"/>
            <w:gridSpan w:val="9"/>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080" w:type="dxa"/>
            <w:vAlign w:val="bottom"/>
          </w:tcPr>
          <w:p>
            <w:pPr>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20" w:type="dxa"/>
            <w:vAlign w:val="bottom"/>
            <w:gridSpan w:val="19"/>
          </w:tcPr>
          <w:p>
            <w:pPr>
              <w:spacing w:after="0"/>
              <w:rPr>
                <w:rFonts w:ascii="Arial" w:cs="Arial" w:eastAsia="Arial" w:hAnsi="Arial"/>
                <w:sz w:val="13"/>
                <w:szCs w:val="13"/>
                <w:color w:val="0000FF"/>
                <w:w w:val="98"/>
              </w:rPr>
            </w:pPr>
            <w:hyperlink w:anchor="page71">
              <w:r>
                <w:rPr>
                  <w:rFonts w:ascii="Arial" w:cs="Arial" w:eastAsia="Arial" w:hAnsi="Arial"/>
                  <w:sz w:val="13"/>
                  <w:szCs w:val="13"/>
                  <w:color w:val="0000FF"/>
                  <w:w w:val="98"/>
                </w:rPr>
                <w:t>Loan and Security Agreement, dated August 12, 2021, between SI-BONE, Inc. and Silicon</w:t>
              </w:r>
            </w:hyperlink>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top w:val="single" w:sz="8" w:color="0000FF"/>
              <w:bottom w:val="single" w:sz="8" w:color="0000FF"/>
            </w:tcBorders>
            <w:gridSpan w:val="2"/>
          </w:tcPr>
          <w:p>
            <w:pPr>
              <w:spacing w:after="0" w:line="112" w:lineRule="exact"/>
              <w:rPr>
                <w:rFonts w:ascii="Arial" w:cs="Arial" w:eastAsia="Arial" w:hAnsi="Arial"/>
                <w:sz w:val="12"/>
                <w:szCs w:val="12"/>
                <w:color w:val="0000FF"/>
              </w:rPr>
            </w:pPr>
            <w:hyperlink w:anchor="page71">
              <w:r>
                <w:rPr>
                  <w:rFonts w:ascii="Arial" w:cs="Arial" w:eastAsia="Arial" w:hAnsi="Arial"/>
                  <w:sz w:val="12"/>
                  <w:szCs w:val="12"/>
                  <w:color w:val="0000FF"/>
                </w:rPr>
                <w:t>Valley Bank.</w:t>
              </w:r>
            </w:hyperlink>
          </w:p>
        </w:tc>
        <w:tc>
          <w:tcPr>
            <w:tcW w:w="4200" w:type="dxa"/>
            <w:vAlign w:val="bottom"/>
            <w:tcBorders>
              <w:top w:val="single" w:sz="8" w:color="0000FF"/>
            </w:tcBorders>
            <w:gridSpan w:val="15"/>
          </w:tcPr>
          <w:p>
            <w:pPr>
              <w:spacing w:after="0"/>
              <w:rPr>
                <w:sz w:val="9"/>
                <w:szCs w:val="9"/>
                <w:color w:val="auto"/>
              </w:rPr>
            </w:pPr>
          </w:p>
        </w:tc>
        <w:tc>
          <w:tcPr>
            <w:tcW w:w="22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19"/>
          </w:tcPr>
          <w:p>
            <w:pPr>
              <w:spacing w:after="0"/>
              <w:rPr>
                <w:rFonts w:ascii="Arial" w:cs="Arial" w:eastAsia="Arial" w:hAnsi="Arial"/>
                <w:sz w:val="13"/>
                <w:szCs w:val="13"/>
                <w:color w:val="0000FF"/>
              </w:rPr>
            </w:pPr>
            <w:hyperlink w:anchor="page121">
              <w:r>
                <w:rPr>
                  <w:rFonts w:ascii="Arial" w:cs="Arial" w:eastAsia="Arial" w:hAnsi="Arial"/>
                  <w:sz w:val="13"/>
                  <w:szCs w:val="13"/>
                  <w:color w:val="0000FF"/>
                </w:rPr>
                <w:t>Second Amendment to the Offer Letter Agreement and Severance Plan Participation</w:t>
              </w:r>
            </w:hyperlink>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560" w:type="dxa"/>
            <w:vAlign w:val="bottom"/>
            <w:tcBorders>
              <w:top w:val="single" w:sz="8" w:color="0000FF"/>
            </w:tcBorders>
            <w:gridSpan w:val="11"/>
          </w:tcPr>
          <w:p>
            <w:pPr>
              <w:spacing w:after="0" w:line="112" w:lineRule="exact"/>
              <w:rPr>
                <w:rFonts w:ascii="Arial" w:cs="Arial" w:eastAsia="Arial" w:hAnsi="Arial"/>
                <w:sz w:val="12"/>
                <w:szCs w:val="12"/>
                <w:color w:val="0000FF"/>
              </w:rPr>
            </w:pPr>
            <w:hyperlink w:anchor="page121">
              <w:r>
                <w:rPr>
                  <w:rFonts w:ascii="Arial" w:cs="Arial" w:eastAsia="Arial" w:hAnsi="Arial"/>
                  <w:sz w:val="12"/>
                  <w:szCs w:val="12"/>
                  <w:color w:val="0000FF"/>
                </w:rPr>
                <w:t>Agreement with Jeffery Dunn</w:t>
              </w:r>
            </w:hyperlink>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080" w:type="dxa"/>
            <w:vAlign w:val="bottom"/>
            <w:tcBorders>
              <w:left w:val="single" w:sz="8" w:color="0000FF"/>
            </w:tcBorders>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80" w:type="dxa"/>
            <w:vAlign w:val="bottom"/>
          </w:tcPr>
          <w:p>
            <w:pPr>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gridSpan w:val="19"/>
          </w:tcPr>
          <w:p>
            <w:pPr>
              <w:spacing w:after="0"/>
              <w:rPr>
                <w:rFonts w:ascii="Arial" w:cs="Arial" w:eastAsia="Arial" w:hAnsi="Arial"/>
                <w:sz w:val="13"/>
                <w:szCs w:val="13"/>
                <w:color w:val="0000FF"/>
              </w:rPr>
            </w:pPr>
            <w:hyperlink w:anchor="page123">
              <w:r>
                <w:rPr>
                  <w:rFonts w:ascii="Arial" w:cs="Arial" w:eastAsia="Arial" w:hAnsi="Arial"/>
                  <w:sz w:val="13"/>
                  <w:szCs w:val="13"/>
                  <w:color w:val="0000FF"/>
                </w:rPr>
                <w:t>Certification of Principal Executive Officer Pursuant to Rules 13a-14(a) and 15d-14(a)</w:t>
              </w:r>
            </w:hyperlink>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80" w:type="dxa"/>
            <w:vAlign w:val="bottom"/>
            <w:tcBorders>
              <w:top w:val="single" w:sz="8" w:color="0000FF"/>
            </w:tcBorders>
            <w:gridSpan w:val="14"/>
          </w:tcPr>
          <w:p>
            <w:pPr>
              <w:spacing w:after="0" w:line="112" w:lineRule="exact"/>
              <w:rPr>
                <w:rFonts w:ascii="Arial" w:cs="Arial" w:eastAsia="Arial" w:hAnsi="Arial"/>
                <w:sz w:val="12"/>
                <w:szCs w:val="12"/>
                <w:color w:val="0000FF"/>
              </w:rPr>
            </w:pPr>
            <w:hyperlink w:anchor="page123">
              <w:r>
                <w:rPr>
                  <w:rFonts w:ascii="Arial" w:cs="Arial" w:eastAsia="Arial" w:hAnsi="Arial"/>
                  <w:sz w:val="12"/>
                  <w:szCs w:val="12"/>
                  <w:color w:val="0000FF"/>
                </w:rPr>
                <w:t>under the Securities Exchange Act of 1934, as Adopted Pursuant to Section 302 of the</w:t>
              </w:r>
            </w:hyperlink>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60" w:type="dxa"/>
            <w:vAlign w:val="bottom"/>
            <w:tcBorders>
              <w:top w:val="single" w:sz="8" w:color="0000FF"/>
            </w:tcBorders>
            <w:gridSpan w:val="13"/>
          </w:tcPr>
          <w:p>
            <w:pPr>
              <w:spacing w:after="0" w:line="112" w:lineRule="exact"/>
              <w:rPr>
                <w:rFonts w:ascii="Arial" w:cs="Arial" w:eastAsia="Arial" w:hAnsi="Arial"/>
                <w:sz w:val="12"/>
                <w:szCs w:val="12"/>
                <w:color w:val="0000FF"/>
              </w:rPr>
            </w:pPr>
            <w:hyperlink w:anchor="page123">
              <w:r>
                <w:rPr>
                  <w:rFonts w:ascii="Arial" w:cs="Arial" w:eastAsia="Arial" w:hAnsi="Arial"/>
                  <w:sz w:val="12"/>
                  <w:szCs w:val="12"/>
                  <w:color w:val="0000FF"/>
                </w:rPr>
                <w:t>Sarbanes-Oxley Act of 2002.</w:t>
              </w:r>
            </w:hyperlink>
          </w:p>
        </w:tc>
        <w:tc>
          <w:tcPr>
            <w:tcW w:w="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08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gridSpan w:val="19"/>
          </w:tcPr>
          <w:p>
            <w:pPr>
              <w:spacing w:after="0"/>
              <w:rPr>
                <w:rFonts w:ascii="Arial" w:cs="Arial" w:eastAsia="Arial" w:hAnsi="Arial"/>
                <w:sz w:val="13"/>
                <w:szCs w:val="13"/>
                <w:color w:val="0000FF"/>
              </w:rPr>
            </w:pPr>
            <w:hyperlink w:anchor="page124">
              <w:r>
                <w:rPr>
                  <w:rFonts w:ascii="Arial" w:cs="Arial" w:eastAsia="Arial" w:hAnsi="Arial"/>
                  <w:sz w:val="13"/>
                  <w:szCs w:val="13"/>
                  <w:color w:val="0000FF"/>
                </w:rPr>
                <w:t>Certification of Principal Financial Officer Pursuant to Rules 13a-14(a) and 15d-14(a)</w:t>
              </w:r>
            </w:hyperlink>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tcBorders>
            <w:gridSpan w:val="12"/>
          </w:tcPr>
          <w:p>
            <w:pPr>
              <w:spacing w:after="0" w:line="112" w:lineRule="exact"/>
              <w:rPr>
                <w:rFonts w:ascii="Arial" w:cs="Arial" w:eastAsia="Arial" w:hAnsi="Arial"/>
                <w:sz w:val="12"/>
                <w:szCs w:val="12"/>
                <w:color w:val="0000FF"/>
              </w:rPr>
            </w:pPr>
            <w:hyperlink w:anchor="page124">
              <w:r>
                <w:rPr>
                  <w:rFonts w:ascii="Arial" w:cs="Arial" w:eastAsia="Arial" w:hAnsi="Arial"/>
                  <w:sz w:val="12"/>
                  <w:szCs w:val="12"/>
                  <w:color w:val="0000FF"/>
                </w:rPr>
                <w:t>under the Securities Exchange Act of 1934, as Adopted Pursuant to Section 302 of the</w:t>
              </w:r>
            </w:hyperlink>
          </w:p>
        </w:tc>
        <w:tc>
          <w:tcPr>
            <w:tcW w:w="8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60" w:type="dxa"/>
            <w:vAlign w:val="bottom"/>
            <w:tcBorders>
              <w:top w:val="single" w:sz="8" w:color="0000FF"/>
            </w:tcBorders>
            <w:gridSpan w:val="13"/>
          </w:tcPr>
          <w:p>
            <w:pPr>
              <w:spacing w:after="0" w:line="112" w:lineRule="exact"/>
              <w:rPr>
                <w:rFonts w:ascii="Arial" w:cs="Arial" w:eastAsia="Arial" w:hAnsi="Arial"/>
                <w:sz w:val="12"/>
                <w:szCs w:val="12"/>
                <w:color w:val="0000FF"/>
              </w:rPr>
            </w:pPr>
            <w:hyperlink w:anchor="page124">
              <w:r>
                <w:rPr>
                  <w:rFonts w:ascii="Arial" w:cs="Arial" w:eastAsia="Arial" w:hAnsi="Arial"/>
                  <w:sz w:val="12"/>
                  <w:szCs w:val="12"/>
                  <w:color w:val="0000FF"/>
                </w:rPr>
                <w:t>Sarbanes-Oxley Act of 2002.</w:t>
              </w:r>
            </w:hyperlink>
          </w:p>
        </w:tc>
        <w:tc>
          <w:tcPr>
            <w:tcW w:w="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gridSpan w:val="19"/>
          </w:tcPr>
          <w:p>
            <w:pPr>
              <w:spacing w:after="0"/>
              <w:rPr>
                <w:rFonts w:ascii="Arial" w:cs="Arial" w:eastAsia="Arial" w:hAnsi="Arial"/>
                <w:sz w:val="13"/>
                <w:szCs w:val="13"/>
                <w:color w:val="0000FF"/>
              </w:rPr>
            </w:pPr>
            <w:hyperlink w:anchor="page125">
              <w:r>
                <w:rPr>
                  <w:rFonts w:ascii="Arial" w:cs="Arial" w:eastAsia="Arial" w:hAnsi="Arial"/>
                  <w:sz w:val="13"/>
                  <w:szCs w:val="13"/>
                  <w:color w:val="0000FF"/>
                </w:rPr>
                <w:t>Certification of Principal Executive Officer and Principal Financial Officer Pursuant to 18</w:t>
              </w:r>
            </w:hyperlink>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60" w:type="dxa"/>
            <w:vAlign w:val="bottom"/>
            <w:tcBorders>
              <w:top w:val="single" w:sz="8" w:color="0000FF"/>
            </w:tcBorders>
            <w:gridSpan w:val="16"/>
          </w:tcPr>
          <w:p>
            <w:pPr>
              <w:spacing w:after="0" w:line="112" w:lineRule="exact"/>
              <w:rPr>
                <w:rFonts w:ascii="Arial" w:cs="Arial" w:eastAsia="Arial" w:hAnsi="Arial"/>
                <w:sz w:val="12"/>
                <w:szCs w:val="12"/>
                <w:color w:val="0000FF"/>
              </w:rPr>
            </w:pPr>
            <w:hyperlink w:anchor="page125">
              <w:r>
                <w:rPr>
                  <w:rFonts w:ascii="Arial" w:cs="Arial" w:eastAsia="Arial" w:hAnsi="Arial"/>
                  <w:sz w:val="12"/>
                  <w:szCs w:val="12"/>
                  <w:color w:val="0000FF"/>
                </w:rPr>
                <w:t>U.S.C. Section 1350, as Adopted Pursuant to Section 906 of the Sarbanes-Oxley Act of</w:t>
              </w:r>
            </w:hyperlink>
          </w:p>
        </w:tc>
        <w:tc>
          <w:tcPr>
            <w:tcW w:w="260" w:type="dxa"/>
            <w:vAlign w:val="bottom"/>
            <w:gridSpan w:val="3"/>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2" w:lineRule="exact"/>
              <w:rPr>
                <w:rFonts w:ascii="Arial" w:cs="Arial" w:eastAsia="Arial" w:hAnsi="Arial"/>
                <w:sz w:val="12"/>
                <w:szCs w:val="12"/>
                <w:color w:val="0000FF"/>
                <w:w w:val="93"/>
              </w:rPr>
            </w:pPr>
            <w:hyperlink w:anchor="page125">
              <w:r>
                <w:rPr>
                  <w:rFonts w:ascii="Arial" w:cs="Arial" w:eastAsia="Arial" w:hAnsi="Arial"/>
                  <w:sz w:val="12"/>
                  <w:szCs w:val="12"/>
                  <w:color w:val="0000FF"/>
                  <w:w w:val="93"/>
                </w:rPr>
                <w:t>2002.</w:t>
              </w:r>
            </w:hyperlink>
          </w:p>
        </w:tc>
        <w:tc>
          <w:tcPr>
            <w:tcW w:w="400" w:type="dxa"/>
            <w:vAlign w:val="bottom"/>
            <w:tcBorders>
              <w:top w:val="single" w:sz="8" w:color="0000FF"/>
            </w:tcBorders>
          </w:tcPr>
          <w:p>
            <w:pPr>
              <w:spacing w:after="0"/>
              <w:rPr>
                <w:sz w:val="9"/>
                <w:szCs w:val="9"/>
                <w:color w:val="auto"/>
              </w:rPr>
            </w:pPr>
          </w:p>
        </w:tc>
        <w:tc>
          <w:tcPr>
            <w:tcW w:w="8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5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7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200" w:type="dxa"/>
            <w:vAlign w:val="bottom"/>
            <w:gridSpan w:val="2"/>
          </w:tcPr>
          <w:p>
            <w:pPr>
              <w:spacing w:after="0"/>
              <w:rPr>
                <w:sz w:val="20"/>
                <w:szCs w:val="20"/>
                <w:color w:val="auto"/>
              </w:rPr>
            </w:pPr>
            <w:r>
              <w:rPr>
                <w:rFonts w:ascii="Arial" w:cs="Arial" w:eastAsia="Arial" w:hAnsi="Arial"/>
                <w:sz w:val="13"/>
                <w:szCs w:val="13"/>
                <w:color w:val="auto"/>
              </w:rPr>
              <w:t>101.INS*</w:t>
            </w:r>
          </w:p>
        </w:tc>
        <w:tc>
          <w:tcPr>
            <w:tcW w:w="20" w:type="dxa"/>
            <w:vAlign w:val="bottom"/>
          </w:tcPr>
          <w:p>
            <w:pPr>
              <w:spacing w:after="0"/>
              <w:rPr>
                <w:sz w:val="18"/>
                <w:szCs w:val="18"/>
                <w:color w:val="auto"/>
              </w:rPr>
            </w:pPr>
          </w:p>
        </w:tc>
        <w:tc>
          <w:tcPr>
            <w:tcW w:w="5120" w:type="dxa"/>
            <w:vAlign w:val="bottom"/>
            <w:gridSpan w:val="19"/>
          </w:tcPr>
          <w:p>
            <w:pPr>
              <w:spacing w:after="0"/>
              <w:rPr>
                <w:sz w:val="20"/>
                <w:szCs w:val="20"/>
                <w:color w:val="auto"/>
              </w:rPr>
            </w:pPr>
            <w:r>
              <w:rPr>
                <w:rFonts w:ascii="Arial" w:cs="Arial" w:eastAsia="Arial" w:hAnsi="Arial"/>
                <w:sz w:val="13"/>
                <w:szCs w:val="13"/>
                <w:color w:val="auto"/>
                <w:w w:val="97"/>
              </w:rPr>
              <w:t>Inline XBRL Instance Document - the instance document does not appear in the Interactive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gridSpan w:val="19"/>
          </w:tcPr>
          <w:p>
            <w:pPr>
              <w:spacing w:after="0"/>
              <w:rPr>
                <w:sz w:val="20"/>
                <w:szCs w:val="20"/>
                <w:color w:val="auto"/>
              </w:rPr>
            </w:pPr>
            <w:r>
              <w:rPr>
                <w:rFonts w:ascii="Arial" w:cs="Arial" w:eastAsia="Arial" w:hAnsi="Arial"/>
                <w:sz w:val="13"/>
                <w:szCs w:val="13"/>
                <w:color w:val="auto"/>
              </w:rPr>
              <w:t>Data File because its XBRL tags are embedded within the Inline XBRL document.</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00" w:type="dxa"/>
            <w:vAlign w:val="bottom"/>
            <w:gridSpan w:val="2"/>
          </w:tcPr>
          <w:p>
            <w:pPr>
              <w:spacing w:after="0"/>
              <w:rPr>
                <w:sz w:val="20"/>
                <w:szCs w:val="20"/>
                <w:color w:val="auto"/>
              </w:rPr>
            </w:pPr>
            <w:r>
              <w:rPr>
                <w:rFonts w:ascii="Arial" w:cs="Arial" w:eastAsia="Arial" w:hAnsi="Arial"/>
                <w:sz w:val="13"/>
                <w:szCs w:val="13"/>
                <w:color w:val="auto"/>
              </w:rPr>
              <w:t>101.SCH*</w:t>
            </w:r>
          </w:p>
        </w:tc>
        <w:tc>
          <w:tcPr>
            <w:tcW w:w="20" w:type="dxa"/>
            <w:vAlign w:val="bottom"/>
          </w:tcPr>
          <w:p>
            <w:pPr>
              <w:spacing w:after="0"/>
              <w:rPr>
                <w:sz w:val="18"/>
                <w:szCs w:val="18"/>
                <w:color w:val="auto"/>
              </w:rPr>
            </w:pPr>
          </w:p>
        </w:tc>
        <w:tc>
          <w:tcPr>
            <w:tcW w:w="5120" w:type="dxa"/>
            <w:vAlign w:val="bottom"/>
            <w:gridSpan w:val="19"/>
          </w:tcPr>
          <w:p>
            <w:pPr>
              <w:spacing w:after="0"/>
              <w:rPr>
                <w:sz w:val="20"/>
                <w:szCs w:val="20"/>
                <w:color w:val="auto"/>
              </w:rPr>
            </w:pPr>
            <w:r>
              <w:rPr>
                <w:rFonts w:ascii="Arial" w:cs="Arial" w:eastAsia="Arial" w:hAnsi="Arial"/>
                <w:sz w:val="13"/>
                <w:szCs w:val="13"/>
                <w:color w:val="auto"/>
              </w:rPr>
              <w:t>Inline XBRL Taxonomy Extension Schema Document.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0" w:type="dxa"/>
            <w:vAlign w:val="bottom"/>
            <w:gridSpan w:val="2"/>
          </w:tcPr>
          <w:p>
            <w:pPr>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18"/>
                <w:szCs w:val="18"/>
                <w:color w:val="auto"/>
              </w:rPr>
            </w:pPr>
          </w:p>
        </w:tc>
        <w:tc>
          <w:tcPr>
            <w:tcW w:w="5120" w:type="dxa"/>
            <w:vAlign w:val="bottom"/>
            <w:gridSpan w:val="19"/>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0" w:type="dxa"/>
            <w:vAlign w:val="bottom"/>
            <w:gridSpan w:val="2"/>
          </w:tcPr>
          <w:p>
            <w:pPr>
              <w:spacing w:after="0"/>
              <w:rPr>
                <w:sz w:val="20"/>
                <w:szCs w:val="20"/>
                <w:color w:val="auto"/>
              </w:rPr>
            </w:pPr>
            <w:r>
              <w:rPr>
                <w:rFonts w:ascii="Arial" w:cs="Arial" w:eastAsia="Arial" w:hAnsi="Arial"/>
                <w:sz w:val="13"/>
                <w:szCs w:val="13"/>
                <w:color w:val="auto"/>
              </w:rPr>
              <w:t>101.DEF*</w:t>
            </w:r>
          </w:p>
        </w:tc>
        <w:tc>
          <w:tcPr>
            <w:tcW w:w="20" w:type="dxa"/>
            <w:vAlign w:val="bottom"/>
          </w:tcPr>
          <w:p>
            <w:pPr>
              <w:spacing w:after="0"/>
              <w:rPr>
                <w:sz w:val="18"/>
                <w:szCs w:val="18"/>
                <w:color w:val="auto"/>
              </w:rPr>
            </w:pPr>
          </w:p>
        </w:tc>
        <w:tc>
          <w:tcPr>
            <w:tcW w:w="5120" w:type="dxa"/>
            <w:vAlign w:val="bottom"/>
            <w:gridSpan w:val="19"/>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0" w:type="dxa"/>
            <w:vAlign w:val="bottom"/>
            <w:gridSpan w:val="2"/>
          </w:tcPr>
          <w:p>
            <w:pPr>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18"/>
                <w:szCs w:val="18"/>
                <w:color w:val="auto"/>
              </w:rPr>
            </w:pPr>
          </w:p>
        </w:tc>
        <w:tc>
          <w:tcPr>
            <w:tcW w:w="5120" w:type="dxa"/>
            <w:vAlign w:val="bottom"/>
            <w:gridSpan w:val="19"/>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0" w:type="dxa"/>
            <w:vAlign w:val="bottom"/>
            <w:gridSpan w:val="2"/>
          </w:tcPr>
          <w:p>
            <w:pPr>
              <w:spacing w:after="0"/>
              <w:rPr>
                <w:sz w:val="20"/>
                <w:szCs w:val="20"/>
                <w:color w:val="auto"/>
              </w:rPr>
            </w:pPr>
            <w:r>
              <w:rPr>
                <w:rFonts w:ascii="Arial" w:cs="Arial" w:eastAsia="Arial" w:hAnsi="Arial"/>
                <w:sz w:val="13"/>
                <w:szCs w:val="13"/>
                <w:color w:val="auto"/>
              </w:rPr>
              <w:t>101.PRE*</w:t>
            </w:r>
          </w:p>
        </w:tc>
        <w:tc>
          <w:tcPr>
            <w:tcW w:w="20" w:type="dxa"/>
            <w:vAlign w:val="bottom"/>
          </w:tcPr>
          <w:p>
            <w:pPr>
              <w:spacing w:after="0"/>
              <w:rPr>
                <w:sz w:val="18"/>
                <w:szCs w:val="18"/>
                <w:color w:val="auto"/>
              </w:rPr>
            </w:pPr>
          </w:p>
        </w:tc>
        <w:tc>
          <w:tcPr>
            <w:tcW w:w="5120" w:type="dxa"/>
            <w:vAlign w:val="bottom"/>
            <w:gridSpan w:val="19"/>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60" w:hanging="1220"/>
        <w:spacing w:after="0"/>
        <w:tabs>
          <w:tab w:leader="none" w:pos="1260" w:val="left"/>
        </w:tabs>
        <w:numPr>
          <w:ilvl w:val="1"/>
          <w:numId w:val="36"/>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w:t>
      </w:r>
    </w:p>
    <w:p>
      <w:pPr>
        <w:spacing w:after="0" w:line="26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   Filed herewith.</w:t>
      </w:r>
    </w:p>
    <w:p>
      <w:pPr>
        <w:spacing w:after="0" w:line="22" w:lineRule="exact"/>
        <w:rPr>
          <w:rFonts w:ascii="Arial" w:cs="Arial" w:eastAsia="Arial" w:hAnsi="Arial"/>
          <w:sz w:val="13"/>
          <w:szCs w:val="13"/>
          <w:color w:val="auto"/>
        </w:rPr>
      </w:pPr>
    </w:p>
    <w:p>
      <w:pPr>
        <w:ind w:left="240" w:right="100" w:hanging="239"/>
        <w:spacing w:after="0" w:line="270" w:lineRule="auto"/>
        <w:tabs>
          <w:tab w:leader="none" w:pos="233" w:val="left"/>
        </w:tabs>
        <w:numPr>
          <w:ilvl w:val="0"/>
          <w:numId w:val="37"/>
        </w:numPr>
        <w:rPr>
          <w:rFonts w:ascii="Arial" w:cs="Arial" w:eastAsia="Arial" w:hAnsi="Arial"/>
          <w:sz w:val="13"/>
          <w:szCs w:val="13"/>
          <w:color w:val="auto"/>
        </w:rPr>
      </w:pPr>
      <w:r>
        <w:rPr>
          <w:rFonts w:ascii="Arial" w:cs="Arial" w:eastAsia="Arial" w:hAnsi="Arial"/>
          <w:sz w:val="13"/>
          <w:szCs w:val="13"/>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53340</wp:posOffset>
            </wp:positionV>
            <wp:extent cx="719201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3"/>
          <w:szCs w:val="13"/>
          <w:b w:val="1"/>
          <w:bCs w:val="1"/>
          <w:color w:val="auto"/>
        </w:rPr>
        <w:t>SIGNATURES</w:t>
      </w:r>
    </w:p>
    <w:p>
      <w:pPr>
        <w:spacing w:after="0" w:line="176" w:lineRule="exact"/>
        <w:rPr>
          <w:sz w:val="20"/>
          <w:szCs w:val="20"/>
          <w:color w:val="auto"/>
        </w:rPr>
      </w:pPr>
    </w:p>
    <w:p>
      <w:pPr>
        <w:ind w:firstLine="334"/>
        <w:spacing w:after="0" w:line="296" w:lineRule="auto"/>
        <w:rPr>
          <w:sz w:val="20"/>
          <w:szCs w:val="20"/>
          <w:color w:val="auto"/>
        </w:rPr>
      </w:pPr>
      <w:r>
        <w:rPr>
          <w:rFonts w:ascii="Arial" w:cs="Arial" w:eastAsia="Arial" w:hAnsi="Arial"/>
          <w:sz w:val="13"/>
          <w:szCs w:val="13"/>
          <w:color w:val="auto"/>
        </w:rPr>
        <w:t>Pursuant to the requirements of Section 13 or 15(d) of the Securities Exchange Act of 1934, as amended, the Registrant has duly caused this Report to be signed on its behalf by the undersigned, thereunto duly authorized, in Santa Clara, California, on November 9, 2021.</w:t>
      </w:r>
    </w:p>
    <w:p>
      <w:pPr>
        <w:spacing w:after="0" w:line="200" w:lineRule="exact"/>
        <w:rPr>
          <w:sz w:val="20"/>
          <w:szCs w:val="20"/>
          <w:color w:val="auto"/>
        </w:rPr>
      </w:pPr>
    </w:p>
    <w:p>
      <w:pPr>
        <w:spacing w:after="0" w:line="292" w:lineRule="exact"/>
        <w:rPr>
          <w:sz w:val="20"/>
          <w:szCs w:val="20"/>
          <w:color w:val="auto"/>
        </w:rPr>
      </w:pPr>
    </w:p>
    <w:p>
      <w:pPr>
        <w:jc w:val="center"/>
        <w:ind w:left="480"/>
        <w:spacing w:after="0"/>
        <w:rPr>
          <w:sz w:val="20"/>
          <w:szCs w:val="20"/>
          <w:color w:val="auto"/>
        </w:rPr>
      </w:pPr>
      <w:r>
        <w:rPr>
          <w:rFonts w:ascii="Arial" w:cs="Arial" w:eastAsia="Arial" w:hAnsi="Arial"/>
          <w:sz w:val="13"/>
          <w:szCs w:val="13"/>
          <w:color w:val="auto"/>
        </w:rPr>
        <w:t>SI-BONE, Inc.</w:t>
      </w:r>
    </w:p>
    <w:p>
      <w:pPr>
        <w:spacing w:after="0" w:line="215" w:lineRule="exact"/>
        <w:rPr>
          <w:sz w:val="20"/>
          <w:szCs w:val="20"/>
          <w:color w:val="auto"/>
        </w:rPr>
      </w:pPr>
    </w:p>
    <w:p>
      <w:pPr>
        <w:ind w:left="920"/>
        <w:spacing w:after="0"/>
        <w:tabs>
          <w:tab w:leader="none" w:pos="1520" w:val="left"/>
          <w:tab w:leader="none" w:pos="548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November 9, 2021</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14605</wp:posOffset>
            </wp:positionV>
            <wp:extent cx="266763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667635" cy="635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Laura A. Francis</w:t>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(Duly Authorized Officer and Principal Executive Officer</w:t>
      </w:r>
      <w:r>
        <w:rPr>
          <w:rFonts w:ascii="Arial" w:cs="Arial" w:eastAsia="Arial" w:hAnsi="Arial"/>
          <w:sz w:val="10"/>
          <w:szCs w:val="10"/>
          <w:color w:val="auto"/>
        </w:rPr>
        <w:t>)</w:t>
      </w:r>
    </w:p>
    <w:p>
      <w:pPr>
        <w:spacing w:after="0" w:line="367" w:lineRule="exact"/>
        <w:rPr>
          <w:sz w:val="20"/>
          <w:szCs w:val="20"/>
          <w:color w:val="auto"/>
        </w:rPr>
      </w:pPr>
    </w:p>
    <w:p>
      <w:pPr>
        <w:jc w:val="center"/>
        <w:ind w:left="480"/>
        <w:spacing w:after="0"/>
        <w:rPr>
          <w:sz w:val="20"/>
          <w:szCs w:val="20"/>
          <w:color w:val="auto"/>
        </w:rPr>
      </w:pPr>
      <w:r>
        <w:rPr>
          <w:rFonts w:ascii="Arial" w:cs="Arial" w:eastAsia="Arial" w:hAnsi="Arial"/>
          <w:sz w:val="13"/>
          <w:szCs w:val="13"/>
          <w:color w:val="auto"/>
        </w:rPr>
        <w:t>SI-BONE, Inc.</w:t>
      </w:r>
    </w:p>
    <w:p>
      <w:pPr>
        <w:spacing w:after="0" w:line="215" w:lineRule="exact"/>
        <w:rPr>
          <w:sz w:val="20"/>
          <w:szCs w:val="20"/>
          <w:color w:val="auto"/>
        </w:rPr>
      </w:pPr>
    </w:p>
    <w:p>
      <w:pPr>
        <w:ind w:left="920"/>
        <w:spacing w:after="0"/>
        <w:tabs>
          <w:tab w:leader="none" w:pos="1520" w:val="left"/>
          <w:tab w:leader="none" w:pos="548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November 9, 2021</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14605</wp:posOffset>
            </wp:positionV>
            <wp:extent cx="266763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667635" cy="6350"/>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Anshul Maheshwari</w:t>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(Duly Authorized Officer and Principal Financial and Accounting Officer)</w:t>
      </w:r>
    </w:p>
    <w:p>
      <w:pPr>
        <w:sectPr>
          <w:pgSz w:w="11900" w:h="16838" w:orient="portrait"/>
          <w:cols w:equalWidth="0" w:num="1">
            <w:col w:w="11280"/>
          </w:cols>
          <w:pgMar w:left="300" w:top="613" w:right="31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auto"/>
        </w:rPr>
        <w:t>EXHIBIT 10.1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LOAN AND SECURITY AGREEMENT</w:t>
      </w:r>
    </w:p>
    <w:p>
      <w:pPr>
        <w:spacing w:after="0" w:line="25" w:lineRule="exact"/>
        <w:rPr>
          <w:sz w:val="20"/>
          <w:szCs w:val="20"/>
          <w:color w:val="auto"/>
        </w:rPr>
      </w:pPr>
    </w:p>
    <w:p>
      <w:pPr>
        <w:ind w:firstLine="486"/>
        <w:spacing w:after="0" w:line="280"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LOAN AND SECURITY AGREEMENT</w:t>
      </w:r>
      <w:r>
        <w:rPr>
          <w:rFonts w:ascii="Arial" w:cs="Arial" w:eastAsia="Arial" w:hAnsi="Arial"/>
          <w:sz w:val="13"/>
          <w:szCs w:val="13"/>
          <w:color w:val="auto"/>
        </w:rPr>
        <w:t xml:space="preserve"> (this “Agreement”) is dated as of the Effective Date between </w:t>
      </w:r>
      <w:r>
        <w:rPr>
          <w:rFonts w:ascii="Arial" w:cs="Arial" w:eastAsia="Arial" w:hAnsi="Arial"/>
          <w:sz w:val="13"/>
          <w:szCs w:val="13"/>
          <w:b w:val="1"/>
          <w:bCs w:val="1"/>
          <w:color w:val="auto"/>
        </w:rPr>
        <w:t>SILICON VALLEY BANK</w:t>
      </w:r>
      <w:r>
        <w:rPr>
          <w:rFonts w:ascii="Arial" w:cs="Arial" w:eastAsia="Arial" w:hAnsi="Arial"/>
          <w:sz w:val="13"/>
          <w:szCs w:val="13"/>
          <w:color w:val="auto"/>
        </w:rPr>
        <w:t>, a California corporation (“</w:t>
      </w:r>
      <w:r>
        <w:rPr>
          <w:rFonts w:ascii="Arial" w:cs="Arial" w:eastAsia="Arial" w:hAnsi="Arial"/>
          <w:sz w:val="13"/>
          <w:szCs w:val="13"/>
          <w:b w:val="1"/>
          <w:bCs w:val="1"/>
          <w:color w:val="auto"/>
        </w:rPr>
        <w:t>Bank</w:t>
      </w:r>
      <w:r>
        <w:rPr>
          <w:rFonts w:ascii="Arial" w:cs="Arial" w:eastAsia="Arial" w:hAnsi="Arial"/>
          <w:sz w:val="13"/>
          <w:szCs w:val="13"/>
          <w:color w:val="auto"/>
        </w:rPr>
        <w:t>”), and the borrower listed on Schedule I hereto (“</w:t>
      </w:r>
      <w:r>
        <w:rPr>
          <w:rFonts w:ascii="Arial" w:cs="Arial" w:eastAsia="Arial" w:hAnsi="Arial"/>
          <w:sz w:val="13"/>
          <w:szCs w:val="13"/>
          <w:b w:val="1"/>
          <w:bCs w:val="1"/>
          <w:color w:val="auto"/>
        </w:rPr>
        <w:t>Borrower</w:t>
      </w:r>
      <w:r>
        <w:rPr>
          <w:rFonts w:ascii="Arial" w:cs="Arial" w:eastAsia="Arial" w:hAnsi="Arial"/>
          <w:sz w:val="13"/>
          <w:szCs w:val="13"/>
          <w:color w:val="auto"/>
        </w:rPr>
        <w:t>”). The parties agree as follows:</w:t>
      </w:r>
    </w:p>
    <w:p>
      <w:pPr>
        <w:spacing w:after="0" w:line="125" w:lineRule="exact"/>
        <w:rPr>
          <w:sz w:val="20"/>
          <w:szCs w:val="20"/>
          <w:color w:val="auto"/>
        </w:rPr>
      </w:pPr>
    </w:p>
    <w:p>
      <w:pPr>
        <w:ind w:left="980" w:hanging="493"/>
        <w:spacing w:after="0"/>
        <w:tabs>
          <w:tab w:leader="none" w:pos="98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LOAN AND TERMS OF PAYMENT</w:t>
      </w:r>
    </w:p>
    <w:p>
      <w:pPr>
        <w:spacing w:after="0" w:line="174" w:lineRule="exact"/>
        <w:rPr>
          <w:rFonts w:ascii="Arial" w:cs="Arial" w:eastAsia="Arial" w:hAnsi="Arial"/>
          <w:sz w:val="13"/>
          <w:szCs w:val="13"/>
          <w:b w:val="1"/>
          <w:bCs w:val="1"/>
          <w:color w:val="auto"/>
        </w:rPr>
      </w:pPr>
    </w:p>
    <w:p>
      <w:pPr>
        <w:ind w:left="48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1.1</w:t>
      </w:r>
      <w:r>
        <w:rPr>
          <w:rFonts w:ascii="Arial" w:cs="Arial" w:eastAsia="Arial" w:hAnsi="Arial"/>
          <w:sz w:val="12"/>
          <w:szCs w:val="12"/>
          <w:b w:val="1"/>
          <w:bCs w:val="1"/>
          <w:color w:val="auto"/>
        </w:rPr>
        <w:t>Term Loan Advance.</w:t>
      </w:r>
    </w:p>
    <w:p>
      <w:pPr>
        <w:spacing w:after="0" w:line="176" w:lineRule="exact"/>
        <w:rPr>
          <w:rFonts w:ascii="Arial" w:cs="Arial" w:eastAsia="Arial" w:hAnsi="Arial"/>
          <w:sz w:val="13"/>
          <w:szCs w:val="13"/>
          <w:b w:val="1"/>
          <w:bCs w:val="1"/>
          <w:color w:val="auto"/>
        </w:rPr>
      </w:pPr>
    </w:p>
    <w:p>
      <w:pPr>
        <w:jc w:val="both"/>
        <w:ind w:firstLine="973"/>
        <w:spacing w:after="0" w:line="278" w:lineRule="auto"/>
        <w:tabs>
          <w:tab w:leader="none" w:pos="1455" w:val="left"/>
        </w:tabs>
        <w:numPr>
          <w:ilvl w:val="1"/>
          <w:numId w:val="38"/>
        </w:numPr>
        <w:rPr>
          <w:rFonts w:ascii="Arial" w:cs="Arial" w:eastAsia="Arial" w:hAnsi="Arial"/>
          <w:sz w:val="13"/>
          <w:szCs w:val="13"/>
          <w:color w:val="auto"/>
        </w:rPr>
      </w:pPr>
      <w:r>
        <w:rPr>
          <w:rFonts w:ascii="Arial" w:cs="Arial" w:eastAsia="Arial" w:hAnsi="Arial"/>
          <w:sz w:val="13"/>
          <w:szCs w:val="13"/>
          <w:u w:val="single" w:color="auto"/>
          <w:color w:val="auto"/>
        </w:rPr>
        <w:t>Availability</w:t>
      </w:r>
      <w:r>
        <w:rPr>
          <w:rFonts w:ascii="Arial" w:cs="Arial" w:eastAsia="Arial" w:hAnsi="Arial"/>
          <w:sz w:val="13"/>
          <w:szCs w:val="13"/>
          <w:color w:val="auto"/>
        </w:rPr>
        <w:t>. Subject to the terms and conditions of this Agreement, on the Effective Date or soon thereafter as all conditions precedent to the making thereof have been met, Bank shall make one (1) term loan advance to Borrower in an original principal amount equal to the Term Loan Availability Amount (the “</w:t>
      </w:r>
      <w:r>
        <w:rPr>
          <w:rFonts w:ascii="Arial" w:cs="Arial" w:eastAsia="Arial" w:hAnsi="Arial"/>
          <w:sz w:val="13"/>
          <w:szCs w:val="13"/>
          <w:b w:val="1"/>
          <w:bCs w:val="1"/>
          <w:color w:val="auto"/>
        </w:rPr>
        <w:t>Term Loan Advance</w:t>
      </w:r>
      <w:r>
        <w:rPr>
          <w:rFonts w:ascii="Arial" w:cs="Arial" w:eastAsia="Arial" w:hAnsi="Arial"/>
          <w:sz w:val="13"/>
          <w:szCs w:val="13"/>
          <w:color w:val="auto"/>
        </w:rPr>
        <w:t>”). After repayment (in whole or in part), the Term Loan Advance may not be reborrowed.</w:t>
      </w:r>
    </w:p>
    <w:p>
      <w:pPr>
        <w:spacing w:after="0" w:line="128" w:lineRule="exact"/>
        <w:rPr>
          <w:rFonts w:ascii="Arial" w:cs="Arial" w:eastAsia="Arial" w:hAnsi="Arial"/>
          <w:sz w:val="13"/>
          <w:szCs w:val="13"/>
          <w:color w:val="auto"/>
        </w:rPr>
      </w:pPr>
    </w:p>
    <w:p>
      <w:pPr>
        <w:ind w:firstLine="973"/>
        <w:spacing w:after="0" w:line="296" w:lineRule="auto"/>
        <w:tabs>
          <w:tab w:leader="none" w:pos="1453" w:val="left"/>
        </w:tabs>
        <w:numPr>
          <w:ilvl w:val="1"/>
          <w:numId w:val="38"/>
        </w:numPr>
        <w:rPr>
          <w:rFonts w:ascii="Arial" w:cs="Arial" w:eastAsia="Arial" w:hAnsi="Arial"/>
          <w:sz w:val="13"/>
          <w:szCs w:val="13"/>
          <w:color w:val="auto"/>
        </w:rPr>
      </w:pPr>
      <w:r>
        <w:rPr>
          <w:rFonts w:ascii="Arial" w:cs="Arial" w:eastAsia="Arial" w:hAnsi="Arial"/>
          <w:sz w:val="13"/>
          <w:szCs w:val="13"/>
          <w:u w:val="single" w:color="auto"/>
          <w:color w:val="auto"/>
        </w:rPr>
        <w:t>Repayment</w:t>
      </w:r>
      <w:r>
        <w:rPr>
          <w:rFonts w:ascii="Arial" w:cs="Arial" w:eastAsia="Arial" w:hAnsi="Arial"/>
          <w:sz w:val="13"/>
          <w:szCs w:val="13"/>
          <w:color w:val="auto"/>
        </w:rPr>
        <w:t>. Borrower shall repay the Term Loan Advance as set forth in Schedule I hereto. All outstanding principal and accrued and unpaid interest under the Term Loan Advance, and all other outstanding Obligations with respect to such Term Loan Advance, are due and payable in full on the Term Loan Maturity Date.</w:t>
      </w:r>
    </w:p>
    <w:p>
      <w:pPr>
        <w:spacing w:after="0" w:line="117" w:lineRule="exact"/>
        <w:rPr>
          <w:rFonts w:ascii="Arial" w:cs="Arial" w:eastAsia="Arial" w:hAnsi="Arial"/>
          <w:sz w:val="13"/>
          <w:szCs w:val="13"/>
          <w:color w:val="auto"/>
        </w:rPr>
      </w:pPr>
    </w:p>
    <w:p>
      <w:pPr>
        <w:jc w:val="both"/>
        <w:ind w:firstLine="973"/>
        <w:spacing w:after="0" w:line="272" w:lineRule="auto"/>
        <w:tabs>
          <w:tab w:leader="none" w:pos="1455" w:val="left"/>
        </w:tabs>
        <w:numPr>
          <w:ilvl w:val="1"/>
          <w:numId w:val="38"/>
        </w:numPr>
        <w:rPr>
          <w:rFonts w:ascii="Arial" w:cs="Arial" w:eastAsia="Arial" w:hAnsi="Arial"/>
          <w:sz w:val="13"/>
          <w:szCs w:val="13"/>
          <w:color w:val="auto"/>
        </w:rPr>
      </w:pPr>
      <w:r>
        <w:rPr>
          <w:rFonts w:ascii="Arial" w:cs="Arial" w:eastAsia="Arial" w:hAnsi="Arial"/>
          <w:sz w:val="13"/>
          <w:szCs w:val="13"/>
          <w:u w:val="single" w:color="auto"/>
          <w:color w:val="auto"/>
        </w:rPr>
        <w:t>Permitted Prepayment</w:t>
      </w:r>
      <w:r>
        <w:rPr>
          <w:rFonts w:ascii="Arial" w:cs="Arial" w:eastAsia="Arial" w:hAnsi="Arial"/>
          <w:sz w:val="13"/>
          <w:szCs w:val="13"/>
          <w:color w:val="auto"/>
        </w:rPr>
        <w:t>. Borrower shall have the option to prepay all, but not less than all, of the Term Loan Advance, provided Borrower (i) delivers written notice to Bank of its election to prepay the Term Loan Advance at least five (5) Business Days prior to such prepayment, and (ii) pays, on the date of such prepayment (A) the outstanding principal plus accrued and unpaid interest with respect to the Term Loan Advance, (B) the applicable Prepayment Fee, if any, (C) the Final Payment, and (D) all other sums, if any, that shall have become due and payable with respect to the Term Loan Advance, including interest at the Default Rate with respect to any past due amounts.</w:t>
      </w:r>
    </w:p>
    <w:p>
      <w:pPr>
        <w:spacing w:after="0" w:line="132" w:lineRule="exact"/>
        <w:rPr>
          <w:rFonts w:ascii="Arial" w:cs="Arial" w:eastAsia="Arial" w:hAnsi="Arial"/>
          <w:sz w:val="13"/>
          <w:szCs w:val="13"/>
          <w:color w:val="auto"/>
        </w:rPr>
      </w:pPr>
    </w:p>
    <w:p>
      <w:pPr>
        <w:jc w:val="both"/>
        <w:ind w:firstLine="973"/>
        <w:spacing w:after="0" w:line="272" w:lineRule="auto"/>
        <w:tabs>
          <w:tab w:leader="none" w:pos="1453" w:val="left"/>
        </w:tabs>
        <w:numPr>
          <w:ilvl w:val="1"/>
          <w:numId w:val="38"/>
        </w:numPr>
        <w:rPr>
          <w:rFonts w:ascii="Arial" w:cs="Arial" w:eastAsia="Arial" w:hAnsi="Arial"/>
          <w:sz w:val="13"/>
          <w:szCs w:val="13"/>
          <w:color w:val="auto"/>
        </w:rPr>
      </w:pPr>
      <w:r>
        <w:rPr>
          <w:rFonts w:ascii="Arial" w:cs="Arial" w:eastAsia="Arial" w:hAnsi="Arial"/>
          <w:sz w:val="13"/>
          <w:szCs w:val="13"/>
          <w:u w:val="single" w:color="auto"/>
          <w:color w:val="auto"/>
        </w:rPr>
        <w:t>Mandatory Prepayment Upon an Acceleration</w:t>
      </w:r>
      <w:r>
        <w:rPr>
          <w:rFonts w:ascii="Arial" w:cs="Arial" w:eastAsia="Arial" w:hAnsi="Arial"/>
          <w:sz w:val="13"/>
          <w:szCs w:val="13"/>
          <w:color w:val="auto"/>
        </w:rPr>
        <w:t>. If the Term Loan Advance is accelerated by Bank following the occurrence and during the continuance of an Event of Default, Borrower shall immediately pay to Bank an amount equal to the sum of (i) all outstanding principal plus accrued and unpaid interest with respect to the Term Loan Advance, (ii) the applicable Prepayment Fee, if any (iii) the Final Payment, and (iv) all other sums, if any, that shall have become due and payable with respect to the Term Loan Advance, including interest at the Default Rate with respect to any past due amounts.</w:t>
      </w:r>
    </w:p>
    <w:p>
      <w:pPr>
        <w:spacing w:after="0" w:line="130"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2"/>
          <w:szCs w:val="12"/>
          <w:b w:val="1"/>
          <w:bCs w:val="1"/>
          <w:color w:val="auto"/>
        </w:rPr>
        <w:t>Payment of Interest on the Credit Extensions.</w:t>
      </w:r>
    </w:p>
    <w:p>
      <w:pPr>
        <w:spacing w:after="0" w:line="176" w:lineRule="exact"/>
        <w:rPr>
          <w:sz w:val="20"/>
          <w:szCs w:val="20"/>
          <w:color w:val="auto"/>
        </w:rPr>
      </w:pPr>
    </w:p>
    <w:p>
      <w:pPr>
        <w:ind w:left="1460" w:hanging="487"/>
        <w:spacing w:after="0"/>
        <w:tabs>
          <w:tab w:leader="none" w:pos="1460"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Interest Payments</w:t>
      </w:r>
      <w:r>
        <w:rPr>
          <w:rFonts w:ascii="Arial" w:cs="Arial" w:eastAsia="Arial" w:hAnsi="Arial"/>
          <w:sz w:val="13"/>
          <w:szCs w:val="13"/>
          <w:color w:val="auto"/>
        </w:rPr>
        <w:t>. Interest on the outstanding principal amount of the Term Loan Advance is payable as set forth on Schedule I hereto.</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Interest Rate</w:t>
      </w:r>
      <w:r>
        <w:rPr>
          <w:rFonts w:ascii="Arial" w:cs="Arial" w:eastAsia="Arial" w:hAnsi="Arial"/>
          <w:sz w:val="13"/>
          <w:szCs w:val="13"/>
          <w:color w:val="auto"/>
        </w:rPr>
        <w:t>.</w:t>
      </w:r>
    </w:p>
    <w:p>
      <w:pPr>
        <w:spacing w:after="0" w:line="174" w:lineRule="exact"/>
        <w:rPr>
          <w:rFonts w:ascii="Arial" w:cs="Arial" w:eastAsia="Arial" w:hAnsi="Arial"/>
          <w:sz w:val="13"/>
          <w:szCs w:val="13"/>
          <w:color w:val="auto"/>
        </w:rPr>
      </w:pPr>
    </w:p>
    <w:p>
      <w:pPr>
        <w:ind w:left="2420" w:hanging="476"/>
        <w:spacing w:after="0"/>
        <w:tabs>
          <w:tab w:leader="none" w:pos="2420" w:val="left"/>
        </w:tabs>
        <w:numPr>
          <w:ilvl w:val="1"/>
          <w:numId w:val="39"/>
        </w:numPr>
        <w:rPr>
          <w:rFonts w:ascii="Arial" w:cs="Arial" w:eastAsia="Arial" w:hAnsi="Arial"/>
          <w:sz w:val="12"/>
          <w:szCs w:val="12"/>
          <w:color w:val="auto"/>
        </w:rPr>
      </w:pPr>
      <w:r>
        <w:rPr>
          <w:rFonts w:ascii="Arial" w:cs="Arial" w:eastAsia="Arial" w:hAnsi="Arial"/>
          <w:sz w:val="12"/>
          <w:szCs w:val="12"/>
          <w:u w:val="single" w:color="auto"/>
          <w:color w:val="auto"/>
        </w:rPr>
        <w:t>Term Loan Advance</w:t>
      </w:r>
      <w:r>
        <w:rPr>
          <w:rFonts w:ascii="Arial" w:cs="Arial" w:eastAsia="Arial" w:hAnsi="Arial"/>
          <w:sz w:val="12"/>
          <w:szCs w:val="12"/>
          <w:color w:val="auto"/>
        </w:rPr>
        <w:t>. Subject to Section 1.2(c), the outstanding principal amount of the Term Loan Advance shall accrue interest as set forth on Schedule I hereto.</w:t>
      </w:r>
    </w:p>
    <w:p>
      <w:pPr>
        <w:spacing w:after="0" w:line="185" w:lineRule="exact"/>
        <w:rPr>
          <w:rFonts w:ascii="Arial" w:cs="Arial" w:eastAsia="Arial" w:hAnsi="Arial"/>
          <w:sz w:val="12"/>
          <w:szCs w:val="12"/>
          <w:color w:val="auto"/>
        </w:rPr>
      </w:pPr>
    </w:p>
    <w:p>
      <w:pPr>
        <w:ind w:left="1460" w:firstLine="484"/>
        <w:spacing w:after="0" w:line="296" w:lineRule="auto"/>
        <w:tabs>
          <w:tab w:leader="none" w:pos="2424" w:val="left"/>
        </w:tabs>
        <w:numPr>
          <w:ilvl w:val="1"/>
          <w:numId w:val="39"/>
        </w:numPr>
        <w:rPr>
          <w:rFonts w:ascii="Arial" w:cs="Arial" w:eastAsia="Arial" w:hAnsi="Arial"/>
          <w:sz w:val="13"/>
          <w:szCs w:val="13"/>
          <w:color w:val="auto"/>
        </w:rPr>
      </w:pPr>
      <w:r>
        <w:rPr>
          <w:rFonts w:ascii="Arial" w:cs="Arial" w:eastAsia="Arial" w:hAnsi="Arial"/>
          <w:sz w:val="13"/>
          <w:szCs w:val="13"/>
          <w:u w:val="single" w:color="auto"/>
          <w:color w:val="auto"/>
        </w:rPr>
        <w:t>All-In Rate</w:t>
      </w:r>
      <w:r>
        <w:rPr>
          <w:rFonts w:ascii="Arial" w:cs="Arial" w:eastAsia="Arial" w:hAnsi="Arial"/>
          <w:sz w:val="13"/>
          <w:szCs w:val="13"/>
          <w:color w:val="auto"/>
        </w:rPr>
        <w:t>. Notwithstanding any terms in this Agreement to the contrary, if at any time the interest rate applicable to any Obligations is less than zero percent (0.0%), such interest rate shall be deemed to be zero percent (0.0%) for all purposes of this Agreement.</w:t>
      </w:r>
    </w:p>
    <w:p>
      <w:pPr>
        <w:sectPr>
          <w:pgSz w:w="11900" w:h="16838" w:orient="portrait"/>
          <w:cols w:equalWidth="0" w:num="1">
            <w:col w:w="11280"/>
          </w:cols>
          <w:pgMar w:left="300" w:top="1095" w:right="319" w:bottom="1440" w:gutter="0" w:footer="0" w:header="0"/>
        </w:sectPr>
      </w:pPr>
    </w:p>
    <w:bookmarkStart w:id="71" w:name="page72"/>
    <w:bookmarkEnd w:id="71"/>
    <w:p>
      <w:pPr>
        <w:jc w:val="both"/>
        <w:ind w:firstLine="973"/>
        <w:spacing w:after="0" w:line="269" w:lineRule="auto"/>
        <w:tabs>
          <w:tab w:leader="none" w:pos="1455"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Default Rate</w:t>
      </w:r>
      <w:r>
        <w:rPr>
          <w:rFonts w:ascii="Arial" w:cs="Arial" w:eastAsia="Arial" w:hAnsi="Arial"/>
          <w:sz w:val="13"/>
          <w:szCs w:val="13"/>
          <w:color w:val="auto"/>
        </w:rPr>
        <w:t>. Immediately upon the occurrence and during the continuance of an Event of Default, the outstanding Obligations shall bear interest at a rate per annum which is three percent (3.0%) above the rate that is otherwise applicable thereto (the “</w:t>
      </w:r>
      <w:r>
        <w:rPr>
          <w:rFonts w:ascii="Arial" w:cs="Arial" w:eastAsia="Arial" w:hAnsi="Arial"/>
          <w:sz w:val="13"/>
          <w:szCs w:val="13"/>
          <w:b w:val="1"/>
          <w:bCs w:val="1"/>
          <w:color w:val="auto"/>
        </w:rPr>
        <w:t>Default Rate</w:t>
      </w:r>
      <w:r>
        <w:rPr>
          <w:rFonts w:ascii="Arial" w:cs="Arial" w:eastAsia="Arial" w:hAnsi="Arial"/>
          <w:sz w:val="13"/>
          <w:szCs w:val="13"/>
          <w:color w:val="auto"/>
        </w:rPr>
        <w:t>”), unless Bank otherwise elects, in its sole discretion, to impose a lesser increase or no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1.2(c) is not a permitted alternative to timely payment and shall not constitute a waiver of any Event of Default or otherwise prejudice or limit any rights or remedies of Bank.</w:t>
      </w:r>
    </w:p>
    <w:p>
      <w:pPr>
        <w:spacing w:after="0" w:line="133" w:lineRule="exact"/>
        <w:rPr>
          <w:rFonts w:ascii="Arial" w:cs="Arial" w:eastAsia="Arial" w:hAnsi="Arial"/>
          <w:sz w:val="13"/>
          <w:szCs w:val="13"/>
          <w:color w:val="auto"/>
        </w:rPr>
      </w:pPr>
    </w:p>
    <w:p>
      <w:pPr>
        <w:ind w:firstLine="973"/>
        <w:spacing w:after="0" w:line="296" w:lineRule="auto"/>
        <w:tabs>
          <w:tab w:leader="none" w:pos="1453"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Adjustment to Interest Rate</w:t>
      </w:r>
      <w:r>
        <w:rPr>
          <w:rFonts w:ascii="Arial" w:cs="Arial" w:eastAsia="Arial" w:hAnsi="Arial"/>
          <w:sz w:val="13"/>
          <w:szCs w:val="13"/>
          <w:color w:val="auto"/>
        </w:rPr>
        <w:t>. Each change in the interest rate applicable to any amounts payable under the Loan Documents based on changes to the Prime Rate shall be effective on the effective date of any change to the Prime Rate and to the extent of such change.</w:t>
      </w:r>
    </w:p>
    <w:p>
      <w:pPr>
        <w:spacing w:after="0" w:line="117" w:lineRule="exact"/>
        <w:rPr>
          <w:rFonts w:ascii="Arial" w:cs="Arial" w:eastAsia="Arial" w:hAnsi="Arial"/>
          <w:sz w:val="13"/>
          <w:szCs w:val="13"/>
          <w:color w:val="auto"/>
        </w:rPr>
      </w:pPr>
    </w:p>
    <w:p>
      <w:pPr>
        <w:ind w:firstLine="973"/>
        <w:spacing w:after="0" w:line="341" w:lineRule="auto"/>
        <w:tabs>
          <w:tab w:leader="none" w:pos="1455" w:val="left"/>
        </w:tabs>
        <w:numPr>
          <w:ilvl w:val="0"/>
          <w:numId w:val="40"/>
        </w:numPr>
        <w:rPr>
          <w:rFonts w:ascii="Arial" w:cs="Arial" w:eastAsia="Arial" w:hAnsi="Arial"/>
          <w:sz w:val="12"/>
          <w:szCs w:val="12"/>
          <w:color w:val="auto"/>
        </w:rPr>
      </w:pPr>
      <w:r>
        <w:rPr>
          <w:rFonts w:ascii="Arial" w:cs="Arial" w:eastAsia="Arial" w:hAnsi="Arial"/>
          <w:sz w:val="12"/>
          <w:szCs w:val="12"/>
          <w:u w:val="single" w:color="auto"/>
          <w:color w:val="auto"/>
        </w:rPr>
        <w:t>Interest Computation</w:t>
      </w:r>
      <w:r>
        <w:rPr>
          <w:rFonts w:ascii="Arial" w:cs="Arial" w:eastAsia="Arial" w:hAnsi="Arial"/>
          <w:sz w:val="12"/>
          <w:szCs w:val="12"/>
          <w:color w:val="auto"/>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9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1.3</w:t>
      </w:r>
      <w:r>
        <w:rPr>
          <w:sz w:val="20"/>
          <w:szCs w:val="20"/>
          <w:color w:val="auto"/>
        </w:rPr>
        <w:tab/>
      </w:r>
      <w:r>
        <w:rPr>
          <w:rFonts w:ascii="Arial" w:cs="Arial" w:eastAsia="Arial" w:hAnsi="Arial"/>
          <w:sz w:val="12"/>
          <w:szCs w:val="12"/>
          <w:b w:val="1"/>
          <w:bCs w:val="1"/>
          <w:color w:val="auto"/>
        </w:rPr>
        <w:t xml:space="preserve">Fees and Expenses. </w:t>
      </w:r>
      <w:r>
        <w:rPr>
          <w:rFonts w:ascii="Arial" w:cs="Arial" w:eastAsia="Arial" w:hAnsi="Arial"/>
          <w:sz w:val="12"/>
          <w:szCs w:val="12"/>
          <w:color w:val="auto"/>
        </w:rPr>
        <w:t>Borrower shall pay to Bank:</w:t>
      </w:r>
    </w:p>
    <w:p>
      <w:pPr>
        <w:spacing w:after="0" w:line="176" w:lineRule="exact"/>
        <w:rPr>
          <w:sz w:val="20"/>
          <w:szCs w:val="20"/>
          <w:color w:val="auto"/>
        </w:rPr>
      </w:pPr>
    </w:p>
    <w:p>
      <w:pPr>
        <w:ind w:firstLine="973"/>
        <w:spacing w:after="0" w:line="296" w:lineRule="auto"/>
        <w:tabs>
          <w:tab w:leader="none" w:pos="1455"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Prepayment Fee</w:t>
      </w:r>
      <w:r>
        <w:rPr>
          <w:rFonts w:ascii="Arial" w:cs="Arial" w:eastAsia="Arial" w:hAnsi="Arial"/>
          <w:sz w:val="13"/>
          <w:szCs w:val="13"/>
          <w:color w:val="auto"/>
        </w:rPr>
        <w:t>. The Prepayment Fee, if and when due hereunder, which shall be fully earned and non-refundable as of the applicable prepayment date; provided, however, if Borrower refinances the Term Loan Advance with another credit facility from Bank, Bank shall waive the Prepayment Fee;</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Final Payment</w:t>
      </w:r>
      <w:r>
        <w:rPr>
          <w:rFonts w:ascii="Arial" w:cs="Arial" w:eastAsia="Arial" w:hAnsi="Arial"/>
          <w:sz w:val="13"/>
          <w:szCs w:val="13"/>
          <w:color w:val="auto"/>
        </w:rPr>
        <w:t>. The Final Payment, when due hereunder, which shall be fully earned and non-refundable as of such date; and</w:t>
      </w:r>
    </w:p>
    <w:p>
      <w:pPr>
        <w:spacing w:after="0" w:line="174" w:lineRule="exact"/>
        <w:rPr>
          <w:rFonts w:ascii="Arial" w:cs="Arial" w:eastAsia="Arial" w:hAnsi="Arial"/>
          <w:sz w:val="13"/>
          <w:szCs w:val="13"/>
          <w:color w:val="auto"/>
        </w:rPr>
      </w:pPr>
    </w:p>
    <w:p>
      <w:pPr>
        <w:jc w:val="both"/>
        <w:ind w:firstLine="973"/>
        <w:spacing w:after="0" w:line="278" w:lineRule="auto"/>
        <w:tabs>
          <w:tab w:leader="none" w:pos="1455"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Bank Expenses</w:t>
      </w:r>
      <w:r>
        <w:rPr>
          <w:rFonts w:ascii="Arial" w:cs="Arial" w:eastAsia="Arial" w:hAnsi="Arial"/>
          <w:sz w:val="13"/>
          <w:szCs w:val="13"/>
          <w:color w:val="auto"/>
        </w:rPr>
        <w:t>. All Bank Expenses incurred through and after the Effective Date, when due (or, if no stated due date, upon demand by Bank). Borrower has paid to Bank a good faith deposit of Fifty Thousand Dollars ($50,000) (the “</w:t>
      </w:r>
      <w:r>
        <w:rPr>
          <w:rFonts w:ascii="Arial" w:cs="Arial" w:eastAsia="Arial" w:hAnsi="Arial"/>
          <w:sz w:val="13"/>
          <w:szCs w:val="13"/>
          <w:b w:val="1"/>
          <w:bCs w:val="1"/>
          <w:color w:val="auto"/>
        </w:rPr>
        <w:t>Good Faith Deposit</w:t>
      </w:r>
      <w:r>
        <w:rPr>
          <w:rFonts w:ascii="Arial" w:cs="Arial" w:eastAsia="Arial" w:hAnsi="Arial"/>
          <w:sz w:val="13"/>
          <w:szCs w:val="13"/>
          <w:color w:val="auto"/>
        </w:rPr>
        <w:t>”) to initiate Bank’s due diligence review process. The Good Faith Deposit will be applied to Bank Expenses as of the Effective Date.</w:t>
      </w:r>
    </w:p>
    <w:p>
      <w:pPr>
        <w:spacing w:after="0" w:line="12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2"/>
          <w:szCs w:val="12"/>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1.3 pursuant to the terms of Section 1.4(c). Bank shall provide Borrower written notice of deductions made pursuant to the terms of the clauses of this Section 1.3.</w:t>
      </w:r>
    </w:p>
    <w:p>
      <w:pPr>
        <w:spacing w:after="0" w:line="109"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1.4</w:t>
      </w:r>
      <w:r>
        <w:rPr>
          <w:sz w:val="20"/>
          <w:szCs w:val="20"/>
          <w:color w:val="auto"/>
        </w:rPr>
        <w:tab/>
      </w:r>
      <w:r>
        <w:rPr>
          <w:rFonts w:ascii="Arial" w:cs="Arial" w:eastAsia="Arial" w:hAnsi="Arial"/>
          <w:sz w:val="12"/>
          <w:szCs w:val="12"/>
          <w:b w:val="1"/>
          <w:bCs w:val="1"/>
          <w:color w:val="auto"/>
        </w:rPr>
        <w:t>Payments; Application of Payments; Debit of Accounts.</w:t>
      </w:r>
    </w:p>
    <w:p>
      <w:pPr>
        <w:spacing w:after="0" w:line="176" w:lineRule="exact"/>
        <w:rPr>
          <w:sz w:val="20"/>
          <w:szCs w:val="20"/>
          <w:color w:val="auto"/>
        </w:rPr>
      </w:pPr>
    </w:p>
    <w:p>
      <w:pPr>
        <w:jc w:val="both"/>
        <w:ind w:firstLine="973"/>
        <w:spacing w:after="0" w:line="311" w:lineRule="auto"/>
        <w:tabs>
          <w:tab w:leader="none" w:pos="1455" w:val="left"/>
        </w:tabs>
        <w:numPr>
          <w:ilvl w:val="0"/>
          <w:numId w:val="42"/>
        </w:numPr>
        <w:rPr>
          <w:rFonts w:ascii="Arial" w:cs="Arial" w:eastAsia="Arial" w:hAnsi="Arial"/>
          <w:sz w:val="12"/>
          <w:szCs w:val="12"/>
          <w:color w:val="auto"/>
        </w:rPr>
      </w:pPr>
      <w:r>
        <w:rPr>
          <w:rFonts w:ascii="Arial" w:cs="Arial" w:eastAsia="Arial" w:hAnsi="Arial"/>
          <w:sz w:val="12"/>
          <w:szCs w:val="12"/>
          <w:color w:val="auto"/>
        </w:rPr>
        <w:t>All payments (including prepayments) to be made by Borrower under any Loan Document shall be made in immediately available funds in Dollars, without setoff, counterclaim, or deduction,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11" w:lineRule="exact"/>
        <w:rPr>
          <w:rFonts w:ascii="Arial" w:cs="Arial" w:eastAsia="Arial" w:hAnsi="Arial"/>
          <w:sz w:val="12"/>
          <w:szCs w:val="12"/>
          <w:color w:val="auto"/>
        </w:rPr>
      </w:pPr>
    </w:p>
    <w:p>
      <w:pPr>
        <w:jc w:val="both"/>
        <w:ind w:firstLine="973"/>
        <w:spacing w:after="0" w:line="278" w:lineRule="auto"/>
        <w:tabs>
          <w:tab w:leader="none" w:pos="1495"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Bank has the exclusive right in its reasonable discretion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1100" w:right="319" w:bottom="1440" w:gutter="0" w:footer="0" w:header="0"/>
        </w:sectPr>
      </w:pPr>
    </w:p>
    <w:bookmarkStart w:id="72" w:name="page73"/>
    <w:bookmarkEnd w:id="72"/>
    <w:p>
      <w:pPr>
        <w:ind w:firstLine="973"/>
        <w:spacing w:after="0" w:line="296" w:lineRule="auto"/>
        <w:tabs>
          <w:tab w:leader="none" w:pos="1455"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Bank may debit the Designated Deposit Account (or if insufficient funds are contained therein, or if an Event of Default has occurred and is continuing, any of Borrower’s other accounts at Bank), for principal and interest payments or any other amounts Borrower owes Bank when as and when due under this Agreement. These debits shall not constitute a set-off.</w:t>
      </w:r>
    </w:p>
    <w:p>
      <w:pPr>
        <w:spacing w:after="0" w:line="115"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1.5</w:t>
      </w:r>
      <w:r>
        <w:rPr>
          <w:sz w:val="20"/>
          <w:szCs w:val="20"/>
          <w:color w:val="auto"/>
        </w:rPr>
        <w:tab/>
      </w:r>
      <w:r>
        <w:rPr>
          <w:rFonts w:ascii="Arial" w:cs="Arial" w:eastAsia="Arial" w:hAnsi="Arial"/>
          <w:sz w:val="12"/>
          <w:szCs w:val="12"/>
          <w:b w:val="1"/>
          <w:bCs w:val="1"/>
          <w:color w:val="auto"/>
        </w:rPr>
        <w:t>Change in Circumstances.</w:t>
      </w:r>
    </w:p>
    <w:p>
      <w:pPr>
        <w:spacing w:after="0" w:line="176" w:lineRule="exact"/>
        <w:rPr>
          <w:sz w:val="20"/>
          <w:szCs w:val="20"/>
          <w:color w:val="auto"/>
        </w:rPr>
      </w:pPr>
    </w:p>
    <w:p>
      <w:pPr>
        <w:jc w:val="both"/>
        <w:ind w:firstLine="973"/>
        <w:spacing w:after="0" w:line="266" w:lineRule="auto"/>
        <w:tabs>
          <w:tab w:leader="none" w:pos="1455"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Increased Costs</w:t>
      </w:r>
      <w:r>
        <w:rPr>
          <w:rFonts w:ascii="Arial" w:cs="Arial" w:eastAsia="Arial" w:hAnsi="Arial"/>
          <w:sz w:val="13"/>
          <w:szCs w:val="13"/>
          <w:color w:val="auto"/>
        </w:rPr>
        <w:t>.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spacing w:after="0" w:line="135" w:lineRule="exact"/>
        <w:rPr>
          <w:rFonts w:ascii="Arial" w:cs="Arial" w:eastAsia="Arial" w:hAnsi="Arial"/>
          <w:sz w:val="13"/>
          <w:szCs w:val="13"/>
          <w:color w:val="auto"/>
        </w:rPr>
      </w:pPr>
    </w:p>
    <w:p>
      <w:pPr>
        <w:jc w:val="both"/>
        <w:ind w:firstLine="973"/>
        <w:spacing w:after="0" w:line="272" w:lineRule="auto"/>
        <w:tabs>
          <w:tab w:leader="none" w:pos="1453"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Capital Requirements</w:t>
      </w:r>
      <w:r>
        <w:rPr>
          <w:rFonts w:ascii="Arial" w:cs="Arial" w:eastAsia="Arial" w:hAnsi="Arial"/>
          <w:sz w:val="13"/>
          <w:szCs w:val="13"/>
          <w:color w:val="auto"/>
        </w:rPr>
        <w:t>. If Bank determines that any Change in Law affecting Bank regarding capital or liquidity requirements, has or would have the effect of reducing the rate of return on Bank’s capital as a consequence of this Agreement,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spacing w:after="0" w:line="132" w:lineRule="exact"/>
        <w:rPr>
          <w:rFonts w:ascii="Arial" w:cs="Arial" w:eastAsia="Arial" w:hAnsi="Arial"/>
          <w:sz w:val="13"/>
          <w:szCs w:val="13"/>
          <w:color w:val="auto"/>
        </w:rPr>
      </w:pPr>
    </w:p>
    <w:p>
      <w:pPr>
        <w:jc w:val="both"/>
        <w:ind w:firstLine="973"/>
        <w:spacing w:after="0" w:line="272" w:lineRule="auto"/>
        <w:tabs>
          <w:tab w:leader="none" w:pos="1455"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Delay in Requests</w:t>
      </w:r>
      <w:r>
        <w:rPr>
          <w:rFonts w:ascii="Arial" w:cs="Arial" w:eastAsia="Arial" w:hAnsi="Arial"/>
          <w:sz w:val="13"/>
          <w:szCs w:val="13"/>
          <w:color w:val="auto"/>
        </w:rPr>
        <w:t>. Failure or delay on the part of Bank to demand compensation pursuant to this Section 1.5 shall not constitute a waiver of Bank’s right to demand such compensation; provided that Borrower compensate Bank pursuant to subsection (a) for any increased costs incurred or reductions suffered more than nine (9) months prior to the date that Bank notifies Borrower of the Change in Law giving rise to such increased costs or reductions (except that if the Change in Law giving rise to such increased costs or reductions is retroactive, then the nine (9) month period shall be extended to include the period of retroactive effect).</w:t>
      </w:r>
    </w:p>
    <w:p>
      <w:pPr>
        <w:spacing w:after="0" w:line="130"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1.6</w:t>
      </w:r>
      <w:r>
        <w:rPr>
          <w:sz w:val="20"/>
          <w:szCs w:val="20"/>
          <w:color w:val="auto"/>
        </w:rPr>
        <w:tab/>
      </w:r>
      <w:r>
        <w:rPr>
          <w:rFonts w:ascii="Arial" w:cs="Arial" w:eastAsia="Arial" w:hAnsi="Arial"/>
          <w:sz w:val="11"/>
          <w:szCs w:val="11"/>
          <w:b w:val="1"/>
          <w:bCs w:val="1"/>
          <w:color w:val="auto"/>
        </w:rPr>
        <w:t>Taxes.</w:t>
      </w:r>
    </w:p>
    <w:p>
      <w:pPr>
        <w:spacing w:after="0" w:line="176" w:lineRule="exact"/>
        <w:rPr>
          <w:sz w:val="20"/>
          <w:szCs w:val="20"/>
          <w:color w:val="auto"/>
        </w:rPr>
      </w:pPr>
    </w:p>
    <w:p>
      <w:pPr>
        <w:jc w:val="both"/>
        <w:ind w:firstLine="973"/>
        <w:spacing w:after="0" w:line="296" w:lineRule="auto"/>
        <w:tabs>
          <w:tab w:leader="none" w:pos="1455"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Payments Free of Taxes</w:t>
      </w:r>
      <w:r>
        <w:rPr>
          <w:rFonts w:ascii="Arial" w:cs="Arial" w:eastAsia="Arial" w:hAnsi="Arial"/>
          <w:sz w:val="12"/>
          <w:szCs w:val="12"/>
          <w:color w:val="auto"/>
        </w:rPr>
        <w:t>. Any and all payments by or on account of any obligation of Borrower under any Loan Document shall be made without deduction or withholding for any Taxes, except as required by Applicable Law. If any Applicable Law (as determined in the good 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Section 1.6) Bank receives an amount equal to the sum it would have received had no such deduction or withholding been made.</w:t>
      </w:r>
    </w:p>
    <w:p>
      <w:pPr>
        <w:spacing w:after="0" w:line="120" w:lineRule="exact"/>
        <w:rPr>
          <w:rFonts w:ascii="Arial" w:cs="Arial" w:eastAsia="Arial" w:hAnsi="Arial"/>
          <w:sz w:val="12"/>
          <w:szCs w:val="12"/>
          <w:color w:val="auto"/>
        </w:rPr>
      </w:pPr>
    </w:p>
    <w:p>
      <w:pPr>
        <w:ind w:firstLine="973"/>
        <w:spacing w:after="0" w:line="296" w:lineRule="auto"/>
        <w:tabs>
          <w:tab w:leader="none" w:pos="1453"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Payment of Other Taxes by Borrower</w:t>
      </w:r>
      <w:r>
        <w:rPr>
          <w:rFonts w:ascii="Arial" w:cs="Arial" w:eastAsia="Arial" w:hAnsi="Arial"/>
          <w:sz w:val="13"/>
          <w:szCs w:val="13"/>
          <w:color w:val="auto"/>
        </w:rPr>
        <w:t>. Without limiting the provisions of subsection (a) above, Borrower shall timely pay any Other Taxes to the relevant Governmental Authority in accordance with Applicable Law.</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Tax Indemnification</w:t>
      </w:r>
      <w:r>
        <w:rPr>
          <w:rFonts w:ascii="Arial" w:cs="Arial" w:eastAsia="Arial" w:hAnsi="Arial"/>
          <w:sz w:val="12"/>
          <w:szCs w:val="12"/>
          <w:color w:val="auto"/>
        </w:rPr>
        <w:t>. Without limiting the provisions of subsections (a) and (b) above, Borrower shall, and does hereby, indemnify Bank, within ten (10) days after demand therefor,</w:t>
      </w:r>
    </w:p>
    <w:p>
      <w:pPr>
        <w:spacing w:after="0" w:line="3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for the full amount of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1100" w:right="319" w:bottom="1440" w:gutter="0" w:footer="0" w:header="0"/>
        </w:sectPr>
      </w:pPr>
    </w:p>
    <w:bookmarkStart w:id="73" w:name="page74"/>
    <w:bookmarkEnd w:id="73"/>
    <w:p>
      <w:pPr>
        <w:jc w:val="both"/>
        <w:spacing w:after="0" w:line="278" w:lineRule="auto"/>
        <w:rPr>
          <w:sz w:val="20"/>
          <w:szCs w:val="20"/>
          <w:color w:val="auto"/>
        </w:rPr>
      </w:pPr>
      <w:r>
        <w:rPr>
          <w:rFonts w:ascii="Arial" w:cs="Arial" w:eastAsia="Arial" w:hAnsi="Arial"/>
          <w:sz w:val="13"/>
          <w:szCs w:val="13"/>
          <w:color w:val="auto"/>
        </w:rPr>
        <w:t>any Indemnified Taxes (including Indemnified Taxes imposed or asserted on or attributable to amounts payable under this Section 1.6)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w:t>
      </w:r>
    </w:p>
    <w:p>
      <w:pPr>
        <w:spacing w:after="0" w:line="128" w:lineRule="exact"/>
        <w:rPr>
          <w:sz w:val="20"/>
          <w:szCs w:val="20"/>
          <w:color w:val="auto"/>
        </w:rPr>
      </w:pPr>
    </w:p>
    <w:p>
      <w:pPr>
        <w:ind w:firstLine="973"/>
        <w:spacing w:after="0" w:line="341" w:lineRule="auto"/>
        <w:tabs>
          <w:tab w:leader="none" w:pos="1453"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Evidence of Payments</w:t>
      </w:r>
      <w:r>
        <w:rPr>
          <w:rFonts w:ascii="Arial" w:cs="Arial" w:eastAsia="Arial" w:hAnsi="Arial"/>
          <w:sz w:val="12"/>
          <w:szCs w:val="12"/>
          <w:color w:val="auto"/>
        </w:rPr>
        <w:t>. As soon as practicable after any payment of Taxes by Borrower to a Governmental Authority pursuant to this Section 1.6, Borrower shall deliver to Bank a certified copy of a receipt issued by such Governmental Authority evidencing such payment, a copy of the return reporting such payment or other evidence of such payment reasonably satisfactory to Bank.</w:t>
      </w:r>
    </w:p>
    <w:p>
      <w:pPr>
        <w:spacing w:after="0" w:line="93" w:lineRule="exact"/>
        <w:rPr>
          <w:rFonts w:ascii="Arial" w:cs="Arial" w:eastAsia="Arial" w:hAnsi="Arial"/>
          <w:sz w:val="12"/>
          <w:szCs w:val="12"/>
          <w:color w:val="auto"/>
        </w:rPr>
      </w:pPr>
    </w:p>
    <w:p>
      <w:pPr>
        <w:jc w:val="both"/>
        <w:ind w:firstLine="973"/>
        <w:spacing w:after="0" w:line="288" w:lineRule="auto"/>
        <w:tabs>
          <w:tab w:leader="none" w:pos="1455"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Status of Bank</w:t>
      </w:r>
      <w:r>
        <w:rPr>
          <w:rFonts w:ascii="Arial" w:cs="Arial" w:eastAsia="Arial" w:hAnsi="Arial"/>
          <w:sz w:val="12"/>
          <w:szCs w:val="12"/>
          <w:color w:val="auto"/>
        </w:rPr>
        <w:t>.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IRS Form W-8IMY is applicable, as well as any applicable supporting documentation or certifications. If a payment made to Bank under any Loan Document would be subject to U.S. federal withholding Tax imposed by FATCA if Bank were to fail to comply with the applicable reporting requirements of FATCA (including those contained in Section 1471(b) or 1472(b) of the Internal Revenue Code, as applicable), Bank shall deliver to Borrower at the time or times prescribed by law and at such time or times reasonably requested by Borrower such documentation prescribed by Applicable Law (including as prescribed by Section 1471(b)(3)(C)(i) of the Internal Revenue Code) and such additional documentation reasonably requested by Borrower as may be necessary for Borrower to comply with its obligations under FATCA and to determine that Bank has complied with its obligations under FATCA or to determine the amount, if any, to deduct and withhold from such payment. Solely for purposes of the preceding sentence, “FATCA” shall include any amendments made to FATCA after the date of this Agreement.</w:t>
      </w:r>
    </w:p>
    <w:p>
      <w:pPr>
        <w:spacing w:after="0" w:line="125" w:lineRule="exact"/>
        <w:rPr>
          <w:rFonts w:ascii="Arial" w:cs="Arial" w:eastAsia="Arial" w:hAnsi="Arial"/>
          <w:sz w:val="12"/>
          <w:szCs w:val="12"/>
          <w:color w:val="auto"/>
        </w:rPr>
      </w:pPr>
    </w:p>
    <w:p>
      <w:pPr>
        <w:jc w:val="both"/>
        <w:ind w:firstLine="973"/>
        <w:spacing w:after="0" w:line="290" w:lineRule="auto"/>
        <w:tabs>
          <w:tab w:leader="none" w:pos="1451"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Treatment of Certain Refunds</w:t>
      </w:r>
      <w:r>
        <w:rPr>
          <w:rFonts w:ascii="Arial" w:cs="Arial" w:eastAsia="Arial" w:hAnsi="Arial"/>
          <w:sz w:val="12"/>
          <w:szCs w:val="12"/>
          <w:color w:val="auto"/>
        </w:rPr>
        <w:t>. If Bank determines, in its sole discretion exercised in good faith, that it has received a refund of any Taxes as to which it has been indemnified pursuant to this Section 1.6 (including by the payment of additional amounts pursuant to this Section 1.6), it shall pay to Borrower an amount equal to such refund (but only to the extent of indemnity payments made under this Section 1.6 with respect to the Taxes giving rise to such refund), net of all out-of-pocket expenses (including Taxes) of Bank and without interest (other than any interest paid by the relevant Governmental Authority with respect to such refund). Borrower, upon the request of Bank, shall repay to Bank the amount paid over pursuant to this paragraph (f) (plus any penalties, interest or other charges imposed by the relevant Governmental Authority) in the event that Bank is required to repay such refund to such Governmental Authority. Notwithstanding anything to the contrary in this paragraph (f), in no event will Bank be required to pay any amount to Borrower pursuant to this paragraph (f) the payment of which would place Bank in a less favorable net after-Tax position than Bank would have been in if the Tax subject to indemnification and giving rise to such refund had not been deducted, withheld or otherwise imposed and the indemnification payments or additional amounts with respect to such Tax had never been paid. This paragraph (f) shall not be construed to require Bank to make available its Tax returns (or any other information relating to its Taxes that it deems confidential) to Borrower or any other Person.</w:t>
      </w:r>
    </w:p>
    <w:p>
      <w:pPr>
        <w:spacing w:after="0" w:line="12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1.7</w:t>
      </w:r>
      <w:r>
        <w:rPr>
          <w:sz w:val="20"/>
          <w:szCs w:val="20"/>
          <w:color w:val="auto"/>
        </w:rPr>
        <w:tab/>
      </w:r>
      <w:r>
        <w:rPr>
          <w:rFonts w:ascii="Arial" w:cs="Arial" w:eastAsia="Arial" w:hAnsi="Arial"/>
          <w:sz w:val="12"/>
          <w:szCs w:val="12"/>
          <w:b w:val="1"/>
          <w:bCs w:val="1"/>
          <w:color w:val="auto"/>
        </w:rPr>
        <w:t>Procedures for Borrowing.</w:t>
      </w:r>
    </w:p>
    <w:p>
      <w:pPr>
        <w:spacing w:after="0" w:line="176" w:lineRule="exact"/>
        <w:rPr>
          <w:sz w:val="20"/>
          <w:szCs w:val="20"/>
          <w:color w:val="auto"/>
        </w:rPr>
      </w:pPr>
    </w:p>
    <w:p>
      <w:pPr>
        <w:jc w:val="both"/>
        <w:ind w:firstLine="973"/>
        <w:spacing w:after="0" w:line="278" w:lineRule="auto"/>
        <w:tabs>
          <w:tab w:leader="none" w:pos="1455" w:val="left"/>
        </w:tabs>
        <w:numPr>
          <w:ilvl w:val="0"/>
          <w:numId w:val="47"/>
        </w:numPr>
        <w:rPr>
          <w:rFonts w:ascii="Arial" w:cs="Arial" w:eastAsia="Arial" w:hAnsi="Arial"/>
          <w:sz w:val="13"/>
          <w:szCs w:val="13"/>
          <w:color w:val="auto"/>
        </w:rPr>
      </w:pPr>
      <w:r>
        <w:rPr>
          <w:rFonts w:ascii="Arial" w:cs="Arial" w:eastAsia="Arial" w:hAnsi="Arial"/>
          <w:sz w:val="13"/>
          <w:szCs w:val="13"/>
          <w:color w:val="auto"/>
        </w:rPr>
        <w:t>Subject to the prior satisfaction of all other applicable conditions to the making of the Term Loan Advance set forth in this Agreement (which must be satisfied no later than 12:00 p.m. Pacific time on the applicable Funding Date), to obtain the Term Loan Advance, Borrower shall notify Bank (which notice shall be irrevocable) by 12:00 p.m. Pacific time on the Funding Date of the Term Loan Advance. Such notice shall be made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1100" w:right="319" w:bottom="1440" w:gutter="0" w:footer="0" w:header="0"/>
        </w:sectPr>
      </w:pPr>
    </w:p>
    <w:bookmarkStart w:id="74" w:name="page75"/>
    <w:bookmarkEnd w:id="74"/>
    <w:p>
      <w:pPr>
        <w:jc w:val="both"/>
        <w:spacing w:after="0" w:line="272" w:lineRule="auto"/>
        <w:rPr>
          <w:sz w:val="20"/>
          <w:szCs w:val="20"/>
          <w:color w:val="auto"/>
        </w:rPr>
      </w:pPr>
      <w:r>
        <w:rPr>
          <w:rFonts w:ascii="Arial" w:cs="Arial" w:eastAsia="Arial" w:hAnsi="Arial"/>
          <w:sz w:val="13"/>
          <w:szCs w:val="13"/>
          <w:color w:val="auto"/>
        </w:rPr>
        <w:t>by electronic mail or by telephone and, together with any such notification, Borrower shall deliver to Bank by electronic mail a completed Payment/Advance Form executed by an Authorized Signer. Bank may rely on any telephone notice given by a person whom Bank reasonably believes is an Authorized Signer. Borrower will indemnify Bank for any loss Bank suffers due to such reasonable belief or reliance. Bank shall have received satisfactory evidence that the Board has approved that such Authorized Signer may provide such notices and request such Term Loan Advance (which requirement may be deemed satisfied by the prior delivery of Borrowing Resolutions or a secretary’s certificate that certifies as to such Board approval).</w:t>
      </w:r>
    </w:p>
    <w:p>
      <w:pPr>
        <w:spacing w:after="0" w:line="132" w:lineRule="exact"/>
        <w:rPr>
          <w:sz w:val="20"/>
          <w:szCs w:val="20"/>
          <w:color w:val="auto"/>
        </w:rPr>
      </w:pPr>
    </w:p>
    <w:p>
      <w:pPr>
        <w:ind w:firstLine="973"/>
        <w:spacing w:after="0" w:line="296" w:lineRule="auto"/>
        <w:tabs>
          <w:tab w:leader="none" w:pos="1453" w:val="left"/>
        </w:tabs>
        <w:numPr>
          <w:ilvl w:val="1"/>
          <w:numId w:val="48"/>
        </w:numPr>
        <w:rPr>
          <w:rFonts w:ascii="Arial" w:cs="Arial" w:eastAsia="Arial" w:hAnsi="Arial"/>
          <w:sz w:val="13"/>
          <w:szCs w:val="13"/>
          <w:color w:val="auto"/>
        </w:rPr>
      </w:pPr>
      <w:r>
        <w:rPr>
          <w:rFonts w:ascii="Arial" w:cs="Arial" w:eastAsia="Arial" w:hAnsi="Arial"/>
          <w:sz w:val="13"/>
          <w:szCs w:val="13"/>
          <w:color w:val="auto"/>
        </w:rPr>
        <w:t>Bank shall credit proceeds of a Credit Extension to the Designated Deposit Account. Bank may make the Term Loan Advance under this Agreement based on instructions from an Authorized Signer or without instructions if such Term Loan Advance is necessary to meet Obligations which have become due.</w:t>
      </w:r>
    </w:p>
    <w:p>
      <w:pPr>
        <w:spacing w:after="0" w:line="115" w:lineRule="exact"/>
        <w:rPr>
          <w:rFonts w:ascii="Arial" w:cs="Arial" w:eastAsia="Arial" w:hAnsi="Arial"/>
          <w:sz w:val="13"/>
          <w:szCs w:val="13"/>
          <w:color w:val="auto"/>
        </w:rPr>
      </w:pPr>
    </w:p>
    <w:p>
      <w:pPr>
        <w:ind w:left="980" w:hanging="493"/>
        <w:spacing w:after="0"/>
        <w:tabs>
          <w:tab w:leader="none" w:pos="98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CONDITIONS OF CREDIT EXTENSIONS</w:t>
      </w:r>
    </w:p>
    <w:p>
      <w:pPr>
        <w:spacing w:after="0" w:line="174" w:lineRule="exact"/>
        <w:rPr>
          <w:sz w:val="20"/>
          <w:szCs w:val="20"/>
          <w:color w:val="auto"/>
        </w:rPr>
      </w:pPr>
    </w:p>
    <w:p>
      <w:pPr>
        <w:ind w:firstLine="486"/>
        <w:spacing w:after="0" w:line="299" w:lineRule="auto"/>
        <w:rPr>
          <w:sz w:val="20"/>
          <w:szCs w:val="20"/>
          <w:color w:val="auto"/>
        </w:rPr>
      </w:pPr>
      <w:r>
        <w:rPr>
          <w:rFonts w:ascii="Arial" w:cs="Arial" w:eastAsia="Arial" w:hAnsi="Arial"/>
          <w:sz w:val="13"/>
          <w:szCs w:val="13"/>
          <w:b w:val="1"/>
          <w:bCs w:val="1"/>
          <w:color w:val="auto"/>
        </w:rPr>
        <w:t xml:space="preserve">2.1 Conditions Precedent to Initial Credit Extension. </w:t>
      </w:r>
      <w:r>
        <w:rPr>
          <w:rFonts w:ascii="Arial" w:cs="Arial" w:eastAsia="Arial" w:hAnsi="Arial"/>
          <w:sz w:val="13"/>
          <w:szCs w:val="13"/>
          <w:color w:val="auto"/>
        </w:rPr>
        <w:t>Bank’s obligation to make the initial Credit Extension is subject to the condition precedent that Bank shall have received, in form and</w:t>
      </w:r>
      <w:r>
        <w:rPr>
          <w:rFonts w:ascii="Arial" w:cs="Arial" w:eastAsia="Arial" w:hAnsi="Arial"/>
          <w:sz w:val="13"/>
          <w:szCs w:val="13"/>
          <w:b w:val="1"/>
          <w:bCs w:val="1"/>
          <w:color w:val="auto"/>
        </w:rPr>
        <w:t xml:space="preserve"> </w:t>
      </w:r>
      <w:r>
        <w:rPr>
          <w:rFonts w:ascii="Arial" w:cs="Arial" w:eastAsia="Arial" w:hAnsi="Arial"/>
          <w:sz w:val="13"/>
          <w:szCs w:val="13"/>
          <w:color w:val="auto"/>
        </w:rPr>
        <w:t>substance satisfactory to Bank, such documents, and completion of such other matters, as Bank may reasonably deem necessary or appropriate, including, without limitation:</w:t>
      </w:r>
    </w:p>
    <w:p>
      <w:pPr>
        <w:spacing w:after="0" w:line="115" w:lineRule="exact"/>
        <w:rPr>
          <w:sz w:val="20"/>
          <w:szCs w:val="20"/>
          <w:color w:val="auto"/>
        </w:rPr>
      </w:pPr>
    </w:p>
    <w:p>
      <w:pPr>
        <w:ind w:left="1460" w:hanging="487"/>
        <w:spacing w:after="0"/>
        <w:tabs>
          <w:tab w:leader="none" w:pos="14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duly executed Loan Documents;</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duly executed Control Agreement with U.S. Bank;</w:t>
      </w:r>
    </w:p>
    <w:p>
      <w:pPr>
        <w:spacing w:after="0" w:line="174" w:lineRule="exact"/>
        <w:rPr>
          <w:rFonts w:ascii="Arial" w:cs="Arial" w:eastAsia="Arial" w:hAnsi="Arial"/>
          <w:sz w:val="13"/>
          <w:szCs w:val="13"/>
          <w:color w:val="auto"/>
        </w:rPr>
      </w:pPr>
    </w:p>
    <w:p>
      <w:pPr>
        <w:ind w:firstLine="973"/>
        <w:spacing w:after="0" w:line="341" w:lineRule="auto"/>
        <w:tabs>
          <w:tab w:leader="none" w:pos="1455"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Operating Documents of Borrower and its Subsidiaries and long-form good standing certificates of Borrower certified by the Secretary of State of the State of Delaware and the Secretary of State (or equivalent agency) of each other jurisdiction in which Borrower is qualified to conduct business, in each case as of a date no earlier than thirty (30) days prior to the Effective Date;</w:t>
      </w:r>
    </w:p>
    <w:p>
      <w:pPr>
        <w:spacing w:after="0" w:line="93" w:lineRule="exact"/>
        <w:rPr>
          <w:rFonts w:ascii="Arial" w:cs="Arial" w:eastAsia="Arial" w:hAnsi="Arial"/>
          <w:sz w:val="12"/>
          <w:szCs w:val="12"/>
          <w:color w:val="auto"/>
        </w:rPr>
      </w:pPr>
    </w:p>
    <w:p>
      <w:pPr>
        <w:ind w:left="1460" w:hanging="487"/>
        <w:spacing w:after="0"/>
        <w:tabs>
          <w:tab w:leader="none" w:pos="14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certificate duly executed by a Responsible Officer or secretary of Borrower with respect to Borrower’s (i) Operating Documents and (ii) Borrowing Resolutions;</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duly executed payoff letter from Solar Capital;</w:t>
      </w:r>
    </w:p>
    <w:p>
      <w:pPr>
        <w:spacing w:after="0" w:line="174" w:lineRule="exact"/>
        <w:rPr>
          <w:rFonts w:ascii="Arial" w:cs="Arial" w:eastAsia="Arial" w:hAnsi="Arial"/>
          <w:sz w:val="13"/>
          <w:szCs w:val="13"/>
          <w:color w:val="auto"/>
        </w:rPr>
      </w:pPr>
    </w:p>
    <w:p>
      <w:pPr>
        <w:ind w:firstLine="973"/>
        <w:spacing w:after="0" w:line="296" w:lineRule="auto"/>
        <w:tabs>
          <w:tab w:leader="none" w:pos="1451" w:val="left"/>
        </w:tabs>
        <w:numPr>
          <w:ilvl w:val="0"/>
          <w:numId w:val="50"/>
        </w:numPr>
        <w:rPr>
          <w:rFonts w:ascii="Arial" w:cs="Arial" w:eastAsia="Arial" w:hAnsi="Arial"/>
          <w:sz w:val="13"/>
          <w:szCs w:val="13"/>
          <w:color w:val="auto"/>
        </w:rPr>
      </w:pPr>
      <w:r>
        <w:rPr>
          <w:rFonts w:ascii="Arial" w:cs="Arial" w:eastAsia="Arial" w:hAnsi="Arial"/>
          <w:sz w:val="13"/>
          <w:szCs w:val="13"/>
          <w:color w:val="auto"/>
        </w:rPr>
        <w:t>evidence that (i) the Liens securing Indebtedness owed by Borrower to Solar Capital will be terminated and (ii) the documents and/or filings evidencing the perfection of such Liens, including without limitation any financing statements and/or control agreements, have or will, concurrently with the initial Credit Extension, be terminated;</w:t>
      </w:r>
    </w:p>
    <w:p>
      <w:pPr>
        <w:spacing w:after="0" w:line="117"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50"/>
        </w:numPr>
        <w:rPr>
          <w:rFonts w:ascii="Arial" w:cs="Arial" w:eastAsia="Arial" w:hAnsi="Arial"/>
          <w:sz w:val="13"/>
          <w:szCs w:val="13"/>
          <w:color w:val="auto"/>
        </w:rPr>
      </w:pPr>
      <w:r>
        <w:rPr>
          <w:rFonts w:ascii="Arial" w:cs="Arial" w:eastAsia="Arial" w:hAnsi="Arial"/>
          <w:sz w:val="13"/>
          <w:szCs w:val="13"/>
          <w:color w:val="auto"/>
        </w:rPr>
        <w:t>certified copies, dated as of a recent date, of searches for financing statement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28" w:lineRule="exact"/>
        <w:rPr>
          <w:rFonts w:ascii="Arial" w:cs="Arial" w:eastAsia="Arial" w:hAnsi="Arial"/>
          <w:sz w:val="13"/>
          <w:szCs w:val="13"/>
          <w:color w:val="auto"/>
        </w:rPr>
      </w:pPr>
    </w:p>
    <w:p>
      <w:pPr>
        <w:ind w:left="1460" w:hanging="487"/>
        <w:spacing w:after="0"/>
        <w:tabs>
          <w:tab w:leader="none" w:pos="14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duly executed Perfection Certificate of Borrower;</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duly executed landlord’s consent in favor of Bank for Borrower’s leased location at 471 El Camino Real, Suite 101, Santa Clara, CA 95050;</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legal opinion of Borrower’s counsel dated as of the Effective Date;</w:t>
      </w:r>
    </w:p>
    <w:p>
      <w:pPr>
        <w:spacing w:after="0" w:line="144" w:lineRule="exact"/>
        <w:rPr>
          <w:rFonts w:ascii="Arial" w:cs="Arial" w:eastAsia="Arial" w:hAnsi="Arial"/>
          <w:sz w:val="13"/>
          <w:szCs w:val="13"/>
          <w:color w:val="auto"/>
        </w:rPr>
      </w:pPr>
    </w:p>
    <w:p>
      <w:pPr>
        <w:ind w:firstLine="973"/>
        <w:spacing w:after="0" w:line="219" w:lineRule="auto"/>
        <w:tabs>
          <w:tab w:leader="none" w:pos="1453" w:val="left"/>
        </w:tabs>
        <w:numPr>
          <w:ilvl w:val="0"/>
          <w:numId w:val="50"/>
        </w:numPr>
        <w:rPr>
          <w:rFonts w:ascii="Arial" w:cs="Arial" w:eastAsia="Arial" w:hAnsi="Arial"/>
          <w:sz w:val="13"/>
          <w:szCs w:val="13"/>
          <w:color w:val="auto"/>
        </w:rPr>
      </w:pPr>
      <w:r>
        <w:rPr>
          <w:rFonts w:ascii="Arial" w:cs="Arial" w:eastAsia="Arial" w:hAnsi="Arial"/>
          <w:sz w:val="13"/>
          <w:szCs w:val="13"/>
          <w:color w:val="auto"/>
        </w:rPr>
        <w:t>evidence satisfactory to Bank that the insurance policies and endorsements required by Section 5.8 hereof are in full force and effect, together with appropriate evidence showing lender loss payable and additional insured clauses or endorsements in favor of Bank; and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1100" w:right="319" w:bottom="1440" w:gutter="0" w:footer="0" w:header="0"/>
        </w:sectPr>
      </w:pPr>
    </w:p>
    <w:bookmarkStart w:id="75" w:name="page76"/>
    <w:bookmarkEnd w:id="75"/>
    <w:p>
      <w:pPr>
        <w:ind w:left="1460" w:hanging="487"/>
        <w:spacing w:after="0"/>
        <w:tabs>
          <w:tab w:leader="none" w:pos="14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payment of the fees and Bank Expenses then due as specified in Section 1.3 hereof.</w:t>
      </w:r>
    </w:p>
    <w:p>
      <w:pPr>
        <w:spacing w:after="0" w:line="17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2"/>
          <w:szCs w:val="12"/>
          <w:b w:val="1"/>
          <w:bCs w:val="1"/>
          <w:color w:val="auto"/>
        </w:rPr>
        <w:t xml:space="preserve">Conditions Precedent to all Credit Extensions. </w:t>
      </w:r>
      <w:r>
        <w:rPr>
          <w:rFonts w:ascii="Arial" w:cs="Arial" w:eastAsia="Arial" w:hAnsi="Arial"/>
          <w:sz w:val="12"/>
          <w:szCs w:val="12"/>
          <w:color w:val="auto"/>
        </w:rPr>
        <w:t>Bank’s obligation to make each Credit Extension, including the initial Credit Extension, is subject to the following conditions precedent:</w:t>
      </w:r>
    </w:p>
    <w:p>
      <w:pPr>
        <w:spacing w:after="0" w:line="176" w:lineRule="exact"/>
        <w:rPr>
          <w:sz w:val="20"/>
          <w:szCs w:val="20"/>
          <w:color w:val="auto"/>
        </w:rPr>
      </w:pPr>
    </w:p>
    <w:p>
      <w:pPr>
        <w:ind w:left="1460" w:hanging="487"/>
        <w:spacing w:after="0"/>
        <w:tabs>
          <w:tab w:leader="none" w:pos="1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receipt of Borrower’s Credit Extension request and the related materials and documents as required by and in accordance with Section 1.7;</w:t>
      </w:r>
    </w:p>
    <w:p>
      <w:pPr>
        <w:spacing w:after="0" w:line="174" w:lineRule="exact"/>
        <w:rPr>
          <w:rFonts w:ascii="Arial" w:cs="Arial" w:eastAsia="Arial" w:hAnsi="Arial"/>
          <w:sz w:val="13"/>
          <w:szCs w:val="13"/>
          <w:color w:val="auto"/>
        </w:rPr>
      </w:pPr>
    </w:p>
    <w:p>
      <w:pPr>
        <w:jc w:val="both"/>
        <w:ind w:firstLine="973"/>
        <w:spacing w:after="0" w:line="293" w:lineRule="auto"/>
        <w:tabs>
          <w:tab w:leader="none" w:pos="1453"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representations and warranties in this Agreement shall be true and correct in all material respects as of the date of any Credit Extension request and as of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22" w:lineRule="exact"/>
        <w:rPr>
          <w:rFonts w:ascii="Arial" w:cs="Arial" w:eastAsia="Arial" w:hAnsi="Arial"/>
          <w:sz w:val="12"/>
          <w:szCs w:val="12"/>
          <w:color w:val="auto"/>
        </w:rPr>
      </w:pPr>
    </w:p>
    <w:p>
      <w:pPr>
        <w:ind w:left="1460" w:hanging="487"/>
        <w:spacing w:after="0"/>
        <w:tabs>
          <w:tab w:leader="none" w:pos="1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 Material Adverse Change shall not have occurred.</w:t>
      </w:r>
    </w:p>
    <w:p>
      <w:pPr>
        <w:spacing w:after="0" w:line="17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2.3</w:t>
      </w:r>
      <w:r>
        <w:rPr>
          <w:sz w:val="20"/>
          <w:szCs w:val="20"/>
          <w:color w:val="auto"/>
        </w:rPr>
        <w:tab/>
      </w:r>
      <w:r>
        <w:rPr>
          <w:rFonts w:ascii="Arial" w:cs="Arial" w:eastAsia="Arial" w:hAnsi="Arial"/>
          <w:sz w:val="12"/>
          <w:szCs w:val="12"/>
          <w:b w:val="1"/>
          <w:bCs w:val="1"/>
          <w:color w:val="auto"/>
        </w:rPr>
        <w:t>Covenant to Deliver.</w:t>
      </w:r>
    </w:p>
    <w:p>
      <w:pPr>
        <w:spacing w:after="0" w:line="176" w:lineRule="exact"/>
        <w:rPr>
          <w:sz w:val="20"/>
          <w:szCs w:val="20"/>
          <w:color w:val="auto"/>
        </w:rPr>
      </w:pPr>
    </w:p>
    <w:p>
      <w:pPr>
        <w:jc w:val="both"/>
        <w:ind w:firstLine="973"/>
        <w:spacing w:after="0" w:line="278" w:lineRule="auto"/>
        <w:tabs>
          <w:tab w:leader="none" w:pos="1268" w:val="left"/>
        </w:tabs>
        <w:numPr>
          <w:ilvl w:val="1"/>
          <w:numId w:val="53"/>
        </w:numPr>
        <w:rPr>
          <w:rFonts w:ascii="Arial" w:cs="Arial" w:eastAsia="Arial" w:hAnsi="Arial"/>
          <w:sz w:val="13"/>
          <w:szCs w:val="13"/>
          <w:color w:val="auto"/>
        </w:rPr>
      </w:pPr>
      <w:r>
        <w:rPr>
          <w:rFonts w:ascii="Arial" w:cs="Arial" w:eastAsia="Arial" w:hAnsi="Arial"/>
          <w:sz w:val="13"/>
          <w:szCs w:val="13"/>
          <w:color w:val="auto"/>
        </w:rPr>
        <w:t>Borrower shall deliver to Bank each item required to be delivered to Bank under this Agreement as a condition 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26" w:lineRule="exact"/>
        <w:rPr>
          <w:rFonts w:ascii="Arial" w:cs="Arial" w:eastAsia="Arial" w:hAnsi="Arial"/>
          <w:sz w:val="13"/>
          <w:szCs w:val="13"/>
          <w:color w:val="auto"/>
        </w:rPr>
      </w:pPr>
    </w:p>
    <w:p>
      <w:pPr>
        <w:ind w:left="980" w:hanging="493"/>
        <w:spacing w:after="0"/>
        <w:tabs>
          <w:tab w:leader="none" w:pos="98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CREATION OF SECURITY INTEREST</w:t>
      </w:r>
    </w:p>
    <w:p>
      <w:pPr>
        <w:spacing w:after="0" w:line="17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3.1</w:t>
      </w:r>
      <w:r>
        <w:rPr>
          <w:sz w:val="20"/>
          <w:szCs w:val="20"/>
          <w:color w:val="auto"/>
        </w:rPr>
        <w:tab/>
      </w:r>
      <w:r>
        <w:rPr>
          <w:rFonts w:ascii="Arial" w:cs="Arial" w:eastAsia="Arial" w:hAnsi="Arial"/>
          <w:sz w:val="12"/>
          <w:szCs w:val="12"/>
          <w:b w:val="1"/>
          <w:bCs w:val="1"/>
          <w:color w:val="auto"/>
        </w:rPr>
        <w:t>Grant of Security Interest.</w:t>
      </w:r>
    </w:p>
    <w:p>
      <w:pPr>
        <w:spacing w:after="0" w:line="176" w:lineRule="exact"/>
        <w:rPr>
          <w:sz w:val="20"/>
          <w:szCs w:val="20"/>
          <w:color w:val="auto"/>
        </w:rPr>
      </w:pPr>
    </w:p>
    <w:p>
      <w:pPr>
        <w:ind w:firstLine="973"/>
        <w:spacing w:after="0" w:line="296" w:lineRule="auto"/>
        <w:tabs>
          <w:tab w:leader="none" w:pos="1455" w:val="left"/>
        </w:tabs>
        <w:numPr>
          <w:ilvl w:val="0"/>
          <w:numId w:val="55"/>
        </w:numPr>
        <w:rPr>
          <w:rFonts w:ascii="Arial" w:cs="Arial" w:eastAsia="Arial" w:hAnsi="Arial"/>
          <w:sz w:val="13"/>
          <w:szCs w:val="13"/>
          <w:color w:val="auto"/>
        </w:rPr>
      </w:pPr>
      <w:r>
        <w:rPr>
          <w:rFonts w:ascii="Arial" w:cs="Arial" w:eastAsia="Arial" w:hAnsi="Arial"/>
          <w:sz w:val="13"/>
          <w:szCs w:val="13"/>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17"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55"/>
        </w:numPr>
        <w:rPr>
          <w:rFonts w:ascii="Arial" w:cs="Arial" w:eastAsia="Arial" w:hAnsi="Arial"/>
          <w:sz w:val="13"/>
          <w:szCs w:val="13"/>
          <w:color w:val="auto"/>
        </w:rPr>
      </w:pPr>
      <w:r>
        <w:rPr>
          <w:rFonts w:ascii="Arial" w:cs="Arial" w:eastAsia="Arial" w:hAnsi="Arial"/>
          <w:sz w:val="13"/>
          <w:szCs w:val="13"/>
          <w:color w:val="auto"/>
        </w:rPr>
        <w:t>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w:t>
      </w:r>
    </w:p>
    <w:p>
      <w:pPr>
        <w:spacing w:after="0" w:line="12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b w:val="1"/>
          <w:bCs w:val="1"/>
          <w:color w:val="auto"/>
        </w:rPr>
        <w:t xml:space="preserve">3.2 Authorization to File Financing Statements. </w:t>
      </w:r>
      <w:r>
        <w:rPr>
          <w:rFonts w:ascii="Arial" w:cs="Arial" w:eastAsia="Arial" w:hAnsi="Arial"/>
          <w:sz w:val="13"/>
          <w:szCs w:val="13"/>
          <w:color w:val="auto"/>
        </w:rPr>
        <w:t>Borrower hereby authorizes Bank to file financing statements covering the Collateral, without notice to Borrower, with all jurisdictions deemed</w:t>
      </w:r>
      <w:r>
        <w:rPr>
          <w:rFonts w:ascii="Arial" w:cs="Arial" w:eastAsia="Arial" w:hAnsi="Arial"/>
          <w:sz w:val="13"/>
          <w:szCs w:val="13"/>
          <w:b w:val="1"/>
          <w:bCs w:val="1"/>
          <w:color w:val="auto"/>
        </w:rPr>
        <w:t xml:space="preserve"> </w:t>
      </w:r>
      <w:r>
        <w:rPr>
          <w:rFonts w:ascii="Arial" w:cs="Arial" w:eastAsia="Arial" w:hAnsi="Arial"/>
          <w:sz w:val="13"/>
          <w:szCs w:val="13"/>
          <w:color w:val="auto"/>
        </w:rPr>
        <w:t>necessary or appropriate by Bank to perfect or protect Bank’s interest or rights hereunder, including a notice that any disposition of the Collateral, by either Borrower or any other Person, in contravention of the terms of this Agreement shall be deemed to violate the rights of Bank under the Code. Such financing statements may indicate the Collateral</w:t>
      </w:r>
    </w:p>
    <w:p>
      <w:pPr>
        <w:spacing w:after="0" w:line="12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b w:val="1"/>
          <w:bCs w:val="1"/>
          <w:color w:val="auto"/>
        </w:rPr>
        <w:t>3.3 Termination</w:t>
      </w:r>
      <w:r>
        <w:rPr>
          <w:rFonts w:ascii="Arial" w:cs="Arial" w:eastAsia="Arial" w:hAnsi="Arial"/>
          <w:sz w:val="13"/>
          <w:szCs w:val="13"/>
          <w:color w:val="auto"/>
        </w:rPr>
        <w:t>. If this Agreement is terminated, Bank’s Lien in the Collateral shall continue until the Obligations (other than inchoate indemnity obligations) are repaid in full in cash. Upon</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in full in cash of the Obligations (other than inchoate indemnity obligations) and at such time as Bank’s obligation to make Credit Extensions has terminated, Bank shall, at Borrower’s sole cost and expense, promptly terminate its security interest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1100" w:right="319" w:bottom="1440" w:gutter="0" w:footer="0" w:header="0"/>
        </w:sectPr>
      </w:pPr>
    </w:p>
    <w:bookmarkStart w:id="76" w:name="page77"/>
    <w:bookmarkEnd w:id="76"/>
    <w:p>
      <w:pPr>
        <w:jc w:val="both"/>
        <w:spacing w:after="0" w:line="266" w:lineRule="auto"/>
        <w:rPr>
          <w:sz w:val="20"/>
          <w:szCs w:val="20"/>
          <w:color w:val="auto"/>
        </w:rPr>
      </w:pPr>
      <w:r>
        <w:rPr>
          <w:rFonts w:ascii="Arial" w:cs="Arial" w:eastAsia="Arial" w:hAnsi="Arial"/>
          <w:sz w:val="13"/>
          <w:szCs w:val="13"/>
          <w:color w:val="auto"/>
        </w:rPr>
        <w:t>in the Collateral and all rights therein shall automatically revert to Borrower, and Bank shall, upon request from Borrower and at Borrower’s sole cost and expense, promptly deliver to Borrower written evidence of the termination of such liens and any other documents reasonably necessary to terminate such liens.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commercially reasonable discretion for Bank Services, if any. In the event such Bank Services consist of outstanding Letters of Credit, Borrower shall provide to Bank cash collateral in an amount equal to at least (i) one hundred and five percent (105.0%) of the face amount of all such Letters of Credit denominated in Dollars and (ii) one hundred and fifteen percent (115.0%) of the Dollar Equivalent of the face amount of all such Letters of Credit denominated in a Foreign Currency, plus, in each case, all interest, fees, and costs due or estimated by Bank to become due in connection therewith, to secure all of the Obligations relating to such Letters of Credit.</w:t>
      </w:r>
    </w:p>
    <w:p>
      <w:pPr>
        <w:spacing w:after="0" w:line="134" w:lineRule="exact"/>
        <w:rPr>
          <w:sz w:val="20"/>
          <w:szCs w:val="20"/>
          <w:color w:val="auto"/>
        </w:rPr>
      </w:pPr>
    </w:p>
    <w:p>
      <w:pPr>
        <w:ind w:left="980" w:hanging="493"/>
        <w:spacing w:after="0"/>
        <w:tabs>
          <w:tab w:leader="none" w:pos="98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REPRESENTATIONS AND WARRANTIES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Borrower represents and warrants as follows:</w:t>
      </w:r>
    </w:p>
    <w:p>
      <w:pPr>
        <w:spacing w:after="0" w:line="17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4.1</w:t>
      </w:r>
      <w:r>
        <w:rPr>
          <w:sz w:val="20"/>
          <w:szCs w:val="20"/>
          <w:color w:val="auto"/>
        </w:rPr>
        <w:tab/>
      </w:r>
      <w:r>
        <w:rPr>
          <w:rFonts w:ascii="Arial" w:cs="Arial" w:eastAsia="Arial" w:hAnsi="Arial"/>
          <w:sz w:val="12"/>
          <w:szCs w:val="12"/>
          <w:b w:val="1"/>
          <w:bCs w:val="1"/>
          <w:color w:val="auto"/>
        </w:rPr>
        <w:t>Due Organization, Authorization; Power and Authority.</w:t>
      </w:r>
    </w:p>
    <w:p>
      <w:pPr>
        <w:spacing w:after="0" w:line="176" w:lineRule="exact"/>
        <w:rPr>
          <w:sz w:val="20"/>
          <w:szCs w:val="20"/>
          <w:color w:val="auto"/>
        </w:rPr>
      </w:pPr>
    </w:p>
    <w:p>
      <w:pPr>
        <w:jc w:val="both"/>
        <w:ind w:firstLine="973"/>
        <w:spacing w:after="0" w:line="278" w:lineRule="auto"/>
        <w:tabs>
          <w:tab w:leader="none" w:pos="1455" w:val="left"/>
        </w:tabs>
        <w:numPr>
          <w:ilvl w:val="0"/>
          <w:numId w:val="57"/>
        </w:numPr>
        <w:rPr>
          <w:rFonts w:ascii="Arial" w:cs="Arial" w:eastAsia="Arial" w:hAnsi="Arial"/>
          <w:sz w:val="13"/>
          <w:szCs w:val="13"/>
          <w:color w:val="auto"/>
        </w:rPr>
      </w:pPr>
      <w:r>
        <w:rPr>
          <w:rFonts w:ascii="Arial" w:cs="Arial" w:eastAsia="Arial" w:hAnsi="Arial"/>
          <w:sz w:val="13"/>
          <w:szCs w:val="13"/>
          <w:color w:val="auto"/>
        </w:rPr>
        <w:t>Borrower and each of its Subsidiaries are each duly existing and in good standing as a Registered Organization in their respective jurisdiction of formation and are qualified and licensed to do business and is in good standing in any other jurisdiction in which the conduct of their respective business or their ownership of property requires that they be qualified except where the failure to do so could not reasonably be expected to have a material adverse effect on Borrower’s business or operations.</w:t>
      </w:r>
    </w:p>
    <w:p>
      <w:pPr>
        <w:spacing w:after="0" w:line="128"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57"/>
        </w:numPr>
        <w:rPr>
          <w:rFonts w:ascii="Arial" w:cs="Arial" w:eastAsia="Arial" w:hAnsi="Arial"/>
          <w:sz w:val="13"/>
          <w:szCs w:val="13"/>
          <w:color w:val="auto"/>
        </w:rPr>
      </w:pPr>
      <w:r>
        <w:rPr>
          <w:rFonts w:ascii="Arial" w:cs="Arial" w:eastAsia="Arial" w:hAnsi="Arial"/>
          <w:sz w:val="13"/>
          <w:szCs w:val="13"/>
          <w:color w:val="auto"/>
        </w:rPr>
        <w:t>All information set forth on the Perfection Certificate pertaining to Borrower and each of its Subsidiaries is true and correct in all material respects (it being understood and agreed that Borrower may from time to time update certain information in the Perfection Certificate after the Effective Date to the extent permitted by one or more specific provisions in this Agreement and the Perfection Certificate shall be deemed to be updated to the extent such notice is provided to Bank of such permitted update).</w:t>
      </w:r>
    </w:p>
    <w:p>
      <w:pPr>
        <w:spacing w:after="0" w:line="128" w:lineRule="exact"/>
        <w:rPr>
          <w:rFonts w:ascii="Arial" w:cs="Arial" w:eastAsia="Arial" w:hAnsi="Arial"/>
          <w:sz w:val="13"/>
          <w:szCs w:val="13"/>
          <w:color w:val="auto"/>
        </w:rPr>
      </w:pPr>
    </w:p>
    <w:p>
      <w:pPr>
        <w:jc w:val="both"/>
        <w:ind w:firstLine="973"/>
        <w:spacing w:after="0" w:line="291" w:lineRule="auto"/>
        <w:tabs>
          <w:tab w:leader="none" w:pos="1455"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or any of its Subsidiaries is bound, or applicable consents or waivers have been obtained. Neither Borrower nor any of its Subsidiaries are in default under any material agreement to which it is a party or by which it is bound in which the default could reasonably be expected to have a material adverse effect on Borrower’s or any of its Subsidiary’s business or operations (taken as a whole).</w:t>
      </w:r>
    </w:p>
    <w:p>
      <w:pPr>
        <w:spacing w:after="0" w:line="12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4.2</w:t>
      </w:r>
      <w:r>
        <w:rPr>
          <w:sz w:val="20"/>
          <w:szCs w:val="20"/>
          <w:color w:val="auto"/>
        </w:rPr>
        <w:tab/>
      </w:r>
      <w:r>
        <w:rPr>
          <w:rFonts w:ascii="Arial" w:cs="Arial" w:eastAsia="Arial" w:hAnsi="Arial"/>
          <w:sz w:val="12"/>
          <w:szCs w:val="12"/>
          <w:b w:val="1"/>
          <w:bCs w:val="1"/>
          <w:color w:val="auto"/>
        </w:rPr>
        <w:t>Collateral.</w:t>
      </w:r>
    </w:p>
    <w:p>
      <w:pPr>
        <w:spacing w:after="0" w:line="176" w:lineRule="exact"/>
        <w:rPr>
          <w:sz w:val="20"/>
          <w:szCs w:val="20"/>
          <w:color w:val="auto"/>
        </w:rPr>
      </w:pPr>
    </w:p>
    <w:p>
      <w:pPr>
        <w:ind w:firstLine="973"/>
        <w:spacing w:after="0" w:line="296" w:lineRule="auto"/>
        <w:tabs>
          <w:tab w:leader="none" w:pos="1455"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Borrower has no Collateral Accounts at or with any bank or financial institution other than Bank or Bank’s Affiliates except for the Collateral Accounts described in the Perfection</w:t>
      </w:r>
    </w:p>
    <w:p>
      <w:pPr>
        <w:spacing w:after="0" w:line="3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Certificate delivered to</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1100" w:right="319" w:bottom="1440" w:gutter="0" w:footer="0" w:header="0"/>
        </w:sectPr>
      </w:pPr>
    </w:p>
    <w:bookmarkStart w:id="77" w:name="page78"/>
    <w:bookmarkEnd w:id="77"/>
    <w:p>
      <w:pPr>
        <w:spacing w:after="0" w:line="296" w:lineRule="auto"/>
        <w:rPr>
          <w:sz w:val="20"/>
          <w:szCs w:val="20"/>
          <w:color w:val="auto"/>
        </w:rPr>
      </w:pPr>
      <w:r>
        <w:rPr>
          <w:rFonts w:ascii="Arial" w:cs="Arial" w:eastAsia="Arial" w:hAnsi="Arial"/>
          <w:sz w:val="13"/>
          <w:szCs w:val="13"/>
          <w:color w:val="auto"/>
        </w:rPr>
        <w:t>Bank in connection herewith and which Borrower has taken such actions as are necessary to give Bank a perfected security interest therein, to the extent that perfection is required pursuant to the terms of Section 5.9(c). The Accounts are bona fide, existing obligations of the Account Debtors.</w:t>
      </w:r>
    </w:p>
    <w:p>
      <w:pPr>
        <w:spacing w:after="0" w:line="117" w:lineRule="exact"/>
        <w:rPr>
          <w:sz w:val="20"/>
          <w:szCs w:val="20"/>
          <w:color w:val="auto"/>
        </w:rPr>
      </w:pPr>
    </w:p>
    <w:p>
      <w:pPr>
        <w:jc w:val="both"/>
        <w:ind w:firstLine="973"/>
        <w:spacing w:after="0" w:line="278" w:lineRule="auto"/>
        <w:tabs>
          <w:tab w:leader="none" w:pos="1455"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Collateral is not in the possession of any third party bailee (such as a warehouse) except as otherwise provided in the Perfection Certificate or as permitted pursuant to Section 6.2 (other than laptops and other portable electronic items used in the ordinary course of business). None of the components of the Collateral shall be maintained at locations other than as provided in the Perfection Certificate or as permitted pursuant to Section 6.2 (other than laptops and other portable electronic items used in the ordinary course of business).</w:t>
      </w:r>
    </w:p>
    <w:p>
      <w:pPr>
        <w:spacing w:after="0" w:line="128" w:lineRule="exact"/>
        <w:rPr>
          <w:rFonts w:ascii="Arial" w:cs="Arial" w:eastAsia="Arial" w:hAnsi="Arial"/>
          <w:sz w:val="13"/>
          <w:szCs w:val="13"/>
          <w:color w:val="auto"/>
        </w:rPr>
      </w:pPr>
    </w:p>
    <w:p>
      <w:pPr>
        <w:ind w:left="1460" w:hanging="487"/>
        <w:spacing w:after="0"/>
        <w:tabs>
          <w:tab w:leader="none" w:pos="14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All Inventory is in all material respects of good and marketable quality, free from material defects.</w:t>
      </w:r>
    </w:p>
    <w:p>
      <w:pPr>
        <w:spacing w:after="0" w:line="174" w:lineRule="exact"/>
        <w:rPr>
          <w:rFonts w:ascii="Arial" w:cs="Arial" w:eastAsia="Arial" w:hAnsi="Arial"/>
          <w:sz w:val="13"/>
          <w:szCs w:val="13"/>
          <w:color w:val="auto"/>
        </w:rPr>
      </w:pPr>
    </w:p>
    <w:p>
      <w:pPr>
        <w:jc w:val="both"/>
        <w:ind w:firstLine="973"/>
        <w:spacing w:after="0" w:line="272" w:lineRule="auto"/>
        <w:tabs>
          <w:tab w:leader="none" w:pos="1455" w:val="left"/>
        </w:tabs>
        <w:numPr>
          <w:ilvl w:val="0"/>
          <w:numId w:val="59"/>
        </w:numPr>
        <w:rPr>
          <w:rFonts w:ascii="Arial" w:cs="Arial" w:eastAsia="Arial" w:hAnsi="Arial"/>
          <w:sz w:val="13"/>
          <w:szCs w:val="13"/>
          <w:color w:val="auto"/>
        </w:rPr>
      </w:pPr>
      <w:r>
        <w:rPr>
          <w:rFonts w:ascii="Arial" w:cs="Arial" w:eastAsia="Arial" w:hAnsi="Arial"/>
          <w:sz w:val="13"/>
          <w:szCs w:val="13"/>
          <w:color w:val="auto"/>
        </w:rPr>
        <w:t>Borrower owns, or possesses the right to use to the extent reasonably necessary in its business, all Intellectual Property, licenses and other intangible assets that are used in the conduct of its business operations as now operated, except to the extent that such failure to own or possess the right to use such asset would not reasonably be expected to have a material adverse effect on Borrower’s business or operations, and no such asset, to the best knowledge of Borrower, conflicts with the valid Intellectual Property, license, or intangible asset of any other Person to the extent that such conflict could reasonably be expected to have a material adverse effect on Borrower’s business or operations.</w:t>
      </w:r>
    </w:p>
    <w:p>
      <w:pPr>
        <w:spacing w:after="0" w:line="132" w:lineRule="exact"/>
        <w:rPr>
          <w:rFonts w:ascii="Arial" w:cs="Arial" w:eastAsia="Arial" w:hAnsi="Arial"/>
          <w:sz w:val="13"/>
          <w:szCs w:val="13"/>
          <w:color w:val="auto"/>
        </w:rPr>
      </w:pPr>
    </w:p>
    <w:p>
      <w:pPr>
        <w:ind w:firstLine="973"/>
        <w:spacing w:after="0" w:line="296" w:lineRule="auto"/>
        <w:tabs>
          <w:tab w:leader="none" w:pos="1451" w:val="left"/>
        </w:tabs>
        <w:numPr>
          <w:ilvl w:val="0"/>
          <w:numId w:val="59"/>
        </w:numPr>
        <w:rPr>
          <w:rFonts w:ascii="Arial" w:cs="Arial" w:eastAsia="Arial" w:hAnsi="Arial"/>
          <w:sz w:val="13"/>
          <w:szCs w:val="13"/>
          <w:color w:val="auto"/>
        </w:rPr>
      </w:pPr>
      <w:r>
        <w:rPr>
          <w:rFonts w:ascii="Arial" w:cs="Arial" w:eastAsia="Arial" w:hAnsi="Arial"/>
          <w:sz w:val="13"/>
          <w:szCs w:val="13"/>
          <w:color w:val="auto"/>
        </w:rPr>
        <w:t>Except as noted on the Perfection Certificate (as updated from time to time in accordance with this Agreement) or for which notice has been given to Bank pursuant to and in accordance with Section 5.11(b), Borrower is not a party to, nor is it bound by, any Restricted License.</w:t>
      </w:r>
    </w:p>
    <w:p>
      <w:pPr>
        <w:spacing w:after="0" w:line="115"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4.3</w:t>
      </w:r>
      <w:r>
        <w:rPr>
          <w:sz w:val="20"/>
          <w:szCs w:val="20"/>
          <w:color w:val="auto"/>
        </w:rPr>
        <w:tab/>
      </w:r>
      <w:r>
        <w:rPr>
          <w:rFonts w:ascii="Arial" w:cs="Arial" w:eastAsia="Arial" w:hAnsi="Arial"/>
          <w:sz w:val="12"/>
          <w:szCs w:val="12"/>
          <w:b w:val="1"/>
          <w:bCs w:val="1"/>
          <w:color w:val="auto"/>
        </w:rPr>
        <w:t>Reserved.</w:t>
      </w:r>
    </w:p>
    <w:p>
      <w:pPr>
        <w:spacing w:after="0" w:line="17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b w:val="1"/>
          <w:bCs w:val="1"/>
          <w:color w:val="auto"/>
        </w:rPr>
        <w:t xml:space="preserve">4.4 Litigation. </w:t>
      </w:r>
      <w:r>
        <w:rPr>
          <w:rFonts w:ascii="Arial" w:cs="Arial" w:eastAsia="Arial" w:hAnsi="Arial"/>
          <w:sz w:val="13"/>
          <w:szCs w:val="13"/>
          <w:color w:val="auto"/>
        </w:rPr>
        <w:t>Other than as set forth on the Perfection Certificate delivered around the Effective Date, and as disclosed to Bank pursuant to Section 5.3, there are no actions, investigations or</w:t>
      </w:r>
      <w:r>
        <w:rPr>
          <w:rFonts w:ascii="Arial" w:cs="Arial" w:eastAsia="Arial" w:hAnsi="Arial"/>
          <w:sz w:val="13"/>
          <w:szCs w:val="13"/>
          <w:b w:val="1"/>
          <w:bCs w:val="1"/>
          <w:color w:val="auto"/>
        </w:rPr>
        <w:t xml:space="preserve"> </w:t>
      </w:r>
      <w:r>
        <w:rPr>
          <w:rFonts w:ascii="Arial" w:cs="Arial" w:eastAsia="Arial" w:hAnsi="Arial"/>
          <w:sz w:val="13"/>
          <w:szCs w:val="13"/>
          <w:color w:val="auto"/>
        </w:rPr>
        <w:t>proceedings pending or, to the knowledge of any Responsible Officer, threatened in writing by or against Borrower or any of its Subsidiaries that could reasonably be expected to result in liability of more than, individually or in the aggregate, Seven Hundred Fifty Thousand Dollars ($750,000).</w:t>
      </w:r>
    </w:p>
    <w:p>
      <w:pPr>
        <w:spacing w:after="0" w:line="12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2"/>
          <w:szCs w:val="12"/>
          <w:b w:val="1"/>
          <w:bCs w:val="1"/>
          <w:color w:val="auto"/>
        </w:rPr>
        <w:t xml:space="preserve">4.5 Financial Statements; Financial Condition. </w:t>
      </w:r>
      <w:r>
        <w:rPr>
          <w:rFonts w:ascii="Arial" w:cs="Arial" w:eastAsia="Arial" w:hAnsi="Arial"/>
          <w:sz w:val="12"/>
          <w:szCs w:val="12"/>
          <w:color w:val="auto"/>
        </w:rPr>
        <w:t>All consolidated financial statements for Borrower and any of its Subsidiaries delivered to Bank by submission to the Financial Statement</w:t>
      </w:r>
      <w:r>
        <w:rPr>
          <w:rFonts w:ascii="Arial" w:cs="Arial" w:eastAsia="Arial" w:hAnsi="Arial"/>
          <w:sz w:val="12"/>
          <w:szCs w:val="12"/>
          <w:b w:val="1"/>
          <w:bCs w:val="1"/>
          <w:color w:val="auto"/>
        </w:rPr>
        <w:t xml:space="preserve"> </w:t>
      </w:r>
      <w:r>
        <w:rPr>
          <w:rFonts w:ascii="Arial" w:cs="Arial" w:eastAsia="Arial" w:hAnsi="Arial"/>
          <w:sz w:val="12"/>
          <w:szCs w:val="12"/>
          <w:color w:val="auto"/>
        </w:rPr>
        <w:t>Repository or otherwise submitted to Bank fairly present in all material respects Borrower’s consolidated financial condition and Borrower’s consolidated results of operations as of the dates thereof and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w:t>
      </w:r>
    </w:p>
    <w:p>
      <w:pPr>
        <w:spacing w:after="0" w:line="115" w:lineRule="exact"/>
        <w:rPr>
          <w:sz w:val="20"/>
          <w:szCs w:val="20"/>
          <w:color w:val="auto"/>
        </w:rPr>
      </w:pPr>
    </w:p>
    <w:p>
      <w:pPr>
        <w:jc w:val="both"/>
        <w:ind w:firstLine="486"/>
        <w:spacing w:after="0" w:line="344" w:lineRule="auto"/>
        <w:rPr>
          <w:sz w:val="20"/>
          <w:szCs w:val="20"/>
          <w:color w:val="auto"/>
        </w:rPr>
      </w:pPr>
      <w:r>
        <w:rPr>
          <w:rFonts w:ascii="Arial" w:cs="Arial" w:eastAsia="Arial" w:hAnsi="Arial"/>
          <w:sz w:val="12"/>
          <w:szCs w:val="12"/>
          <w:b w:val="1"/>
          <w:bCs w:val="1"/>
          <w:color w:val="auto"/>
        </w:rPr>
        <w:t xml:space="preserve">4.6 Solvency. </w:t>
      </w:r>
      <w:r>
        <w:rPr>
          <w:rFonts w:ascii="Arial" w:cs="Arial" w:eastAsia="Arial" w:hAnsi="Arial"/>
          <w:sz w:val="12"/>
          <w:szCs w:val="12"/>
          <w:color w:val="auto"/>
        </w:rPr>
        <w:t>The fair salable value of Borrower’s consolidated assets (including goodwill minus disposition costs) exceeds the fair value of Borrower’s liabilities; Borrower is not left with</w:t>
      </w:r>
      <w:r>
        <w:rPr>
          <w:rFonts w:ascii="Arial" w:cs="Arial" w:eastAsia="Arial" w:hAnsi="Arial"/>
          <w:sz w:val="12"/>
          <w:szCs w:val="12"/>
          <w:b w:val="1"/>
          <w:bCs w:val="1"/>
          <w:color w:val="auto"/>
        </w:rPr>
        <w:t xml:space="preserve"> </w:t>
      </w:r>
      <w:r>
        <w:rPr>
          <w:rFonts w:ascii="Arial" w:cs="Arial" w:eastAsia="Arial" w:hAnsi="Arial"/>
          <w:sz w:val="12"/>
          <w:szCs w:val="12"/>
          <w:color w:val="auto"/>
        </w:rPr>
        <w:t>unreasonably small capital after the transactions in this Agreement; and Borrower and Borrower and each of its Subsidiaries (taken as a whole) are able to pay their debts (including trade debts) as they mature.</w:t>
      </w:r>
    </w:p>
    <w:p>
      <w:pPr>
        <w:spacing w:after="0" w:line="90"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2"/>
          <w:szCs w:val="12"/>
          <w:b w:val="1"/>
          <w:bCs w:val="1"/>
          <w:color w:val="auto"/>
        </w:rPr>
        <w:t xml:space="preserve">4.7 Regulatory Compliance. </w:t>
      </w:r>
      <w:r>
        <w:rPr>
          <w:rFonts w:ascii="Arial" w:cs="Arial" w:eastAsia="Arial" w:hAnsi="Arial"/>
          <w:sz w:val="12"/>
          <w:szCs w:val="12"/>
          <w:color w:val="auto"/>
        </w:rPr>
        <w:t>Borrower is not an “investment company” or a company “controlled” by an “investment company” under the Investment Company Act of 1940, as amended.</w:t>
      </w:r>
      <w:r>
        <w:rPr>
          <w:rFonts w:ascii="Arial" w:cs="Arial" w:eastAsia="Arial" w:hAnsi="Arial"/>
          <w:sz w:val="12"/>
          <w:szCs w:val="12"/>
          <w:b w:val="1"/>
          <w:bCs w:val="1"/>
          <w:color w:val="auto"/>
        </w:rPr>
        <w:t xml:space="preserve"> </w:t>
      </w:r>
      <w:r>
        <w:rPr>
          <w:rFonts w:ascii="Arial" w:cs="Arial" w:eastAsia="Arial" w:hAnsi="Arial"/>
          <w:sz w:val="12"/>
          <w:szCs w:val="12"/>
          <w:color w:val="auto"/>
        </w:rPr>
        <w:t>Borrower is not engaged as one of its important activities in extending credit for margin stock (under Regulations X, T and U of the Federal Reserve Board of Governors). Borrower and each of its Subsidiaries</w:t>
      </w:r>
    </w:p>
    <w:p>
      <w:pPr>
        <w:ind w:firstLine="1"/>
        <w:spacing w:after="0" w:line="280" w:lineRule="auto"/>
        <w:tabs>
          <w:tab w:leader="none" w:pos="195" w:val="left"/>
        </w:tabs>
        <w:numPr>
          <w:ilvl w:val="0"/>
          <w:numId w:val="60"/>
        </w:numPr>
        <w:rPr>
          <w:rFonts w:ascii="Arial" w:cs="Arial" w:eastAsia="Arial" w:hAnsi="Arial"/>
          <w:sz w:val="13"/>
          <w:szCs w:val="13"/>
          <w:color w:val="auto"/>
        </w:rPr>
      </w:pPr>
      <w:r>
        <w:rPr>
          <w:rFonts w:ascii="Arial" w:cs="Arial" w:eastAsia="Arial" w:hAnsi="Arial"/>
          <w:sz w:val="13"/>
          <w:szCs w:val="13"/>
          <w:color w:val="auto"/>
        </w:rPr>
        <w:t>have complied in all material respects with all Applicable Law, and (b) have not violated any Applicable Law the violation of which could reasonably be expected to have a material adverse effect on Borrower’s business or operations. Borrower and each of its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1100" w:right="319" w:bottom="1440" w:gutter="0" w:footer="0" w:header="0"/>
        </w:sectPr>
      </w:pPr>
    </w:p>
    <w:bookmarkStart w:id="78" w:name="page79"/>
    <w:bookmarkEnd w:id="78"/>
    <w:p>
      <w:pPr>
        <w:jc w:val="both"/>
        <w:spacing w:after="0" w:line="296" w:lineRule="auto"/>
        <w:rPr>
          <w:sz w:val="20"/>
          <w:szCs w:val="20"/>
          <w:color w:val="auto"/>
        </w:rPr>
      </w:pPr>
      <w:r>
        <w:rPr>
          <w:rFonts w:ascii="Arial" w:cs="Arial" w:eastAsia="Arial" w:hAnsi="Arial"/>
          <w:sz w:val="12"/>
          <w:szCs w:val="12"/>
          <w:color w:val="auto"/>
        </w:rPr>
        <w:t>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obtain or make or file the same would not reasonably be expected to have a material adverse effect on Borrower’s business or operations.</w:t>
      </w:r>
    </w:p>
    <w:p>
      <w:pPr>
        <w:spacing w:after="0" w:line="119"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4.8</w:t>
      </w:r>
      <w:r>
        <w:rPr>
          <w:sz w:val="20"/>
          <w:szCs w:val="20"/>
          <w:color w:val="auto"/>
        </w:rPr>
        <w:tab/>
      </w:r>
      <w:r>
        <w:rPr>
          <w:rFonts w:ascii="Arial" w:cs="Arial" w:eastAsia="Arial" w:hAnsi="Arial"/>
          <w:sz w:val="12"/>
          <w:szCs w:val="12"/>
          <w:b w:val="1"/>
          <w:bCs w:val="1"/>
          <w:color w:val="auto"/>
        </w:rPr>
        <w:t xml:space="preserve">Subsidiaries; Investments. </w:t>
      </w:r>
      <w:r>
        <w:rPr>
          <w:rFonts w:ascii="Arial" w:cs="Arial" w:eastAsia="Arial" w:hAnsi="Arial"/>
          <w:sz w:val="12"/>
          <w:szCs w:val="12"/>
          <w:color w:val="auto"/>
        </w:rPr>
        <w:t>Borrower does not own any stock, partnership, or other ownership interest or other equity securities except for Permitted Investments.</w:t>
      </w:r>
    </w:p>
    <w:p>
      <w:pPr>
        <w:spacing w:after="0" w:line="17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4.9</w:t>
      </w:r>
      <w:r>
        <w:rPr>
          <w:sz w:val="20"/>
          <w:szCs w:val="20"/>
          <w:color w:val="auto"/>
        </w:rPr>
        <w:tab/>
      </w:r>
      <w:r>
        <w:rPr>
          <w:rFonts w:ascii="Arial" w:cs="Arial" w:eastAsia="Arial" w:hAnsi="Arial"/>
          <w:sz w:val="12"/>
          <w:szCs w:val="12"/>
          <w:b w:val="1"/>
          <w:bCs w:val="1"/>
          <w:color w:val="auto"/>
        </w:rPr>
        <w:t>Tax Returns and Payments; Pension Contributions.</w:t>
      </w:r>
    </w:p>
    <w:p>
      <w:pPr>
        <w:spacing w:after="0" w:line="176" w:lineRule="exact"/>
        <w:rPr>
          <w:sz w:val="20"/>
          <w:szCs w:val="20"/>
          <w:color w:val="auto"/>
        </w:rPr>
      </w:pPr>
    </w:p>
    <w:p>
      <w:pPr>
        <w:jc w:val="both"/>
        <w:ind w:firstLine="973"/>
        <w:spacing w:after="0" w:line="267" w:lineRule="auto"/>
        <w:tabs>
          <w:tab w:leader="none" w:pos="1455" w:val="left"/>
        </w:tabs>
        <w:numPr>
          <w:ilvl w:val="0"/>
          <w:numId w:val="61"/>
        </w:numPr>
        <w:rPr>
          <w:rFonts w:ascii="Arial" w:cs="Arial" w:eastAsia="Arial" w:hAnsi="Arial"/>
          <w:sz w:val="13"/>
          <w:szCs w:val="13"/>
          <w:color w:val="auto"/>
        </w:rPr>
      </w:pPr>
      <w:r>
        <w:rPr>
          <w:rFonts w:ascii="Arial" w:cs="Arial" w:eastAsia="Arial" w:hAnsi="Arial"/>
          <w:sz w:val="13"/>
          <w:szCs w:val="13"/>
          <w:color w:val="auto"/>
        </w:rPr>
        <w:t>Borrower and each of its Subsidiaries have timely filed, or submitted extensions for, all required tax returns and reports, and Borrower and each of its Subsidiaries have timely paid, or submitted extensions for, all foreign, federal, state and local taxes, assessments, deposits and contributions owed by Borrower and each of its Subsidiaries except (i) to the extent such taxes are being contested in good faith by appropriate proceedings promptly instituted and diligently conducted, so long as such reserve or other appropriate provision, if any, as shall be required in conformity with GAAP shall have been made therefor, or (ii) if such taxes, assessments, deposits and contributions do not, individually or in the aggregate, exceed Fifty Thousand Dollars ($50,000). Borrower is unaware of any claims or adjustments proposed for any of Borrower’s or any of its Subsidiary’s prior tax years which could result in additional taxes becoming due and payable by Borrower or any of its Subsidiaries in excess of Fifty Thousand Dollars ($50,000) in the aggregate.</w:t>
      </w:r>
    </w:p>
    <w:p>
      <w:pPr>
        <w:spacing w:after="0" w:line="135" w:lineRule="exact"/>
        <w:rPr>
          <w:rFonts w:ascii="Arial" w:cs="Arial" w:eastAsia="Arial" w:hAnsi="Arial"/>
          <w:sz w:val="13"/>
          <w:szCs w:val="13"/>
          <w:color w:val="auto"/>
        </w:rPr>
      </w:pPr>
    </w:p>
    <w:p>
      <w:pPr>
        <w:jc w:val="both"/>
        <w:ind w:firstLine="973"/>
        <w:spacing w:after="0" w:line="272" w:lineRule="auto"/>
        <w:tabs>
          <w:tab w:leader="none" w:pos="1453" w:val="left"/>
        </w:tabs>
        <w:numPr>
          <w:ilvl w:val="0"/>
          <w:numId w:val="61"/>
        </w:numPr>
        <w:rPr>
          <w:rFonts w:ascii="Arial" w:cs="Arial" w:eastAsia="Arial" w:hAnsi="Arial"/>
          <w:sz w:val="13"/>
          <w:szCs w:val="13"/>
          <w:color w:val="auto"/>
        </w:rPr>
      </w:pPr>
      <w:r>
        <w:rPr>
          <w:rFonts w:ascii="Arial" w:cs="Arial" w:eastAsia="Arial" w:hAnsi="Arial"/>
          <w:sz w:val="13"/>
          <w:szCs w:val="13"/>
          <w:color w:val="auto"/>
        </w:rPr>
        <w:t>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material liability of Borrower or any of its Subsidiaries, including any liability to the Pension Benefit Guaranty Corporation or its successors or any other Governmental Authority.</w:t>
      </w:r>
    </w:p>
    <w:p>
      <w:pPr>
        <w:spacing w:after="0" w:line="130"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3"/>
          <w:szCs w:val="13"/>
          <w:b w:val="1"/>
          <w:bCs w:val="1"/>
          <w:color w:val="auto"/>
        </w:rPr>
        <w:t xml:space="preserve">4.10 Full Disclosure. </w:t>
      </w:r>
      <w:r>
        <w:rPr>
          <w:rFonts w:ascii="Arial" w:cs="Arial" w:eastAsia="Arial" w:hAnsi="Arial"/>
          <w:sz w:val="13"/>
          <w:szCs w:val="13"/>
          <w:color w:val="auto"/>
        </w:rPr>
        <w:t>No written representation, warranty or other statement of Borrower or any of its Subsidiaries in any report, certificate or written statement submitted to the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Statement Repository or otherwise submitted to Bank, as of the date such representation, warranty, or other statement was made, taken together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3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3"/>
          <w:szCs w:val="13"/>
          <w:b w:val="1"/>
          <w:bCs w:val="1"/>
          <w:color w:val="auto"/>
        </w:rPr>
        <w:t>4.11 Sanctions</w:t>
      </w:r>
      <w:r>
        <w:rPr>
          <w:rFonts w:ascii="Arial" w:cs="Arial" w:eastAsia="Arial" w:hAnsi="Arial"/>
          <w:sz w:val="13"/>
          <w:szCs w:val="13"/>
          <w:color w:val="auto"/>
        </w:rPr>
        <w:t>. Neither Borrower nor any of its Subsidiaries is: (a) in violation of any Sanctions; or (b) a Sanctioned Person. Neither Borrower nor any of its Subsidiaries, or, to Borrower’s</w:t>
      </w:r>
      <w:r>
        <w:rPr>
          <w:rFonts w:ascii="Arial" w:cs="Arial" w:eastAsia="Arial" w:hAnsi="Arial"/>
          <w:sz w:val="13"/>
          <w:szCs w:val="13"/>
          <w:b w:val="1"/>
          <w:bCs w:val="1"/>
          <w:color w:val="auto"/>
        </w:rPr>
        <w:t xml:space="preserve"> </w:t>
      </w:r>
      <w:r>
        <w:rPr>
          <w:rFonts w:ascii="Arial" w:cs="Arial" w:eastAsia="Arial" w:hAnsi="Arial"/>
          <w:sz w:val="13"/>
          <w:szCs w:val="13"/>
          <w:color w:val="auto"/>
        </w:rPr>
        <w:t>knowledge, its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1100" w:right="319" w:bottom="1440" w:gutter="0" w:footer="0" w:header="0"/>
        </w:sectPr>
      </w:pPr>
    </w:p>
    <w:bookmarkStart w:id="79" w:name="page80"/>
    <w:bookmarkEnd w:id="79"/>
    <w:p>
      <w:pPr>
        <w:ind w:left="980" w:hanging="493"/>
        <w:spacing w:after="0"/>
        <w:tabs>
          <w:tab w:leader="none" w:pos="98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AFFIRMATIVE COVENANTS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Borrower shall do all of the following:</w:t>
      </w:r>
    </w:p>
    <w:p>
      <w:pPr>
        <w:spacing w:after="0" w:line="172" w:lineRule="exact"/>
        <w:rPr>
          <w:sz w:val="20"/>
          <w:szCs w:val="20"/>
          <w:color w:val="auto"/>
        </w:rPr>
      </w:pPr>
    </w:p>
    <w:p>
      <w:pPr>
        <w:ind w:firstLine="486"/>
        <w:spacing w:after="0" w:line="299" w:lineRule="auto"/>
        <w:rPr>
          <w:sz w:val="20"/>
          <w:szCs w:val="20"/>
          <w:color w:val="auto"/>
        </w:rPr>
      </w:pPr>
      <w:r>
        <w:rPr>
          <w:rFonts w:ascii="Arial" w:cs="Arial" w:eastAsia="Arial" w:hAnsi="Arial"/>
          <w:sz w:val="13"/>
          <w:szCs w:val="13"/>
          <w:b w:val="1"/>
          <w:bCs w:val="1"/>
          <w:color w:val="auto"/>
        </w:rPr>
        <w:t xml:space="preserve">5.1 Use of Proceeds. </w:t>
      </w:r>
      <w:r>
        <w:rPr>
          <w:rFonts w:ascii="Arial" w:cs="Arial" w:eastAsia="Arial" w:hAnsi="Arial"/>
          <w:sz w:val="13"/>
          <w:szCs w:val="13"/>
          <w:color w:val="auto"/>
        </w:rPr>
        <w:t>Cause the proceeds of the Credit Extensions to be used solely (a) as working capital, (b) to fund its general business purposes, or (c) repayment and payoff of Solar Capital</w:t>
      </w:r>
      <w:r>
        <w:rPr>
          <w:rFonts w:ascii="Arial" w:cs="Arial" w:eastAsia="Arial" w:hAnsi="Arial"/>
          <w:sz w:val="13"/>
          <w:szCs w:val="13"/>
          <w:b w:val="1"/>
          <w:bCs w:val="1"/>
          <w:color w:val="auto"/>
        </w:rPr>
        <w:t xml:space="preserve"> </w:t>
      </w:r>
      <w:r>
        <w:rPr>
          <w:rFonts w:ascii="Arial" w:cs="Arial" w:eastAsia="Arial" w:hAnsi="Arial"/>
          <w:sz w:val="13"/>
          <w:szCs w:val="13"/>
          <w:color w:val="auto"/>
        </w:rPr>
        <w:t>and not for personal, family, household or agricultural purposes.</w:t>
      </w:r>
    </w:p>
    <w:p>
      <w:pPr>
        <w:spacing w:after="0" w:line="113"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2"/>
          <w:szCs w:val="12"/>
          <w:b w:val="1"/>
          <w:bCs w:val="1"/>
          <w:color w:val="auto"/>
        </w:rPr>
        <w:t>Government Compliance.</w:t>
      </w:r>
    </w:p>
    <w:p>
      <w:pPr>
        <w:spacing w:after="0" w:line="176" w:lineRule="exact"/>
        <w:rPr>
          <w:sz w:val="20"/>
          <w:szCs w:val="20"/>
          <w:color w:val="auto"/>
        </w:rPr>
      </w:pPr>
    </w:p>
    <w:p>
      <w:pPr>
        <w:jc w:val="both"/>
        <w:ind w:firstLine="973"/>
        <w:spacing w:after="0" w:line="278" w:lineRule="auto"/>
        <w:tabs>
          <w:tab w:leader="none" w:pos="1455" w:val="left"/>
        </w:tabs>
        <w:numPr>
          <w:ilvl w:val="0"/>
          <w:numId w:val="63"/>
        </w:numPr>
        <w:rPr>
          <w:rFonts w:ascii="Arial" w:cs="Arial" w:eastAsia="Arial" w:hAnsi="Arial"/>
          <w:sz w:val="13"/>
          <w:szCs w:val="13"/>
          <w:color w:val="auto"/>
        </w:rPr>
      </w:pPr>
      <w:r>
        <w:rPr>
          <w:rFonts w:ascii="Arial" w:cs="Arial" w:eastAsia="Arial" w:hAnsi="Arial"/>
          <w:sz w:val="13"/>
          <w:szCs w:val="13"/>
          <w:color w:val="auto"/>
        </w:rPr>
        <w:t>Maintain its and all of its Subsidiaries’ legal existence (except as permitted under Section 6.3 with respect to Subsidiaries only)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material laws, ordinances and regulations to which it is subject.</w:t>
      </w:r>
    </w:p>
    <w:p>
      <w:pPr>
        <w:spacing w:after="0" w:line="128" w:lineRule="exact"/>
        <w:rPr>
          <w:rFonts w:ascii="Arial" w:cs="Arial" w:eastAsia="Arial" w:hAnsi="Arial"/>
          <w:sz w:val="13"/>
          <w:szCs w:val="13"/>
          <w:color w:val="auto"/>
        </w:rPr>
      </w:pPr>
    </w:p>
    <w:p>
      <w:pPr>
        <w:ind w:firstLine="973"/>
        <w:spacing w:after="0" w:line="296" w:lineRule="auto"/>
        <w:tabs>
          <w:tab w:leader="none" w:pos="1453" w:val="left"/>
        </w:tabs>
        <w:numPr>
          <w:ilvl w:val="0"/>
          <w:numId w:val="63"/>
        </w:numPr>
        <w:rPr>
          <w:rFonts w:ascii="Arial" w:cs="Arial" w:eastAsia="Arial" w:hAnsi="Arial"/>
          <w:sz w:val="13"/>
          <w:szCs w:val="13"/>
          <w:color w:val="auto"/>
        </w:rPr>
      </w:pPr>
      <w:r>
        <w:rPr>
          <w:rFonts w:ascii="Arial" w:cs="Arial" w:eastAsia="Arial" w:hAnsi="Arial"/>
          <w:sz w:val="13"/>
          <w:szCs w:val="13"/>
          <w:color w:val="auto"/>
        </w:rPr>
        <w:t>Obtain all of the Governmental Approvals necessary for the performance by Borrower and each of its Subsidiaries of their obligations under the Loan Documents to which it is a party, including any grant of a security interest in the Collateral to Bank. Borrower shall promptly provide copies of any such obtained Governmental Approvals to Bank upon Bank’s request.</w:t>
      </w:r>
    </w:p>
    <w:p>
      <w:pPr>
        <w:spacing w:after="0" w:line="115"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5.3</w:t>
      </w:r>
      <w:r>
        <w:rPr>
          <w:sz w:val="20"/>
          <w:szCs w:val="20"/>
          <w:color w:val="auto"/>
        </w:rPr>
        <w:tab/>
      </w:r>
      <w:r>
        <w:rPr>
          <w:rFonts w:ascii="Arial" w:cs="Arial" w:eastAsia="Arial" w:hAnsi="Arial"/>
          <w:sz w:val="12"/>
          <w:szCs w:val="12"/>
          <w:b w:val="1"/>
          <w:bCs w:val="1"/>
          <w:color w:val="auto"/>
        </w:rPr>
        <w:t xml:space="preserve">Financial Statements, Reports. </w:t>
      </w:r>
      <w:r>
        <w:rPr>
          <w:rFonts w:ascii="Arial" w:cs="Arial" w:eastAsia="Arial" w:hAnsi="Arial"/>
          <w:sz w:val="12"/>
          <w:szCs w:val="12"/>
          <w:color w:val="auto"/>
        </w:rPr>
        <w:t>Deliver to Bank by submitting to the Financial Statement Repository:</w:t>
      </w:r>
    </w:p>
    <w:p>
      <w:pPr>
        <w:spacing w:after="0" w:line="176" w:lineRule="exact"/>
        <w:rPr>
          <w:sz w:val="20"/>
          <w:szCs w:val="20"/>
          <w:color w:val="auto"/>
        </w:rPr>
      </w:pPr>
    </w:p>
    <w:p>
      <w:pPr>
        <w:jc w:val="both"/>
        <w:ind w:firstLine="973"/>
        <w:spacing w:after="0" w:line="278" w:lineRule="auto"/>
        <w:tabs>
          <w:tab w:leader="none" w:pos="1455"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Quarterly Financial Statements</w:t>
      </w:r>
      <w:r>
        <w:rPr>
          <w:rFonts w:ascii="Arial" w:cs="Arial" w:eastAsia="Arial" w:hAnsi="Arial"/>
          <w:sz w:val="13"/>
          <w:szCs w:val="13"/>
          <w:color w:val="auto"/>
        </w:rPr>
        <w:t>. No later than forty-five (45) days after the last day of each of the first three fiscal quarters of Borrower’s fiscal year, a company prepared consolidated and consolidating balance sheet and income statement covering Borrower’s and each of its Subsidiary’s operations for such quarter in a form reasonably acceptable to Bank (the “</w:t>
      </w:r>
      <w:r>
        <w:rPr>
          <w:rFonts w:ascii="Arial" w:cs="Arial" w:eastAsia="Arial" w:hAnsi="Arial"/>
          <w:sz w:val="13"/>
          <w:szCs w:val="13"/>
          <w:b w:val="1"/>
          <w:bCs w:val="1"/>
          <w:color w:val="auto"/>
        </w:rPr>
        <w:t>Quarterly</w:t>
      </w:r>
      <w:r>
        <w:rPr>
          <w:rFonts w:ascii="Arial" w:cs="Arial" w:eastAsia="Arial" w:hAnsi="Arial"/>
          <w:sz w:val="13"/>
          <w:szCs w:val="13"/>
          <w:color w:val="auto"/>
        </w:rPr>
        <w:t xml:space="preserve"> </w:t>
      </w:r>
      <w:r>
        <w:rPr>
          <w:rFonts w:ascii="Arial" w:cs="Arial" w:eastAsia="Arial" w:hAnsi="Arial"/>
          <w:sz w:val="13"/>
          <w:szCs w:val="13"/>
          <w:b w:val="1"/>
          <w:bCs w:val="1"/>
          <w:color w:val="auto"/>
        </w:rPr>
        <w:t>Financial Statements</w:t>
      </w:r>
      <w:r>
        <w:rPr>
          <w:rFonts w:ascii="Arial" w:cs="Arial" w:eastAsia="Arial" w:hAnsi="Arial"/>
          <w:sz w:val="13"/>
          <w:szCs w:val="13"/>
          <w:color w:val="auto"/>
        </w:rPr>
        <w:t>”); provided that year-end Quarterly Financial Statements shall be delivered no later than ninety (90) days after the last day of each fiscal year of Borrower;</w:t>
      </w:r>
    </w:p>
    <w:p>
      <w:pPr>
        <w:spacing w:after="0" w:line="128"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Compliance Statement</w:t>
      </w:r>
      <w:r>
        <w:rPr>
          <w:rFonts w:ascii="Arial" w:cs="Arial" w:eastAsia="Arial" w:hAnsi="Arial"/>
          <w:sz w:val="13"/>
          <w:szCs w:val="13"/>
          <w:color w:val="auto"/>
        </w:rPr>
        <w:t>. Within forty-five (45) days after the last day of each of the first three fiscal quarters of Borrower (and no later than ninety (90) days after the last day of each fiscal year of Borrower), together with the statements set forth in Section 5.3(a), a duly completed Compliance Statement, confirming that as of the end of such month, Borrower was in full compliance with all of the terms and conditions of this Agreement, except as noted therein;</w:t>
      </w:r>
    </w:p>
    <w:p>
      <w:pPr>
        <w:spacing w:after="0" w:line="128" w:lineRule="exact"/>
        <w:rPr>
          <w:rFonts w:ascii="Arial" w:cs="Arial" w:eastAsia="Arial" w:hAnsi="Arial"/>
          <w:sz w:val="13"/>
          <w:szCs w:val="13"/>
          <w:color w:val="auto"/>
        </w:rPr>
      </w:pPr>
    </w:p>
    <w:p>
      <w:pPr>
        <w:jc w:val="both"/>
        <w:ind w:firstLine="973"/>
        <w:spacing w:after="0" w:line="272" w:lineRule="auto"/>
        <w:tabs>
          <w:tab w:leader="none" w:pos="1455"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Annual Operating Budget and Financial Projections</w:t>
      </w:r>
      <w:r>
        <w:rPr>
          <w:rFonts w:ascii="Arial" w:cs="Arial" w:eastAsia="Arial" w:hAnsi="Arial"/>
          <w:sz w:val="13"/>
          <w:szCs w:val="13"/>
          <w:color w:val="auto"/>
        </w:rPr>
        <w:t>. Within thirty (30) days after the end of each fiscal year of Borrower, and within thirty (30) days of any material updates or amendments thereto, (i) annual operating budgets (including income statements, balance sheets and cash flow statements, by month) for the then-current fiscal year of Borrower, and (ii) annual financial projections for the then-current fiscal year (on a quarterly basis), in each case as approved by the Board, together with any material related business forecasts used in the preparation of such annual financial projections;</w:t>
      </w:r>
    </w:p>
    <w:p>
      <w:pPr>
        <w:spacing w:after="0" w:line="132"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Annual Audited Financial Statements</w:t>
      </w:r>
      <w:r>
        <w:rPr>
          <w:rFonts w:ascii="Arial" w:cs="Arial" w:eastAsia="Arial" w:hAnsi="Arial"/>
          <w:sz w:val="13"/>
          <w:szCs w:val="13"/>
          <w:color w:val="auto"/>
        </w:rPr>
        <w:t>. As soon as available, and in any event within one hundred and eighty (180) days following the end of Borrower’s fiscal year, audited consolidated financial statements prepared under GAAP, consistently applied, together with an unqualified opinion on the financial statements from an independent certified public accounting firm reasonably acceptable to Bank;</w:t>
      </w:r>
    </w:p>
    <w:p>
      <w:pPr>
        <w:spacing w:after="0" w:line="128" w:lineRule="exact"/>
        <w:rPr>
          <w:rFonts w:ascii="Arial" w:cs="Arial" w:eastAsia="Arial" w:hAnsi="Arial"/>
          <w:sz w:val="13"/>
          <w:szCs w:val="13"/>
          <w:color w:val="auto"/>
        </w:rPr>
      </w:pPr>
    </w:p>
    <w:p>
      <w:pPr>
        <w:jc w:val="both"/>
        <w:ind w:firstLine="973"/>
        <w:spacing w:after="0" w:line="278" w:lineRule="auto"/>
        <w:tabs>
          <w:tab w:leader="none" w:pos="1455"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SEC Filings</w:t>
      </w:r>
      <w:r>
        <w:rPr>
          <w:rFonts w:ascii="Arial" w:cs="Arial" w:eastAsia="Arial" w:hAnsi="Arial"/>
          <w:sz w:val="13"/>
          <w:szCs w:val="13"/>
          <w:color w:val="auto"/>
        </w:rPr>
        <w:t>. In the event that Borrower or any of its Subsidiaries becomes subject to the reporting requirements under the Exchange Act within five (5) Business Days of filing, notification of the filing and copies of all periodic and other reports, proxy statements and other materials filed by Borrower and/or any of its Subsidiaries or any Guarantor with the SEC, any Governmental Authority succeeding to any or all of the functions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1098" w:right="319" w:bottom="1440" w:gutter="0" w:footer="0" w:header="0"/>
        </w:sectPr>
      </w:pPr>
    </w:p>
    <w:bookmarkStart w:id="80" w:name="page81"/>
    <w:bookmarkEnd w:id="80"/>
    <w:p>
      <w:pPr>
        <w:jc w:val="both"/>
        <w:spacing w:after="0" w:line="272" w:lineRule="auto"/>
        <w:rPr>
          <w:sz w:val="20"/>
          <w:szCs w:val="20"/>
          <w:color w:val="auto"/>
        </w:rPr>
      </w:pPr>
      <w:r>
        <w:rPr>
          <w:rFonts w:ascii="Arial" w:cs="Arial" w:eastAsia="Arial" w:hAnsi="Arial"/>
          <w:sz w:val="13"/>
          <w:szCs w:val="13"/>
          <w:color w:val="auto"/>
        </w:rPr>
        <w:t>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provided, however, Borrower shall notify Bank in writing within five (5) Business Days (which may be by electronic mail) of the posting of any such documents;</w:t>
      </w:r>
    </w:p>
    <w:p>
      <w:pPr>
        <w:spacing w:after="0" w:line="132" w:lineRule="exact"/>
        <w:rPr>
          <w:sz w:val="20"/>
          <w:szCs w:val="20"/>
          <w:color w:val="auto"/>
        </w:rPr>
      </w:pPr>
    </w:p>
    <w:p>
      <w:pPr>
        <w:ind w:firstLine="973"/>
        <w:spacing w:after="0" w:line="296" w:lineRule="auto"/>
        <w:tabs>
          <w:tab w:leader="none" w:pos="1451"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Security Holder and Subordinated Debt Holder Reports</w:t>
      </w:r>
      <w:r>
        <w:rPr>
          <w:rFonts w:ascii="Arial" w:cs="Arial" w:eastAsia="Arial" w:hAnsi="Arial"/>
          <w:sz w:val="13"/>
          <w:szCs w:val="13"/>
          <w:color w:val="auto"/>
        </w:rPr>
        <w:t>. Within five (5) Business Days of delivery, copies of all material statements, reports and notices made generally available to Borrower’s security holders or to any holders of Subordinated Debt (solely in their capacities as security holders or holders of Subordinated Debt and not in any other role);</w:t>
      </w:r>
    </w:p>
    <w:p>
      <w:pPr>
        <w:spacing w:after="0" w:line="117"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Beneficial Ownership Information</w:t>
      </w:r>
      <w:r>
        <w:rPr>
          <w:rFonts w:ascii="Arial" w:cs="Arial" w:eastAsia="Arial" w:hAnsi="Arial"/>
          <w:sz w:val="13"/>
          <w:szCs w:val="13"/>
          <w:color w:val="auto"/>
        </w:rPr>
        <w:t>.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28"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Legal Action Notice</w:t>
      </w:r>
      <w:r>
        <w:rPr>
          <w:rFonts w:ascii="Arial" w:cs="Arial" w:eastAsia="Arial" w:hAnsi="Arial"/>
          <w:sz w:val="13"/>
          <w:szCs w:val="13"/>
          <w:color w:val="auto"/>
        </w:rPr>
        <w:t>. Prompt written notice upon becoming aware of any legal actions, investigations or proceedings pending or threatened in writing against Borrower or any of its Subsidiaries (not otherwise already disclosed on the Perfection Certificate delivered around the Effective Date) that could reasonably be expected to result in damages or costs to Borrower or any of its Subsidiaries of, individually or in the aggregate, Seven Hundred Fifty Thousand Dollars ($750,000) or more;</w:t>
      </w:r>
    </w:p>
    <w:p>
      <w:pPr>
        <w:spacing w:after="0" w:line="128"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Tort Claim Notice</w:t>
      </w:r>
      <w:r>
        <w:rPr>
          <w:rFonts w:ascii="Arial" w:cs="Arial" w:eastAsia="Arial" w:hAnsi="Arial"/>
          <w:sz w:val="13"/>
          <w:szCs w:val="13"/>
          <w:color w:val="auto"/>
        </w:rPr>
        <w:t>. If Borrower shall acquire a commercial tort claim with a value that could reasonably be expected to exceed Five Hundred Thousand Dollars ($500,000), Borrower shall promptly notify Bank in a writing signed by Borrower of the general details thereof and, if so requested by Bank, grant to Bank in such writing a security interest therein and in the proceeds thereof, all upon the terms of this Agreement, with such writing to be in form and substance reasonably satisfactory to Bank;</w:t>
      </w:r>
    </w:p>
    <w:p>
      <w:pPr>
        <w:spacing w:after="0" w:line="128"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Government Filings</w:t>
      </w:r>
      <w:r>
        <w:rPr>
          <w:rFonts w:ascii="Arial" w:cs="Arial" w:eastAsia="Arial" w:hAnsi="Arial"/>
          <w:sz w:val="13"/>
          <w:szCs w:val="13"/>
          <w:color w:val="auto"/>
        </w:rPr>
        <w:t>. Within five (5) Business Days after the same are sent by Borrower or received by Borrower, copies of all material correspondence, reports, documents and other filings by Borrower or any of its Subsidiaries with any Governmental Authority regarding compliance with or maintenance of Governmental Approvals or Applicable Law, in each case that could reasonably be expected to have a material effect on any of the Governmental Approvals material to the business of Borrower;</w:t>
      </w:r>
    </w:p>
    <w:p>
      <w:pPr>
        <w:spacing w:after="0" w:line="128" w:lineRule="exact"/>
        <w:rPr>
          <w:rFonts w:ascii="Arial" w:cs="Arial" w:eastAsia="Arial" w:hAnsi="Arial"/>
          <w:sz w:val="13"/>
          <w:szCs w:val="13"/>
          <w:color w:val="auto"/>
        </w:rPr>
      </w:pPr>
    </w:p>
    <w:p>
      <w:pPr>
        <w:ind w:firstLine="973"/>
        <w:spacing w:after="0" w:line="296" w:lineRule="auto"/>
        <w:tabs>
          <w:tab w:leader="none" w:pos="1453"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Registered Organization</w:t>
      </w:r>
      <w:r>
        <w:rPr>
          <w:rFonts w:ascii="Arial" w:cs="Arial" w:eastAsia="Arial" w:hAnsi="Arial"/>
          <w:sz w:val="13"/>
          <w:szCs w:val="13"/>
          <w:color w:val="auto"/>
        </w:rPr>
        <w:t>. If Borrower is not a Registered Organization as of the Effective Date but later becomes one, promptly notify Bank of such occurrence and provide Bank with Borrower’s organizational identification number;</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Default</w:t>
      </w:r>
      <w:r>
        <w:rPr>
          <w:rFonts w:ascii="Arial" w:cs="Arial" w:eastAsia="Arial" w:hAnsi="Arial"/>
          <w:sz w:val="13"/>
          <w:szCs w:val="13"/>
          <w:color w:val="auto"/>
        </w:rPr>
        <w:t>. Prompt written notice of the occurrence of a Default or Event of Default; and</w:t>
      </w:r>
    </w:p>
    <w:p>
      <w:pPr>
        <w:spacing w:after="0" w:line="174" w:lineRule="exact"/>
        <w:rPr>
          <w:rFonts w:ascii="Arial" w:cs="Arial" w:eastAsia="Arial" w:hAnsi="Arial"/>
          <w:sz w:val="13"/>
          <w:szCs w:val="13"/>
          <w:color w:val="auto"/>
        </w:rPr>
      </w:pPr>
    </w:p>
    <w:p>
      <w:pPr>
        <w:ind w:firstLine="973"/>
        <w:spacing w:after="0" w:line="296" w:lineRule="auto"/>
        <w:tabs>
          <w:tab w:leader="none" w:pos="1450"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Other Information</w:t>
      </w:r>
      <w:r>
        <w:rPr>
          <w:rFonts w:ascii="Arial" w:cs="Arial" w:eastAsia="Arial" w:hAnsi="Arial"/>
          <w:sz w:val="13"/>
          <w:szCs w:val="13"/>
          <w:color w:val="auto"/>
        </w:rPr>
        <w:t>. Promptly, from time to time, such other financial information regarding Borrower or any of its Subsidiaries or compliance with the terms of any Loan Documents as reasonably requested by Bank.</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Any submission by Borrower of a Compliance Statement, or any other financial statement submitted to the Financial Statement Repository pursuant to this Section 5.3 or otherwise submitted to Bank shall be deemed to be a representation by Borrower that (i) as of the date of such Compliance Statement, or other financial statement, the information and calculations set forth therein are true and correct in all material respects, (ii) as of the end of the compliance period set forth in such submission, Borrower is in complete compliance with all required covenants except as noted in such Compliance Statement, or other financial statement, as applicable, except as noted in such</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0"/>
          </w:cols>
          <w:pgMar w:left="300" w:top="1100" w:right="319" w:bottom="1440" w:gutter="0" w:footer="0" w:header="0"/>
        </w:sectPr>
      </w:pPr>
    </w:p>
    <w:bookmarkStart w:id="81" w:name="page82"/>
    <w:bookmarkEnd w:id="81"/>
    <w:p>
      <w:pPr>
        <w:jc w:val="both"/>
        <w:spacing w:after="0" w:line="267" w:lineRule="auto"/>
        <w:rPr>
          <w:sz w:val="20"/>
          <w:szCs w:val="20"/>
          <w:color w:val="auto"/>
        </w:rPr>
      </w:pPr>
      <w:r>
        <w:rPr>
          <w:rFonts w:ascii="Arial" w:cs="Arial" w:eastAsia="Arial" w:hAnsi="Arial"/>
          <w:sz w:val="13"/>
          <w:szCs w:val="13"/>
          <w:color w:val="auto"/>
        </w:rPr>
        <w:t>Compliance Statement or other financial statement, as applicable; (iii) as of the date of such submission, no Events of Default have occurred or are continuing, (iv) all representations and warranties other than any representations or warranties that are made as of a specific date in Section 4 remain true and correct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4.9,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3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5.4</w:t>
      </w:r>
      <w:r>
        <w:rPr>
          <w:sz w:val="20"/>
          <w:szCs w:val="20"/>
          <w:color w:val="auto"/>
        </w:rPr>
        <w:tab/>
      </w:r>
      <w:r>
        <w:rPr>
          <w:rFonts w:ascii="Arial" w:cs="Arial" w:eastAsia="Arial" w:hAnsi="Arial"/>
          <w:sz w:val="12"/>
          <w:szCs w:val="12"/>
          <w:b w:val="1"/>
          <w:bCs w:val="1"/>
          <w:color w:val="auto"/>
        </w:rPr>
        <w:t>Reserved.</w:t>
      </w:r>
    </w:p>
    <w:p>
      <w:pPr>
        <w:spacing w:after="0" w:line="17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5.5</w:t>
      </w:r>
      <w:r>
        <w:rPr>
          <w:sz w:val="20"/>
          <w:szCs w:val="20"/>
          <w:color w:val="auto"/>
        </w:rPr>
        <w:tab/>
      </w:r>
      <w:r>
        <w:rPr>
          <w:rFonts w:ascii="Arial" w:cs="Arial" w:eastAsia="Arial" w:hAnsi="Arial"/>
          <w:sz w:val="12"/>
          <w:szCs w:val="12"/>
          <w:b w:val="1"/>
          <w:bCs w:val="1"/>
          <w:color w:val="auto"/>
        </w:rPr>
        <w:t>Reserved.</w:t>
      </w:r>
    </w:p>
    <w:p>
      <w:pPr>
        <w:spacing w:after="0" w:line="17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1.6</w:t>
      </w:r>
      <w:r>
        <w:rPr>
          <w:sz w:val="20"/>
          <w:szCs w:val="20"/>
          <w:color w:val="auto"/>
        </w:rPr>
        <w:tab/>
      </w:r>
      <w:r>
        <w:rPr>
          <w:rFonts w:ascii="Arial" w:cs="Arial" w:eastAsia="Arial" w:hAnsi="Arial"/>
          <w:sz w:val="11"/>
          <w:szCs w:val="11"/>
          <w:b w:val="1"/>
          <w:bCs w:val="1"/>
          <w:color w:val="auto"/>
        </w:rPr>
        <w:t>Taxes; Pensions.</w:t>
      </w:r>
    </w:p>
    <w:p>
      <w:pPr>
        <w:spacing w:after="0" w:line="176" w:lineRule="exact"/>
        <w:rPr>
          <w:sz w:val="20"/>
          <w:szCs w:val="20"/>
          <w:color w:val="auto"/>
        </w:rPr>
      </w:pPr>
    </w:p>
    <w:p>
      <w:pPr>
        <w:jc w:val="both"/>
        <w:ind w:firstLine="973"/>
        <w:spacing w:after="0" w:line="272" w:lineRule="auto"/>
        <w:tabs>
          <w:tab w:leader="none" w:pos="1455" w:val="left"/>
        </w:tabs>
        <w:numPr>
          <w:ilvl w:val="0"/>
          <w:numId w:val="66"/>
        </w:numPr>
        <w:rPr>
          <w:rFonts w:ascii="Arial" w:cs="Arial" w:eastAsia="Arial" w:hAnsi="Arial"/>
          <w:sz w:val="13"/>
          <w:szCs w:val="13"/>
          <w:color w:val="auto"/>
        </w:rPr>
      </w:pPr>
      <w:r>
        <w:rPr>
          <w:rFonts w:ascii="Arial" w:cs="Arial" w:eastAsia="Arial" w:hAnsi="Arial"/>
          <w:sz w:val="13"/>
          <w:szCs w:val="13"/>
          <w:color w:val="auto"/>
        </w:rPr>
        <w:t>Timely file, and require each of its Subsidiaries to timely file (in each case, unless subject to a valid extension), all required tax returns and reports and timely pay, and require each of its Subsidiaries to timely pay, or file extensions for, all foreign, federal, state and local taxes, assessments, deposits and contributions owed by Borrower and each of its Subsidiaries, except for (deferred payment of any taxes contested pursuant to the terms of Section 4.9(a) hereof, and shall deliver to Bank, on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32"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the extent Borrower or any of its Subsidiaries defers payment of any contested taxes in excess of Fifty Thousand Dollars ($50,000),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spacing w:after="0" w:line="126"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2"/>
          <w:szCs w:val="12"/>
          <w:b w:val="1"/>
          <w:bCs w:val="1"/>
          <w:color w:val="auto"/>
        </w:rPr>
        <w:t xml:space="preserve">1.7 Access to Collateral; Books and Records. </w:t>
      </w:r>
      <w:r>
        <w:rPr>
          <w:rFonts w:ascii="Arial" w:cs="Arial" w:eastAsia="Arial" w:hAnsi="Arial"/>
          <w:sz w:val="12"/>
          <w:szCs w:val="12"/>
          <w:color w:val="auto"/>
        </w:rPr>
        <w:t>At reasonable times, on three (3)) Business Days’ notice (provided no notice is required if an Event of Default has occurred and is continuing),</w:t>
      </w:r>
      <w:r>
        <w:rPr>
          <w:rFonts w:ascii="Arial" w:cs="Arial" w:eastAsia="Arial" w:hAnsi="Arial"/>
          <w:sz w:val="12"/>
          <w:szCs w:val="12"/>
          <w:b w:val="1"/>
          <w:bCs w:val="1"/>
          <w:color w:val="auto"/>
        </w:rPr>
        <w:t xml:space="preserve"> </w:t>
      </w:r>
      <w:r>
        <w:rPr>
          <w:rFonts w:ascii="Arial" w:cs="Arial" w:eastAsia="Arial" w:hAnsi="Arial"/>
          <w:sz w:val="12"/>
          <w:szCs w:val="12"/>
          <w:color w:val="auto"/>
        </w:rPr>
        <w:t>Bank, or its agents, shall have the right to inspect the Collateral and the right to audit and copy Borrower’s Books. Such inspections and audits shall be conducted during Borrower’s business hours no more often than once every twelve (12) months,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plus reasonable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 plus any out-of-pocket expenses incurred by Bank to compensate Bank for the anticipated costs and expenses of the cancellation or rescheduling.</w:t>
      </w:r>
    </w:p>
    <w:p>
      <w:pPr>
        <w:spacing w:after="0" w:line="120"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1.8</w:t>
      </w:r>
      <w:r>
        <w:rPr>
          <w:sz w:val="20"/>
          <w:szCs w:val="20"/>
          <w:color w:val="auto"/>
        </w:rPr>
        <w:tab/>
      </w:r>
      <w:r>
        <w:rPr>
          <w:rFonts w:ascii="Arial" w:cs="Arial" w:eastAsia="Arial" w:hAnsi="Arial"/>
          <w:sz w:val="12"/>
          <w:szCs w:val="12"/>
          <w:b w:val="1"/>
          <w:bCs w:val="1"/>
          <w:color w:val="auto"/>
        </w:rPr>
        <w:t>Insurance.</w:t>
      </w:r>
    </w:p>
    <w:p>
      <w:pPr>
        <w:spacing w:after="0" w:line="176" w:lineRule="exact"/>
        <w:rPr>
          <w:sz w:val="20"/>
          <w:szCs w:val="20"/>
          <w:color w:val="auto"/>
        </w:rPr>
      </w:pPr>
    </w:p>
    <w:p>
      <w:pPr>
        <w:ind w:firstLine="973"/>
        <w:spacing w:after="0" w:line="296" w:lineRule="auto"/>
        <w:tabs>
          <w:tab w:leader="none" w:pos="1455" w:val="left"/>
        </w:tabs>
        <w:numPr>
          <w:ilvl w:val="0"/>
          <w:numId w:val="67"/>
        </w:numPr>
        <w:rPr>
          <w:rFonts w:ascii="Arial" w:cs="Arial" w:eastAsia="Arial" w:hAnsi="Arial"/>
          <w:sz w:val="13"/>
          <w:szCs w:val="13"/>
          <w:color w:val="auto"/>
        </w:rPr>
      </w:pPr>
      <w:r>
        <w:rPr>
          <w:rFonts w:ascii="Arial" w:cs="Arial" w:eastAsia="Arial" w:hAnsi="Arial"/>
          <w:sz w:val="13"/>
          <w:szCs w:val="13"/>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1100" w:right="319" w:bottom="1440" w:gutter="0" w:footer="0" w:header="0"/>
        </w:sectPr>
      </w:pPr>
    </w:p>
    <w:bookmarkStart w:id="82" w:name="page83"/>
    <w:bookmarkEnd w:id="82"/>
    <w:p>
      <w:pPr>
        <w:ind w:firstLine="973"/>
        <w:spacing w:after="0" w:line="296" w:lineRule="auto"/>
        <w:tabs>
          <w:tab w:leader="none" w:pos="1453" w:val="left"/>
        </w:tabs>
        <w:numPr>
          <w:ilvl w:val="0"/>
          <w:numId w:val="68"/>
        </w:numPr>
        <w:rPr>
          <w:rFonts w:ascii="Arial" w:cs="Arial" w:eastAsia="Arial" w:hAnsi="Arial"/>
          <w:sz w:val="13"/>
          <w:szCs w:val="13"/>
          <w:color w:val="auto"/>
        </w:rPr>
      </w:pPr>
      <w:r>
        <w:rPr>
          <w:rFonts w:ascii="Arial" w:cs="Arial" w:eastAsia="Arial" w:hAnsi="Arial"/>
          <w:sz w:val="13"/>
          <w:szCs w:val="13"/>
          <w:color w:val="auto"/>
        </w:rPr>
        <w:t>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17" w:lineRule="exact"/>
        <w:rPr>
          <w:rFonts w:ascii="Arial" w:cs="Arial" w:eastAsia="Arial" w:hAnsi="Arial"/>
          <w:sz w:val="13"/>
          <w:szCs w:val="13"/>
          <w:color w:val="auto"/>
        </w:rPr>
      </w:pPr>
    </w:p>
    <w:p>
      <w:pPr>
        <w:jc w:val="both"/>
        <w:ind w:firstLine="973"/>
        <w:spacing w:after="0" w:line="269" w:lineRule="auto"/>
        <w:tabs>
          <w:tab w:leader="none" w:pos="1455" w:val="left"/>
        </w:tabs>
        <w:numPr>
          <w:ilvl w:val="0"/>
          <w:numId w:val="68"/>
        </w:numPr>
        <w:rPr>
          <w:rFonts w:ascii="Arial" w:cs="Arial" w:eastAsia="Arial" w:hAnsi="Arial"/>
          <w:sz w:val="13"/>
          <w:szCs w:val="13"/>
          <w:color w:val="auto"/>
        </w:rPr>
      </w:pPr>
      <w:r>
        <w:rPr>
          <w:rFonts w:ascii="Arial" w:cs="Arial" w:eastAsia="Arial" w:hAnsi="Arial"/>
          <w:sz w:val="13"/>
          <w:szCs w:val="13"/>
          <w:color w:val="auto"/>
        </w:rPr>
        <w:t>Ensure that 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One Million Dollars ($1,000,000)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133" w:lineRule="exact"/>
        <w:rPr>
          <w:rFonts w:ascii="Arial" w:cs="Arial" w:eastAsia="Arial" w:hAnsi="Arial"/>
          <w:sz w:val="13"/>
          <w:szCs w:val="13"/>
          <w:color w:val="auto"/>
        </w:rPr>
      </w:pPr>
    </w:p>
    <w:p>
      <w:pPr>
        <w:jc w:val="both"/>
        <w:ind w:firstLine="973"/>
        <w:spacing w:after="0" w:line="269" w:lineRule="auto"/>
        <w:tabs>
          <w:tab w:leader="none" w:pos="1453" w:val="left"/>
        </w:tabs>
        <w:numPr>
          <w:ilvl w:val="0"/>
          <w:numId w:val="68"/>
        </w:numPr>
        <w:rPr>
          <w:rFonts w:ascii="Arial" w:cs="Arial" w:eastAsia="Arial" w:hAnsi="Arial"/>
          <w:sz w:val="13"/>
          <w:szCs w:val="13"/>
          <w:color w:val="auto"/>
        </w:rPr>
      </w:pPr>
      <w:r>
        <w:rPr>
          <w:rFonts w:ascii="Arial" w:cs="Arial" w:eastAsia="Arial" w:hAnsi="Arial"/>
          <w:sz w:val="13"/>
          <w:szCs w:val="13"/>
          <w:color w:val="auto"/>
        </w:rPr>
        <w:t xml:space="preserve">At Bank’s request, Borrower shall deliver certified copies of insurance policies and evidence of all premium payments. Each provider of any such insurance required under this Section </w:t>
      </w:r>
      <w:r>
        <w:rPr>
          <w:rFonts w:ascii="Arial" w:cs="Arial" w:eastAsia="Arial" w:hAnsi="Arial"/>
          <w:sz w:val="13"/>
          <w:szCs w:val="13"/>
          <w:color w:val="auto"/>
          <w:strike w:val="1"/>
        </w:rPr>
        <w:t>5.8</w:t>
      </w:r>
      <w:r>
        <w:rPr>
          <w:rFonts w:ascii="Arial" w:cs="Arial" w:eastAsia="Arial" w:hAnsi="Arial"/>
          <w:sz w:val="13"/>
          <w:szCs w:val="13"/>
          <w:color w:val="auto"/>
        </w:rPr>
        <w:t>6.5 shall agree, by endorsement upon the policy or policies issued by it or by independent instruments furnished to Bank, that it will give Bank twenty (20) days (or ten (10) days’ prior written notice in the event of cancellation due to non-payment of premium) prior written notice before any such policy or policies shall be materially altered or canceled. If Borrower fails to obtain insurance as required under this Section 5.8 or to pay any amount or furnish any required proof of payment to third persons and Bank, Bank may make all or part of such payment or obtain such insurance policies required in this Section 5.8, and take any action under the policies Bank deems prudent.</w:t>
      </w:r>
    </w:p>
    <w:p>
      <w:pPr>
        <w:spacing w:after="0" w:line="13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1.9</w:t>
      </w:r>
      <w:r>
        <w:rPr>
          <w:sz w:val="20"/>
          <w:szCs w:val="20"/>
          <w:color w:val="auto"/>
        </w:rPr>
        <w:tab/>
      </w:r>
      <w:r>
        <w:rPr>
          <w:rFonts w:ascii="Arial" w:cs="Arial" w:eastAsia="Arial" w:hAnsi="Arial"/>
          <w:sz w:val="11"/>
          <w:szCs w:val="11"/>
          <w:b w:val="1"/>
          <w:bCs w:val="1"/>
          <w:color w:val="auto"/>
        </w:rPr>
        <w:t>Accounts.</w:t>
      </w:r>
    </w:p>
    <w:p>
      <w:pPr>
        <w:spacing w:after="0" w:line="176" w:lineRule="exact"/>
        <w:rPr>
          <w:sz w:val="20"/>
          <w:szCs w:val="20"/>
          <w:color w:val="auto"/>
        </w:rPr>
      </w:pPr>
    </w:p>
    <w:p>
      <w:pPr>
        <w:jc w:val="both"/>
        <w:ind w:firstLine="973"/>
        <w:spacing w:after="0" w:line="278" w:lineRule="auto"/>
        <w:tabs>
          <w:tab w:leader="none" w:pos="1455" w:val="left"/>
        </w:tabs>
        <w:numPr>
          <w:ilvl w:val="1"/>
          <w:numId w:val="69"/>
        </w:numPr>
        <w:rPr>
          <w:rFonts w:ascii="Arial" w:cs="Arial" w:eastAsia="Arial" w:hAnsi="Arial"/>
          <w:sz w:val="13"/>
          <w:szCs w:val="13"/>
          <w:color w:val="auto"/>
        </w:rPr>
      </w:pPr>
      <w:r>
        <w:rPr>
          <w:rFonts w:ascii="Arial" w:cs="Arial" w:eastAsia="Arial" w:hAnsi="Arial"/>
          <w:sz w:val="13"/>
          <w:szCs w:val="13"/>
          <w:color w:val="auto"/>
        </w:rPr>
        <w:t>Maintain all of Borrower’s, any of its Subsidiaries’, and any Guarantor’s operating accounts, depository accounts and excess cash with Bank or Bank’s Affiliates, other than Borrower’s Foreign Subsidiaries may maintain accounts with third parties other than Bank, provided the aggregate value of such accounts is subject to the terms of Section 6.11 (collectively the “</w:t>
      </w:r>
      <w:r>
        <w:rPr>
          <w:rFonts w:ascii="Arial" w:cs="Arial" w:eastAsia="Arial" w:hAnsi="Arial"/>
          <w:sz w:val="13"/>
          <w:szCs w:val="13"/>
          <w:b w:val="1"/>
          <w:bCs w:val="1"/>
          <w:color w:val="auto"/>
        </w:rPr>
        <w:t>Permitted</w:t>
      </w:r>
      <w:r>
        <w:rPr>
          <w:rFonts w:ascii="Arial" w:cs="Arial" w:eastAsia="Arial" w:hAnsi="Arial"/>
          <w:sz w:val="13"/>
          <w:szCs w:val="13"/>
          <w:color w:val="auto"/>
        </w:rPr>
        <w:t xml:space="preserve"> </w:t>
      </w:r>
      <w:r>
        <w:rPr>
          <w:rFonts w:ascii="Arial" w:cs="Arial" w:eastAsia="Arial" w:hAnsi="Arial"/>
          <w:sz w:val="13"/>
          <w:szCs w:val="13"/>
          <w:b w:val="1"/>
          <w:bCs w:val="1"/>
          <w:color w:val="auto"/>
        </w:rPr>
        <w:t>Foreign Subsidiary Accounts</w:t>
      </w:r>
      <w:r>
        <w:rPr>
          <w:rFonts w:ascii="Arial" w:cs="Arial" w:eastAsia="Arial" w:hAnsi="Arial"/>
          <w:sz w:val="13"/>
          <w:szCs w:val="13"/>
          <w:color w:val="auto"/>
        </w:rPr>
        <w:t>”).</w:t>
      </w:r>
    </w:p>
    <w:p>
      <w:pPr>
        <w:spacing w:after="0" w:line="128" w:lineRule="exact"/>
        <w:rPr>
          <w:rFonts w:ascii="Arial" w:cs="Arial" w:eastAsia="Arial" w:hAnsi="Arial"/>
          <w:sz w:val="13"/>
          <w:szCs w:val="13"/>
          <w:color w:val="auto"/>
        </w:rPr>
      </w:pPr>
    </w:p>
    <w:p>
      <w:pPr>
        <w:jc w:val="both"/>
        <w:ind w:firstLine="973"/>
        <w:spacing w:after="0" w:line="301" w:lineRule="auto"/>
        <w:tabs>
          <w:tab w:leader="none" w:pos="1453" w:val="left"/>
        </w:tabs>
        <w:numPr>
          <w:ilvl w:val="1"/>
          <w:numId w:val="69"/>
        </w:numPr>
        <w:rPr>
          <w:rFonts w:ascii="Arial" w:cs="Arial" w:eastAsia="Arial" w:hAnsi="Arial"/>
          <w:sz w:val="12"/>
          <w:szCs w:val="12"/>
          <w:color w:val="auto"/>
        </w:rPr>
      </w:pPr>
      <w:r>
        <w:rPr>
          <w:rFonts w:ascii="Arial" w:cs="Arial" w:eastAsia="Arial" w:hAnsi="Arial"/>
          <w:sz w:val="12"/>
          <w:szCs w:val="12"/>
          <w:color w:val="auto"/>
        </w:rPr>
        <w:t>In addition to the foregoing, Borrower, any Subsidiary of Borrower and any Guarantor, shall obtain any business credit card, Letter of Credit, FX Contract, and cash management services exclusively from Bank, except (i) third party credit cards, as permitted in the defined term “Permitted Indebtedness” part (g); (ii) Borrower’s Foreign Subsidiaries may maintain the foregoing bank services with third parties other than Bank, (iii) to the extent that Bank does not have such services in foreign locations, Borrower and its Subsidiaries may maintain the foregoing foreign banking services with third parties other than Bank, and (iv) Borrower may maintain and permit to exist online payment processors used in the ordinary course of business with third parties other than Bank.</w:t>
      </w:r>
    </w:p>
    <w:p>
      <w:pPr>
        <w:spacing w:after="0" w:line="117" w:lineRule="exact"/>
        <w:rPr>
          <w:rFonts w:ascii="Arial" w:cs="Arial" w:eastAsia="Arial" w:hAnsi="Arial"/>
          <w:sz w:val="12"/>
          <w:szCs w:val="12"/>
          <w:color w:val="auto"/>
        </w:rPr>
      </w:pPr>
    </w:p>
    <w:p>
      <w:pPr>
        <w:jc w:val="both"/>
        <w:ind w:firstLine="973"/>
        <w:spacing w:after="0" w:line="285" w:lineRule="auto"/>
        <w:tabs>
          <w:tab w:leader="none" w:pos="1455" w:val="left"/>
        </w:tabs>
        <w:numPr>
          <w:ilvl w:val="1"/>
          <w:numId w:val="69"/>
        </w:numPr>
        <w:rPr>
          <w:rFonts w:ascii="Arial" w:cs="Arial" w:eastAsia="Arial" w:hAnsi="Arial"/>
          <w:sz w:val="12"/>
          <w:szCs w:val="12"/>
          <w:color w:val="auto"/>
        </w:rPr>
      </w:pPr>
      <w:r>
        <w:rPr>
          <w:rFonts w:ascii="Arial" w:cs="Arial" w:eastAsia="Arial" w:hAnsi="Arial"/>
          <w:sz w:val="12"/>
          <w:szCs w:val="12"/>
          <w:color w:val="auto"/>
        </w:rPr>
        <w:t>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and</w:t>
      </w:r>
    </w:p>
    <w:p>
      <w:pPr>
        <w:ind w:left="200" w:hanging="199"/>
        <w:spacing w:after="0"/>
        <w:tabs>
          <w:tab w:leader="none" w:pos="2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Permitted Foreign Subsidiary Accounts.</w:t>
      </w:r>
    </w:p>
    <w:p>
      <w:pPr>
        <w:spacing w:after="0" w:line="16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1.10</w:t>
      </w:r>
      <w:r>
        <w:rPr>
          <w:sz w:val="20"/>
          <w:szCs w:val="20"/>
          <w:color w:val="auto"/>
        </w:rPr>
        <w:tab/>
      </w:r>
      <w:r>
        <w:rPr>
          <w:rFonts w:ascii="Arial" w:cs="Arial" w:eastAsia="Arial" w:hAnsi="Arial"/>
          <w:sz w:val="12"/>
          <w:szCs w:val="12"/>
          <w:b w:val="1"/>
          <w:bCs w:val="1"/>
          <w:color w:val="auto"/>
        </w:rPr>
        <w:t>Reserved.</w:t>
      </w:r>
    </w:p>
    <w:p>
      <w:pPr>
        <w:spacing w:after="0" w:line="17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1.11</w:t>
      </w:r>
      <w:r>
        <w:rPr>
          <w:sz w:val="20"/>
          <w:szCs w:val="20"/>
          <w:color w:val="auto"/>
        </w:rPr>
        <w:tab/>
      </w:r>
      <w:r>
        <w:rPr>
          <w:rFonts w:ascii="Arial" w:cs="Arial" w:eastAsia="Arial" w:hAnsi="Arial"/>
          <w:sz w:val="12"/>
          <w:szCs w:val="12"/>
          <w:b w:val="1"/>
          <w:bCs w:val="1"/>
          <w:color w:val="auto"/>
        </w:rPr>
        <w:t>Protection of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80"/>
          </w:cols>
          <w:pgMar w:left="300" w:top="1100" w:right="319" w:bottom="1440" w:gutter="0" w:footer="0" w:header="0"/>
        </w:sectPr>
      </w:pPr>
    </w:p>
    <w:bookmarkStart w:id="83" w:name="page84"/>
    <w:bookmarkEnd w:id="83"/>
    <w:p>
      <w:pPr>
        <w:jc w:val="both"/>
        <w:ind w:firstLine="973"/>
        <w:spacing w:after="0" w:line="301" w:lineRule="auto"/>
        <w:tabs>
          <w:tab w:leader="none" w:pos="1455" w:val="left"/>
        </w:tabs>
        <w:numPr>
          <w:ilvl w:val="0"/>
          <w:numId w:val="71"/>
        </w:numPr>
        <w:rPr>
          <w:rFonts w:ascii="Arial" w:cs="Arial" w:eastAsia="Arial" w:hAnsi="Arial"/>
          <w:sz w:val="12"/>
          <w:szCs w:val="12"/>
          <w:color w:val="auto"/>
        </w:rPr>
      </w:pPr>
      <w:r>
        <w:rPr>
          <w:rFonts w:ascii="Arial" w:cs="Arial" w:eastAsia="Arial" w:hAnsi="Arial"/>
          <w:sz w:val="12"/>
          <w:szCs w:val="12"/>
          <w:color w:val="auto"/>
        </w:rPr>
        <w:t>(i) Use commercially reasonable efforts to protect, defend and maintain the validity and enforceability of Borrower’s and each Subsidiary’s Intellectual Property, except to the extent that such failure to do so would not reasonably be expected to have a material adverse effect on Borrower’s business or operations or that such Intellectual Property does not have material value; (ii) promptly advise Bank in writing of infringements or any other event that could reasonably be expected to materially and adversely affect the value Borrower’s and each Subsidiary’s Intellectual Property that has material value; and (iii) not allow any Intellectual Property material to Borrower’s or any Subsidiary’s business to be abandoned, forfeited or dedicated to the public without Bank’s written consent.</w:t>
      </w:r>
    </w:p>
    <w:p>
      <w:pPr>
        <w:spacing w:after="0" w:line="117" w:lineRule="exact"/>
        <w:rPr>
          <w:rFonts w:ascii="Arial" w:cs="Arial" w:eastAsia="Arial" w:hAnsi="Arial"/>
          <w:sz w:val="12"/>
          <w:szCs w:val="12"/>
          <w:color w:val="auto"/>
        </w:rPr>
      </w:pPr>
    </w:p>
    <w:p>
      <w:pPr>
        <w:jc w:val="both"/>
        <w:ind w:firstLine="973"/>
        <w:spacing w:after="0" w:line="269" w:lineRule="auto"/>
        <w:tabs>
          <w:tab w:leader="none" w:pos="1453" w:val="left"/>
        </w:tabs>
        <w:numPr>
          <w:ilvl w:val="0"/>
          <w:numId w:val="71"/>
        </w:numPr>
        <w:rPr>
          <w:rFonts w:ascii="Arial" w:cs="Arial" w:eastAsia="Arial" w:hAnsi="Arial"/>
          <w:sz w:val="13"/>
          <w:szCs w:val="13"/>
          <w:color w:val="auto"/>
        </w:rPr>
      </w:pPr>
      <w:r>
        <w:rPr>
          <w:rFonts w:ascii="Arial" w:cs="Arial" w:eastAsia="Arial" w:hAnsi="Arial"/>
          <w:sz w:val="13"/>
          <w:szCs w:val="13"/>
          <w:color w:val="auto"/>
        </w:rPr>
        <w:t>Provide written notice to Bank within thirty (30) days of entering or becoming bound by any Restricted License (other than over-the-counter software that is commercially available to the public). Borrower shall take such commercially reasonable steps as Bank requests to obtain the consent of, or waiver by, any person whose consent or waiver is necessary for (i) any such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3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b w:val="1"/>
          <w:bCs w:val="1"/>
          <w:color w:val="auto"/>
        </w:rPr>
        <w:t xml:space="preserve">1.12 Litigation Cooperation. </w:t>
      </w:r>
      <w:r>
        <w:rPr>
          <w:rFonts w:ascii="Arial" w:cs="Arial" w:eastAsia="Arial" w:hAnsi="Arial"/>
          <w:sz w:val="13"/>
          <w:szCs w:val="13"/>
          <w:color w:val="auto"/>
        </w:rPr>
        <w:t>From the date hereof and continuing through the termination of this Agreement, make available to Bank, without expense to Bank, Borrower and its officers,</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26"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1.13</w:t>
      </w:r>
      <w:r>
        <w:rPr>
          <w:sz w:val="20"/>
          <w:szCs w:val="20"/>
          <w:color w:val="auto"/>
        </w:rPr>
        <w:tab/>
      </w:r>
      <w:r>
        <w:rPr>
          <w:rFonts w:ascii="Arial" w:cs="Arial" w:eastAsia="Arial" w:hAnsi="Arial"/>
          <w:sz w:val="12"/>
          <w:szCs w:val="12"/>
          <w:b w:val="1"/>
          <w:bCs w:val="1"/>
          <w:color w:val="auto"/>
        </w:rPr>
        <w:t>Reserved.</w:t>
      </w:r>
    </w:p>
    <w:p>
      <w:pPr>
        <w:spacing w:after="0" w:line="17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3"/>
          <w:szCs w:val="13"/>
          <w:b w:val="1"/>
          <w:bCs w:val="1"/>
          <w:color w:val="auto"/>
        </w:rPr>
        <w:t xml:space="preserve">1.14 Formation or Acquisition of Subsidiaries. </w:t>
      </w:r>
      <w:r>
        <w:rPr>
          <w:rFonts w:ascii="Arial" w:cs="Arial" w:eastAsia="Arial" w:hAnsi="Arial"/>
          <w:sz w:val="13"/>
          <w:szCs w:val="13"/>
          <w:color w:val="auto"/>
        </w:rPr>
        <w:t>Notwithstanding and without limiting the negative covenants contained in Sections 6.3 and 6.7 hereof, at the time that Borrower or any Guarantor</w:t>
      </w:r>
      <w:r>
        <w:rPr>
          <w:rFonts w:ascii="Arial" w:cs="Arial" w:eastAsia="Arial" w:hAnsi="Arial"/>
          <w:sz w:val="13"/>
          <w:szCs w:val="13"/>
          <w:b w:val="1"/>
          <w:bCs w:val="1"/>
          <w:color w:val="auto"/>
        </w:rPr>
        <w:t xml:space="preserve"> </w:t>
      </w:r>
      <w:r>
        <w:rPr>
          <w:rFonts w:ascii="Arial" w:cs="Arial" w:eastAsia="Arial" w:hAnsi="Arial"/>
          <w:sz w:val="13"/>
          <w:szCs w:val="13"/>
          <w:color w:val="auto"/>
        </w:rPr>
        <w:t>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sole discretion), together with documentation, all in form and substance satisfactory to Bank (including being sufficient to grant Bank a first priority Lien (subject to Permitted Liens) in and to the assets of such newly formed or acquired Subsidiary that constitute Collateral), (b) provide to Bank appropriate certificates and powers and financing statements, pledging (i) all of the direct or beneficial ownership interest in such new Subsidiary, in form and substance reasonably satisfactory to Bank; and (c) provide to Bank all other documentation in form and substance reasonably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5.14 shall be a Loan Document.</w:t>
      </w:r>
    </w:p>
    <w:p>
      <w:pPr>
        <w:spacing w:after="0" w:line="13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b w:val="1"/>
          <w:bCs w:val="1"/>
          <w:color w:val="auto"/>
        </w:rPr>
        <w:t>1.15 Inventory; Returns</w:t>
      </w:r>
      <w:r>
        <w:rPr>
          <w:rFonts w:ascii="Arial" w:cs="Arial" w:eastAsia="Arial" w:hAnsi="Arial"/>
          <w:sz w:val="13"/>
          <w:szCs w:val="13"/>
          <w:color w:val="auto"/>
        </w:rPr>
        <w:t>. Keep all Inventory in good and marketable condition, free from material defects. Returns and allowances between Borrower and its Account Debtors shall follow</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Borrower’s customary practices as they exist at the Effective Date. Borrower shall promptly notify Bank of all returns, recoveries, disputes and claims that involve more than Two Hundred Fifty Thousand Dollars ($250,000) (measured as to any single return, recovery, dispute or claim, and not in the aggregate at such time).</w:t>
      </w:r>
    </w:p>
    <w:p>
      <w:pPr>
        <w:spacing w:after="0" w:line="126"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b w:val="1"/>
          <w:bCs w:val="1"/>
          <w:color w:val="auto"/>
        </w:rPr>
        <w:t xml:space="preserve">1.16 Further Assurances. </w:t>
      </w:r>
      <w:r>
        <w:rPr>
          <w:rFonts w:ascii="Arial" w:cs="Arial" w:eastAsia="Arial" w:hAnsi="Arial"/>
          <w:sz w:val="13"/>
          <w:szCs w:val="13"/>
          <w:color w:val="auto"/>
        </w:rPr>
        <w:t>Execute any further instruments and take such further action as Bank reasonably requests to perfect, protect, ensure the priority of or continue Bank’s Lien on the</w:t>
      </w:r>
      <w:r>
        <w:rPr>
          <w:rFonts w:ascii="Arial" w:cs="Arial" w:eastAsia="Arial" w:hAnsi="Arial"/>
          <w:sz w:val="13"/>
          <w:szCs w:val="13"/>
          <w:b w:val="1"/>
          <w:bCs w:val="1"/>
          <w:color w:val="auto"/>
        </w:rPr>
        <w:t xml:space="preserve"> </w:t>
      </w:r>
      <w:r>
        <w:rPr>
          <w:rFonts w:ascii="Arial" w:cs="Arial" w:eastAsia="Arial" w:hAnsi="Arial"/>
          <w:sz w:val="13"/>
          <w:szCs w:val="13"/>
          <w:color w:val="auto"/>
        </w:rPr>
        <w:t>Collateral or to affect the purposes of this Agreement.</w:t>
      </w:r>
    </w:p>
    <w:p>
      <w:pPr>
        <w:spacing w:after="0" w:line="113"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b w:val="1"/>
          <w:bCs w:val="1"/>
          <w:color w:val="auto"/>
        </w:rPr>
        <w:t>1.17 Sanctions</w:t>
      </w:r>
      <w:r>
        <w:rPr>
          <w:rFonts w:ascii="Arial" w:cs="Arial" w:eastAsia="Arial" w:hAnsi="Arial"/>
          <w:sz w:val="13"/>
          <w:szCs w:val="13"/>
          <w:color w:val="auto"/>
        </w:rPr>
        <w:t>. (a) Not, and not permit any of its Subsidiaries to, engage in any of the activities described in Section 4.11 in the future; (b) not, and not permit any of its Subsidiaries to, become a</w:t>
      </w:r>
      <w:r>
        <w:rPr>
          <w:rFonts w:ascii="Arial" w:cs="Arial" w:eastAsia="Arial" w:hAnsi="Arial"/>
          <w:sz w:val="13"/>
          <w:szCs w:val="13"/>
          <w:b w:val="1"/>
          <w:bCs w:val="1"/>
          <w:color w:val="auto"/>
        </w:rPr>
        <w:t xml:space="preserve"> </w:t>
      </w:r>
      <w:r>
        <w:rPr>
          <w:rFonts w:ascii="Arial" w:cs="Arial" w:eastAsia="Arial" w:hAnsi="Arial"/>
          <w:sz w:val="13"/>
          <w:szCs w:val="13"/>
          <w:color w:val="auto"/>
        </w:rPr>
        <w:t>Sanctioned Person; (c) ensure that the proceeds of the Obligations are not used to violate any Sanctions; and (d) deliver to Bank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80"/>
          </w:cols>
          <w:pgMar w:left="300" w:top="1100" w:right="319" w:bottom="1440" w:gutter="0" w:footer="0" w:header="0"/>
        </w:sectPr>
      </w:pPr>
    </w:p>
    <w:bookmarkStart w:id="84" w:name="page85"/>
    <w:bookmarkEnd w:id="84"/>
    <w:p>
      <w:pPr>
        <w:spacing w:after="0" w:line="341" w:lineRule="auto"/>
        <w:rPr>
          <w:sz w:val="20"/>
          <w:szCs w:val="20"/>
          <w:color w:val="auto"/>
        </w:rPr>
      </w:pPr>
      <w:r>
        <w:rPr>
          <w:rFonts w:ascii="Arial" w:cs="Arial" w:eastAsia="Arial" w:hAnsi="Arial"/>
          <w:sz w:val="12"/>
          <w:szCs w:val="12"/>
          <w:color w:val="auto"/>
        </w:rPr>
        <w:t>any certification or other evidence requested from time to time by Bank in its sole discretion, confirming each such Person’s compliance with this Section 5.17. In addition, have implemented, and will consistently apply while this Agreement is in effect, reasonable procedures to ensure that the representations and warranties in Section 4.11 remain true and correct while this Agreement is in effect.</w:t>
      </w:r>
    </w:p>
    <w:p>
      <w:pPr>
        <w:spacing w:after="0" w:line="61"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5.18</w:t>
      </w:r>
      <w:r>
        <w:rPr>
          <w:sz w:val="20"/>
          <w:szCs w:val="20"/>
          <w:color w:val="auto"/>
        </w:rPr>
        <w:tab/>
      </w:r>
      <w:r>
        <w:rPr>
          <w:rFonts w:ascii="Arial" w:cs="Arial" w:eastAsia="Arial" w:hAnsi="Arial"/>
          <w:sz w:val="12"/>
          <w:szCs w:val="12"/>
          <w:color w:val="auto"/>
        </w:rPr>
        <w:t>Post-Closing Obligations.</w:t>
      </w:r>
    </w:p>
    <w:p>
      <w:pPr>
        <w:spacing w:after="0" w:line="116" w:lineRule="exact"/>
        <w:rPr>
          <w:sz w:val="20"/>
          <w:szCs w:val="20"/>
          <w:color w:val="auto"/>
        </w:rPr>
      </w:pPr>
    </w:p>
    <w:p>
      <w:pPr>
        <w:ind w:firstLine="973"/>
        <w:spacing w:after="0" w:line="219" w:lineRule="auto"/>
        <w:tabs>
          <w:tab w:leader="none" w:pos="1455" w:val="left"/>
        </w:tabs>
        <w:numPr>
          <w:ilvl w:val="1"/>
          <w:numId w:val="72"/>
        </w:numPr>
        <w:rPr>
          <w:rFonts w:ascii="Arial" w:cs="Arial" w:eastAsia="Arial" w:hAnsi="Arial"/>
          <w:sz w:val="13"/>
          <w:szCs w:val="13"/>
          <w:color w:val="auto"/>
        </w:rPr>
      </w:pPr>
      <w:r>
        <w:rPr>
          <w:rFonts w:ascii="Arial" w:cs="Arial" w:eastAsia="Arial" w:hAnsi="Arial"/>
          <w:sz w:val="13"/>
          <w:szCs w:val="13"/>
          <w:color w:val="auto"/>
        </w:rPr>
        <w:t>As soon as possible, but in any event not later than the date that is fifteen (15) days after the Effective Date, Borrower shall deliver to Bank a duly executed landlord’s consent in favor of Bank for Borrower’s leased location at 2380-2390 Owen Street, Santa Clara, CA 95954.</w:t>
      </w:r>
    </w:p>
    <w:p>
      <w:pPr>
        <w:spacing w:after="0" w:line="91" w:lineRule="exact"/>
        <w:rPr>
          <w:rFonts w:ascii="Arial" w:cs="Arial" w:eastAsia="Arial" w:hAnsi="Arial"/>
          <w:sz w:val="13"/>
          <w:szCs w:val="13"/>
          <w:color w:val="auto"/>
        </w:rPr>
      </w:pPr>
    </w:p>
    <w:p>
      <w:pPr>
        <w:ind w:firstLine="973"/>
        <w:spacing w:after="0" w:line="219" w:lineRule="auto"/>
        <w:tabs>
          <w:tab w:leader="none" w:pos="1453" w:val="left"/>
        </w:tabs>
        <w:numPr>
          <w:ilvl w:val="1"/>
          <w:numId w:val="72"/>
        </w:numPr>
        <w:rPr>
          <w:rFonts w:ascii="Arial" w:cs="Arial" w:eastAsia="Arial" w:hAnsi="Arial"/>
          <w:sz w:val="13"/>
          <w:szCs w:val="13"/>
          <w:color w:val="auto"/>
        </w:rPr>
      </w:pPr>
      <w:r>
        <w:rPr>
          <w:rFonts w:ascii="Arial" w:cs="Arial" w:eastAsia="Arial" w:hAnsi="Arial"/>
          <w:sz w:val="13"/>
          <w:szCs w:val="13"/>
          <w:color w:val="auto"/>
        </w:rPr>
        <w:t>As soon as possible, but in any event not later than the date that is thirty (30) days after the Effective Date, Borrower shall deliver to Bank a duly executed bailee’s waiver in favor of Bank for the bailee location at 1125 W. Pinnacle Peak Road, Phoenix, AZ 85027, where Borrower maintains property with a third party.</w:t>
      </w:r>
    </w:p>
    <w:p>
      <w:pPr>
        <w:spacing w:after="0" w:line="119" w:lineRule="exact"/>
        <w:rPr>
          <w:rFonts w:ascii="Arial" w:cs="Arial" w:eastAsia="Arial" w:hAnsi="Arial"/>
          <w:sz w:val="13"/>
          <w:szCs w:val="13"/>
          <w:color w:val="auto"/>
        </w:rPr>
      </w:pPr>
    </w:p>
    <w:p>
      <w:pPr>
        <w:ind w:left="980" w:hanging="493"/>
        <w:spacing w:after="0"/>
        <w:tabs>
          <w:tab w:leader="none" w:pos="980"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NEGATIVE COVENANTS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Borrower shall not do any of the following without Bank’s prior written consent:</w:t>
      </w:r>
    </w:p>
    <w:p>
      <w:pPr>
        <w:spacing w:after="0" w:line="17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2"/>
          <w:szCs w:val="12"/>
          <w:b w:val="1"/>
          <w:bCs w:val="1"/>
          <w:color w:val="auto"/>
        </w:rPr>
        <w:t xml:space="preserve">6.1 Dispositions. </w:t>
      </w:r>
      <w:r>
        <w:rPr>
          <w:rFonts w:ascii="Arial" w:cs="Arial" w:eastAsia="Arial" w:hAnsi="Arial"/>
          <w:sz w:val="12"/>
          <w:szCs w:val="12"/>
          <w:color w:val="auto"/>
        </w:rPr>
        <w:t>Convey, sell, lease, transfer, assign, or otherwise dispose of (including, without limitation, pursuant to a Division) (collectively, “</w:t>
      </w:r>
      <w:r>
        <w:rPr>
          <w:rFonts w:ascii="Arial" w:cs="Arial" w:eastAsia="Arial" w:hAnsi="Arial"/>
          <w:sz w:val="12"/>
          <w:szCs w:val="12"/>
          <w:b w:val="1"/>
          <w:bCs w:val="1"/>
          <w:color w:val="auto"/>
        </w:rPr>
        <w:t>Transfer</w:t>
      </w:r>
      <w:r>
        <w:rPr>
          <w:rFonts w:ascii="Arial" w:cs="Arial" w:eastAsia="Arial" w:hAnsi="Arial"/>
          <w:sz w:val="12"/>
          <w:szCs w:val="12"/>
          <w:color w:val="auto"/>
        </w:rPr>
        <w:t>”), or permit any of its Subsidiaries to</w:t>
      </w:r>
      <w:r>
        <w:rPr>
          <w:rFonts w:ascii="Arial" w:cs="Arial" w:eastAsia="Arial" w:hAnsi="Arial"/>
          <w:sz w:val="12"/>
          <w:szCs w:val="12"/>
          <w:b w:val="1"/>
          <w:bCs w:val="1"/>
          <w:color w:val="auto"/>
        </w:rPr>
        <w:t xml:space="preserve"> </w:t>
      </w:r>
      <w:r>
        <w:rPr>
          <w:rFonts w:ascii="Arial" w:cs="Arial" w:eastAsia="Arial" w:hAnsi="Arial"/>
          <w:sz w:val="12"/>
          <w:szCs w:val="12"/>
          <w:color w:val="auto"/>
        </w:rPr>
        <w:t>Transfer, all or any part of its business or property, except for Transfers (a) of Inventory in the ordinary course of business; (b) of worn-out, surplus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Section 6.2 of this Agreement; (e) consisting of Borrower’s or its Subsidiaries’ use or transfer of money or Cash Equivalents in a manner that is not prohibited by the terms of this Agreement or the other Loan Documents, including without limitation cash returns or refunds of customer payments; (f) of non-exclusive licenses for the use of the property of Borrower or its Subsidiaries in the ordinary course of business, and other licenses permitted pursuant to part (h) of the defined Permitted Liens; (g) other Transfers not to exceed One Hundred Thousand Dollars ($100,000) in any twelve (12) month period; and (h) other Transfers in which Borrower will receive cash proceeds in an amount equal to no less than seventy-five percent (75%) of such other Transfer consideration (fixed or contingent) paid or payable to Borrower or its Subsidiary.</w:t>
      </w:r>
    </w:p>
    <w:p>
      <w:pPr>
        <w:spacing w:after="0" w:line="126" w:lineRule="exact"/>
        <w:rPr>
          <w:sz w:val="20"/>
          <w:szCs w:val="20"/>
          <w:color w:val="auto"/>
        </w:rPr>
      </w:pPr>
    </w:p>
    <w:p>
      <w:pPr>
        <w:jc w:val="both"/>
        <w:ind w:right="60"/>
        <w:spacing w:after="0" w:line="278" w:lineRule="auto"/>
        <w:rPr>
          <w:sz w:val="20"/>
          <w:szCs w:val="20"/>
          <w:color w:val="auto"/>
        </w:rPr>
      </w:pPr>
      <w:r>
        <w:rPr>
          <w:rFonts w:ascii="Arial" w:cs="Arial" w:eastAsia="Arial" w:hAnsi="Arial"/>
          <w:sz w:val="13"/>
          <w:szCs w:val="13"/>
          <w:color w:val="auto"/>
        </w:rPr>
        <w:t>For the avoidance of doubt, none of (a) the sale of any Permitted Convertible Indebtedness, (b) the sale of any Warrant Transaction, (c) the purchase of any Bond Hedge Transaction or (d) the performance by Borrower of its obligations under any Permitted Convertible Indebtedness, any Warrant Transaction or any Bond Hedge Transaction (including the settlement or termination of any Bond Hedge Transaction or Warrant Transaction) shall constitute a Transfer.</w:t>
      </w:r>
    </w:p>
    <w:p>
      <w:pPr>
        <w:spacing w:after="0" w:line="14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2"/>
          <w:szCs w:val="12"/>
          <w:b w:val="1"/>
          <w:bCs w:val="1"/>
          <w:color w:val="auto"/>
        </w:rPr>
        <w:t xml:space="preserve">6.2 Changes in Business, Management, Control, or Business Locations. </w:t>
      </w:r>
      <w:r>
        <w:rPr>
          <w:rFonts w:ascii="Arial" w:cs="Arial" w:eastAsia="Arial" w:hAnsi="Arial"/>
          <w:sz w:val="12"/>
          <w:szCs w:val="12"/>
          <w:color w:val="auto"/>
        </w:rPr>
        <w:t>(a) Engage in or permit any of its Subsidiaries to engage in any business other than the businesses currently engaged</w:t>
      </w:r>
      <w:r>
        <w:rPr>
          <w:rFonts w:ascii="Arial" w:cs="Arial" w:eastAsia="Arial" w:hAnsi="Arial"/>
          <w:sz w:val="12"/>
          <w:szCs w:val="12"/>
          <w:b w:val="1"/>
          <w:bCs w:val="1"/>
          <w:color w:val="auto"/>
        </w:rPr>
        <w:t xml:space="preserve"> </w:t>
      </w:r>
      <w:r>
        <w:rPr>
          <w:rFonts w:ascii="Arial" w:cs="Arial" w:eastAsia="Arial" w:hAnsi="Arial"/>
          <w:sz w:val="12"/>
          <w:szCs w:val="12"/>
          <w:color w:val="auto"/>
        </w:rPr>
        <w:t>in by Borrower and such Subsidiary, as applicable, or reasonably related thereto; (b) liquidate or dissolve or permit any of its Subsidiaries to liquidate or dissolve (unless such Subsidiary’s assets are transferred to Borrower); (c) fail to provide notice to Bank of any Key Person departing from or ceasing to be employed by Borrower within seven (7) Business Days after such Key Person’s departure from Borrower; (d) permit, allow or suffer to occur any Change in Control; (e) without at least ten (10) days prior written notice to Bank, (i) add any new offices or business locations, including warehouses (unless such new offices or business locations contain less than Two Hundred Thousand Dollars ($200,000) in Borrower’s assets or property) or deliver any portion of the Collateral valued, individually or in the aggregate, in excess of Two Hundred Thousand Dollars ($200,000) to a bailee at a location other than to a bailee and at a location already disclosed in the Perfection Certificate, or (f) without at least twenty (20) days prior written notice to Bank (i) change its jurisdiction of organization, (ii) change its organizational structure or type, (iii) change its legal name, or, (iv) change any organizational number (if any) assigned by its jurisdiction of organization. If Borrower intends to add any new offices or business locations, including warehouses, containing in excess of Two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80"/>
          </w:cols>
          <w:pgMar w:left="300" w:top="1100" w:right="319" w:bottom="1440" w:gutter="0" w:footer="0" w:header="0"/>
        </w:sectPr>
      </w:pPr>
    </w:p>
    <w:bookmarkStart w:id="85" w:name="page86"/>
    <w:bookmarkEnd w:id="85"/>
    <w:p>
      <w:pPr>
        <w:jc w:val="both"/>
        <w:spacing w:after="0" w:line="269" w:lineRule="auto"/>
        <w:rPr>
          <w:sz w:val="20"/>
          <w:szCs w:val="20"/>
          <w:color w:val="auto"/>
        </w:rPr>
      </w:pPr>
      <w:r>
        <w:rPr>
          <w:rFonts w:ascii="Arial" w:cs="Arial" w:eastAsia="Arial" w:hAnsi="Arial"/>
          <w:sz w:val="13"/>
          <w:szCs w:val="13"/>
          <w:color w:val="auto"/>
        </w:rPr>
        <w:t>Hundred Thousand Dollars ($200,000) of Borrower’s assets or property, then Borrower will cause the landlord of any such new offices or business locations, including warehouses, to execute and deliver a landlord consent in form and substance reasonably satisfactory to Bank. If Borrower intends to deliver any portion of the Collateral valued, individually or in the aggregate, in excess of Two Hundred Thousand Dollars ($200,000) to a bailee, and Bank and such bailee are not already parties to a bailee agreement governing both the Collateral and the location to which Borrower intends to deliver the Collateral, then Borrower will cause such bailee to execute and deliver a bailee agreement in form and substance reasonably satisfactory to Bank. For the avoidance of doubt, no landlord or bailee waivers shall be required for or with respect to any foreign locations of Borrower or its Subsidiaries.</w:t>
      </w:r>
    </w:p>
    <w:p>
      <w:pPr>
        <w:spacing w:after="0" w:line="13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3"/>
          <w:szCs w:val="13"/>
          <w:b w:val="1"/>
          <w:bCs w:val="1"/>
          <w:color w:val="auto"/>
        </w:rPr>
        <w:t xml:space="preserve">6.3 Mergers or Acquisitions. </w:t>
      </w:r>
      <w:r>
        <w:rPr>
          <w:rFonts w:ascii="Arial" w:cs="Arial" w:eastAsia="Arial" w:hAnsi="Arial"/>
          <w:sz w:val="13"/>
          <w:szCs w:val="13"/>
          <w:color w:val="auto"/>
        </w:rPr>
        <w:t>Merge or consolidate, or permit any of its Subsidiaries to merge or consolidate, with any other Person, or acquire, or permit any of its Subsidiaries to acquire, all or</w:t>
      </w:r>
      <w:r>
        <w:rPr>
          <w:rFonts w:ascii="Arial" w:cs="Arial" w:eastAsia="Arial" w:hAnsi="Arial"/>
          <w:sz w:val="13"/>
          <w:szCs w:val="13"/>
          <w:b w:val="1"/>
          <w:bCs w:val="1"/>
          <w:color w:val="auto"/>
        </w:rPr>
        <w:t xml:space="preserve"> </w:t>
      </w:r>
      <w:r>
        <w:rPr>
          <w:rFonts w:ascii="Arial" w:cs="Arial" w:eastAsia="Arial" w:hAnsi="Arial"/>
          <w:sz w:val="13"/>
          <w:szCs w:val="13"/>
          <w:color w:val="auto"/>
        </w:rPr>
        <w:t>substantially all of the stock, partnership, membership, or other ownership interest or other equity securities or property of another Person (including, without limitation, by the formation of any Subsidiary or pursuant to a Division), except (i) if (a) Borrower has complied with the notice requirements applicable to prepayments hereunder, and (b) prior to or contemporaneously with the closing of such transaction, all Obligations are paid in full in cash, and all of Bank’s obligations to lend to Borrower under this Agreement are terminated, and/or (iii) Permitted Acquisitions. A Subsidiary may merge or consolidate into another Subsidiary or into Borrower.</w:t>
      </w:r>
    </w:p>
    <w:p>
      <w:pPr>
        <w:spacing w:after="0" w:line="13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6.4</w:t>
      </w:r>
      <w:r>
        <w:rPr>
          <w:sz w:val="20"/>
          <w:szCs w:val="20"/>
          <w:color w:val="auto"/>
        </w:rPr>
        <w:tab/>
      </w:r>
      <w:r>
        <w:rPr>
          <w:rFonts w:ascii="Arial" w:cs="Arial" w:eastAsia="Arial" w:hAnsi="Arial"/>
          <w:sz w:val="12"/>
          <w:szCs w:val="12"/>
          <w:b w:val="1"/>
          <w:bCs w:val="1"/>
          <w:color w:val="auto"/>
        </w:rPr>
        <w:t xml:space="preserve">Indebtedness. </w:t>
      </w:r>
      <w:r>
        <w:rPr>
          <w:rFonts w:ascii="Arial" w:cs="Arial" w:eastAsia="Arial" w:hAnsi="Arial"/>
          <w:sz w:val="12"/>
          <w:szCs w:val="12"/>
          <w:color w:val="auto"/>
        </w:rPr>
        <w:t>Create, incur, assume, or be liable for any Indebtedness, or permit any Subsidiary to do so, other than Permitted Indebtedness.</w:t>
      </w:r>
    </w:p>
    <w:p>
      <w:pPr>
        <w:spacing w:after="0" w:line="17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3"/>
          <w:szCs w:val="13"/>
          <w:b w:val="1"/>
          <w:bCs w:val="1"/>
          <w:color w:val="auto"/>
        </w:rPr>
        <w:t xml:space="preserve">6.5 Encumbrance. </w:t>
      </w:r>
      <w:r>
        <w:rPr>
          <w:rFonts w:ascii="Arial" w:cs="Arial" w:eastAsia="Arial" w:hAnsi="Arial"/>
          <w:sz w:val="13"/>
          <w:szCs w:val="13"/>
          <w:color w:val="auto"/>
        </w:rPr>
        <w:t>Create, incur, allow, or suffer to exist any Lien on any of its property, or assign or convey any right to receive income, including the sale of any Accounts, or permit any of its</w:t>
      </w:r>
      <w:r>
        <w:rPr>
          <w:rFonts w:ascii="Arial" w:cs="Arial" w:eastAsia="Arial" w:hAnsi="Arial"/>
          <w:sz w:val="13"/>
          <w:szCs w:val="13"/>
          <w:b w:val="1"/>
          <w:bCs w:val="1"/>
          <w:color w:val="auto"/>
        </w:rPr>
        <w:t xml:space="preserve"> </w:t>
      </w:r>
      <w:r>
        <w:rPr>
          <w:rFonts w:ascii="Arial" w:cs="Arial" w:eastAsia="Arial" w:hAnsi="Arial"/>
          <w:sz w:val="13"/>
          <w:szCs w:val="13"/>
          <w:color w:val="auto"/>
        </w:rPr>
        <w:t>Subsidiaries to do so, in each case as to the foregoing except for Permitted Liens, permit any Collateral not to be subject to the first priority security interest granted herein, other than Permitted Liens,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6.1 hereof and the definition of “Permitted Liens” herein.</w:t>
      </w:r>
    </w:p>
    <w:p>
      <w:pPr>
        <w:spacing w:after="0" w:line="13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6.6</w:t>
      </w:r>
      <w:r>
        <w:rPr>
          <w:sz w:val="20"/>
          <w:szCs w:val="20"/>
          <w:color w:val="auto"/>
        </w:rPr>
        <w:tab/>
      </w:r>
      <w:r>
        <w:rPr>
          <w:rFonts w:ascii="Arial" w:cs="Arial" w:eastAsia="Arial" w:hAnsi="Arial"/>
          <w:sz w:val="12"/>
          <w:szCs w:val="12"/>
          <w:b w:val="1"/>
          <w:bCs w:val="1"/>
          <w:color w:val="auto"/>
        </w:rPr>
        <w:t xml:space="preserve">Maintenance of Collateral Accounts. </w:t>
      </w:r>
      <w:r>
        <w:rPr>
          <w:rFonts w:ascii="Arial" w:cs="Arial" w:eastAsia="Arial" w:hAnsi="Arial"/>
          <w:sz w:val="12"/>
          <w:szCs w:val="12"/>
          <w:color w:val="auto"/>
        </w:rPr>
        <w:t>Maintain any Collateral Account except pursuant to the terms of Section 5.9(c).</w:t>
      </w:r>
    </w:p>
    <w:p>
      <w:pPr>
        <w:spacing w:after="0" w:line="17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2"/>
          <w:szCs w:val="12"/>
          <w:b w:val="1"/>
          <w:bCs w:val="1"/>
          <w:color w:val="auto"/>
        </w:rPr>
        <w:t xml:space="preserve">1.7 Distributions; Investments. </w:t>
      </w:r>
      <w:r>
        <w:rPr>
          <w:rFonts w:ascii="Arial" w:cs="Arial" w:eastAsia="Arial" w:hAnsi="Arial"/>
          <w:sz w:val="12"/>
          <w:szCs w:val="12"/>
          <w:color w:val="auto"/>
        </w:rPr>
        <w:t>(a) Pay any dividends or make any distribution or payment or redeem, retire or purchase any stock, partnership, membership, or other ownership interest or other</w:t>
      </w:r>
      <w:r>
        <w:rPr>
          <w:rFonts w:ascii="Arial" w:cs="Arial" w:eastAsia="Arial" w:hAnsi="Arial"/>
          <w:sz w:val="12"/>
          <w:szCs w:val="12"/>
          <w:b w:val="1"/>
          <w:bCs w:val="1"/>
          <w:color w:val="auto"/>
        </w:rPr>
        <w:t xml:space="preserve"> </w:t>
      </w:r>
      <w:r>
        <w:rPr>
          <w:rFonts w:ascii="Arial" w:cs="Arial" w:eastAsia="Arial" w:hAnsi="Arial"/>
          <w:sz w:val="12"/>
          <w:szCs w:val="12"/>
          <w:color w:val="auto"/>
        </w:rPr>
        <w:t>equity securities, provided that Borrower may (i) convert any of its convertible securities into other securities pursuant to the terms of such convertible securities or otherwise in exchange thereof, (ii) pay dividends solely in common stock or equity interests, (iii) repurchase the stock of former employees, officers, directors or consultants pursuant to stock repurchase agreements or termination of employment or service or repurchases pursuant to rights of first refusal in Borrower’s bylaws, so long as an Event of Default does not exist at the time of any such repurchase and would not exist after giving effect to any such repurchase; provided the aggregate amount of all such repurchases shall not exceed Five Hundred Thousand Dollars ($500,000) per fiscal year, (iv) pay cash distributions in lieu of issuing fractional shares; provided the aggregate amount of all such payments shall not exceed Two Hundred Thousand Dollars ($200,000) per fiscal year , (v) distribute equity securities to former or current employees, officers, consultants or directors pursuant to the exercise of employee stock options approved by the Board, (vi) pay, in connection with any Permitted Acquisition by Borrower or any of its Subsidiaries, (A) the receipt or acceptance of the return to Borrower or any of its Subsidiaries of stock or equity interests of Borrower constituting a portion of the purchase price consideration in settlement of indemnification claims, or as a result of a purchase price adjustment (including earn-outs or similar obligations) and (B) payments or distributions to equity holders pursuant to appraisal rights required under requirements of law; (vii) the distribution of rights pursuant to any shareholder rights plan or the redemption of such rights for nominal consideration in accordance with the terms of any shareholder rights plan, and (viii) for the avoidance of doubt, Subsidiaries of Borrower shall be permitted to, directly or indirectly, pay dividends or make distributions to other Subsidiaries or to Borrower, or (b) directly or indirectly make 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80"/>
          </w:cols>
          <w:pgMar w:left="300" w:top="1100" w:right="319" w:bottom="1440" w:gutter="0" w:footer="0" w:header="0"/>
        </w:sectPr>
      </w:pPr>
    </w:p>
    <w:bookmarkStart w:id="86" w:name="page87"/>
    <w:bookmarkEnd w:id="86"/>
    <w:p>
      <w:pPr>
        <w:spacing w:after="0"/>
        <w:rPr>
          <w:sz w:val="20"/>
          <w:szCs w:val="20"/>
          <w:color w:val="auto"/>
        </w:rPr>
      </w:pPr>
      <w:r>
        <w:rPr>
          <w:rFonts w:ascii="Arial" w:cs="Arial" w:eastAsia="Arial" w:hAnsi="Arial"/>
          <w:sz w:val="13"/>
          <w:szCs w:val="13"/>
          <w:color w:val="auto"/>
        </w:rPr>
        <w:t>Investment (including, without limitation, by the formation of any Subsidiary) other than Permitted Investments, or permit any of its Subsidiaries to do so.</w:t>
      </w:r>
    </w:p>
    <w:p>
      <w:pPr>
        <w:spacing w:after="0" w:line="174"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2"/>
          <w:szCs w:val="12"/>
          <w:color w:val="auto"/>
        </w:rPr>
        <w:t xml:space="preserve">Notwithstanding the foregoing, or anything to the contrary herein, and for the avoidance of doubt, this Section 6.7 shall not prohibit (i) the conversion by holders of (including any cash payment upon conversion), or required payment of any principal or premium on, or required payment of any interest with respect to, any Permitted Convertible Debt, in each case, in accordance with the terms of the indenture governing such Permitted Convertible Debt;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preceding sentence shall only allow principal payments with respect to any repurchase in connection with the redemption of Permitted Convertible Debt upon satisfaction of a condition related to the stock price of the Borrower’s common stock if the Redemption Conditions are satisfied in respect of such redemption;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to the extent both (a) the aggregate amount of cash payable upon conversion or redemption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redemption does not trigger or correspond to an exercise or early unwind or settlement of a corresponding portion of the Bond Hedge Transactions constituting Permitted Call Spread Agreements relating to such Permitted Convertible Debt (including, for the avoidance of doubt, the case where there is no Bond Hedge Transaction constituting a Permitted Call Spread Agreement relating to such Permitted Convertible Debt), the payment of such excess cash (any such payment, a “</w:t>
      </w:r>
      <w:r>
        <w:rPr>
          <w:rFonts w:ascii="Arial" w:cs="Arial" w:eastAsia="Arial" w:hAnsi="Arial"/>
          <w:sz w:val="12"/>
          <w:szCs w:val="12"/>
          <w:b w:val="1"/>
          <w:bCs w:val="1"/>
          <w:color w:val="auto"/>
        </w:rPr>
        <w:t>Cash Excess Payment</w:t>
      </w:r>
      <w:r>
        <w:rPr>
          <w:rFonts w:ascii="Arial" w:cs="Arial" w:eastAsia="Arial" w:hAnsi="Arial"/>
          <w:sz w:val="12"/>
          <w:szCs w:val="12"/>
          <w:color w:val="auto"/>
        </w:rPr>
        <w:t xml:space="preserve">”) shall not be permitted by this clause (i); and (ii) any required payment with respect to (including, for the avoidance of doubt, the payment of the relevant premium for the purchase thereof), or required early unwind or settlement of, any Permitted Call Spread Agreement, in each case, in accordance with the terms of the agreement governing such Permitted Call Spread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to the extent cash is required to be paid under a Warrant Transaction as a result of the election of “cash settlement” (or substantially equivalent term) as the “settlement method” (or substantially equivalent term) thereunder by the Borrower (or its Affiliate) (including in connection with the exercise and/or early unwind or settlement thereof), the payment of such cash shall not be permitted by this clause (ii). Notwithstanding the foregoing, the Borrower may repurchase, exchange or induce the conversion of Permitted Convertible Debt by delivery of shares of the Borrower’s common stock and/or a different series of Permitted Convertible Debt (which series (I) matures after, and does not require any scheduled amortization or other scheduled payments of principal prior to, the analogous date under the indenture governing the Permitted Convertible Debt that are so repurchased, exchanged or converted and (II) has terms, conditions and covenants that are commercially reasonable to the Borrower (as determined by the Borrower in good faith) (any such series of Permitted Convertible Debt, “</w:t>
      </w:r>
      <w:r>
        <w:rPr>
          <w:rFonts w:ascii="Arial" w:cs="Arial" w:eastAsia="Arial" w:hAnsi="Arial"/>
          <w:sz w:val="12"/>
          <w:szCs w:val="12"/>
          <w:b w:val="1"/>
          <w:bCs w:val="1"/>
          <w:color w:val="auto"/>
        </w:rPr>
        <w:t>Refinancing Convertible Debt</w:t>
      </w:r>
      <w:r>
        <w:rPr>
          <w:rFonts w:ascii="Arial" w:cs="Arial" w:eastAsia="Arial" w:hAnsi="Arial"/>
          <w:sz w:val="12"/>
          <w:szCs w:val="12"/>
          <w:color w:val="auto"/>
        </w:rPr>
        <w:t xml:space="preserve">”) and/or by payment of cash (x) in lieu of any fractional shares, (y) in respect of accrued and unpaid interest of such Permitted Convertible Debt and (z) additional cash in an amount that does not exceed the proceeds received by the Borrower from the substantially concurrent issuance of shares of the Borrower’s common stock and/or a Refinancing Convertible Debt plus the net cash proceeds, if any, received by the Borrower pursuant to the related exercise or early unwind or termination of the related Permitted Call Spread Agreements pursuant to the immediately following proviso;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substantially concurrently with, or a commercially reasonable period of time before or after, the related settlement date for the Permitted Convertible Debt that is so repurchased, exchanged or converted, the Borrower shall (and, for the avoidance of doubt, shall be permitted under this Section 7.7 to) exercise or unwind or terminate early (whether in cash, shares or any combination thereof) the portion of the Permitted Call Spread Agreements, if any, corresponding to such Permitted Convertible Debt that is so repurchased, exchanged or converted.</w:t>
      </w:r>
    </w:p>
    <w:p>
      <w:pPr>
        <w:spacing w:after="0" w:line="31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2"/>
          <w:szCs w:val="12"/>
          <w:b w:val="1"/>
          <w:bCs w:val="1"/>
          <w:color w:val="auto"/>
        </w:rPr>
        <w:t xml:space="preserve">1.8 Transactions with Affiliates. </w:t>
      </w:r>
      <w:r>
        <w:rPr>
          <w:rFonts w:ascii="Arial" w:cs="Arial" w:eastAsia="Arial" w:hAnsi="Arial"/>
          <w:sz w:val="12"/>
          <w:szCs w:val="12"/>
          <w:color w:val="auto"/>
        </w:rPr>
        <w:t>Directly or indirectly enter into or permit to exist any material transaction with any Affiliate of Borrower, except for (a) transactions that are in the ordinary</w:t>
      </w:r>
      <w:r>
        <w:rPr>
          <w:rFonts w:ascii="Arial" w:cs="Arial" w:eastAsia="Arial" w:hAnsi="Arial"/>
          <w:sz w:val="12"/>
          <w:szCs w:val="12"/>
          <w:b w:val="1"/>
          <w:bCs w:val="1"/>
          <w:color w:val="auto"/>
        </w:rPr>
        <w:t xml:space="preserve"> </w:t>
      </w:r>
      <w:r>
        <w:rPr>
          <w:rFonts w:ascii="Arial" w:cs="Arial" w:eastAsia="Arial" w:hAnsi="Arial"/>
          <w:sz w:val="12"/>
          <w:szCs w:val="12"/>
          <w:color w:val="auto"/>
        </w:rPr>
        <w:t>course of Borrower’s business, upon fair and reasonable terms that are no less favorable to Borrower than would be obtained in an arm’s length transaction with a non-affiliated Person; (b) sales of Borrower’s equity securities to the then-existing investors of Borrower in connection with a bona fide equity financing by the Board so long as such sale shall not result in a violation of the Change of Control provision in Section 6.2, (c) debt financings from Borrower’s investors so long as all such Indebtedness shall constitute Subordinated Debt, (d) reasonable and customary compensation arrangements and benefit plans for officers, and other employees of Borrower approved by the Board, (e) reasonable and customary compensation arrangements for fees and costs paid to members of the Board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80"/>
          </w:cols>
          <w:pgMar w:left="300" w:top="1100" w:right="319" w:bottom="1440" w:gutter="0" w:footer="0" w:header="0"/>
        </w:sectPr>
      </w:pPr>
    </w:p>
    <w:bookmarkStart w:id="87" w:name="page88"/>
    <w:bookmarkEnd w:id="87"/>
    <w:p>
      <w:pPr>
        <w:spacing w:after="0"/>
        <w:rPr>
          <w:sz w:val="20"/>
          <w:szCs w:val="20"/>
          <w:color w:val="auto"/>
        </w:rPr>
      </w:pPr>
      <w:r>
        <w:rPr>
          <w:rFonts w:ascii="Arial" w:cs="Arial" w:eastAsia="Arial" w:hAnsi="Arial"/>
          <w:sz w:val="13"/>
          <w:szCs w:val="13"/>
          <w:color w:val="auto"/>
        </w:rPr>
        <w:t>business, and (f) Investments of the type described in and permitted under clauses (g) and/or (h) of the definition of “Permitted Investments” herein.</w:t>
      </w:r>
    </w:p>
    <w:p>
      <w:pPr>
        <w:spacing w:after="0" w:line="17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3"/>
          <w:szCs w:val="13"/>
          <w:b w:val="1"/>
          <w:bCs w:val="1"/>
          <w:color w:val="auto"/>
        </w:rPr>
        <w:t xml:space="preserve">1.9 Subordinated Debt. </w:t>
      </w:r>
      <w:r>
        <w:rPr>
          <w:rFonts w:ascii="Arial" w:cs="Arial" w:eastAsia="Arial" w:hAnsi="Arial"/>
          <w:sz w:val="13"/>
          <w:szCs w:val="13"/>
          <w:color w:val="auto"/>
        </w:rPr>
        <w:t>Except as expressly permitted under the terms of the subordination, intercreditor, or other similar agreement to which any Subordinated Debt is subject: (a) make or</w:t>
      </w:r>
      <w:r>
        <w:rPr>
          <w:rFonts w:ascii="Arial" w:cs="Arial" w:eastAsia="Arial" w:hAnsi="Arial"/>
          <w:sz w:val="13"/>
          <w:szCs w:val="13"/>
          <w:b w:val="1"/>
          <w:bCs w:val="1"/>
          <w:color w:val="auto"/>
        </w:rPr>
        <w:t xml:space="preserve"> </w:t>
      </w:r>
      <w:r>
        <w:rPr>
          <w:rFonts w:ascii="Arial" w:cs="Arial" w:eastAsia="Arial" w:hAnsi="Arial"/>
          <w:sz w:val="13"/>
          <w:szCs w:val="13"/>
          <w:color w:val="auto"/>
        </w:rPr>
        <w:t>permit any payment on such Subordinated Debt; (b) amend any provision in any document relating to such Subordinated Debt which would increase the amount thereof, or (c) provide for earlier or greater principal, interest, or other payments thereon, or adversely affect the subordination thereof to Obligations owed to Bank in contravention of the terms of such the subordination, intercreditor, or other similar agreement.</w:t>
      </w:r>
    </w:p>
    <w:p>
      <w:pPr>
        <w:spacing w:after="0" w:line="130"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3"/>
          <w:szCs w:val="13"/>
          <w:b w:val="1"/>
          <w:bCs w:val="1"/>
          <w:color w:val="auto"/>
        </w:rPr>
        <w:t xml:space="preserve">1.10 Compliance. </w:t>
      </w:r>
      <w:r>
        <w:rPr>
          <w:rFonts w:ascii="Arial" w:cs="Arial" w:eastAsia="Arial" w:hAnsi="Arial"/>
          <w:sz w:val="13"/>
          <w:szCs w:val="13"/>
          <w:color w:val="auto"/>
        </w:rPr>
        <w:t>(a) Become an “investment company” or a company controlled by an “investment company”, under the Investment Company Act of 1940, as amended, or undertake as one of</w:t>
      </w:r>
      <w:r>
        <w:rPr>
          <w:rFonts w:ascii="Arial" w:cs="Arial" w:eastAsia="Arial" w:hAnsi="Arial"/>
          <w:sz w:val="13"/>
          <w:szCs w:val="13"/>
          <w:b w:val="1"/>
          <w:bCs w:val="1"/>
          <w:color w:val="auto"/>
        </w:rPr>
        <w:t xml:space="preserve"> </w:t>
      </w:r>
      <w:r>
        <w:rPr>
          <w:rFonts w:ascii="Arial" w:cs="Arial" w:eastAsia="Arial" w:hAnsi="Arial"/>
          <w:sz w:val="13"/>
          <w:szCs w:val="13"/>
          <w:color w:val="auto"/>
        </w:rPr>
        <w:t>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material liability of Borrower, including any material liability to the Pension Benefit Guaranty Corporation or its successors or any other Governmental Authority.</w:t>
      </w:r>
    </w:p>
    <w:p>
      <w:pPr>
        <w:spacing w:after="0" w:line="136"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b w:val="1"/>
          <w:bCs w:val="1"/>
          <w:color w:val="auto"/>
        </w:rPr>
        <w:t>1.11 Cash and Cash Equivalents held by Foreign Subsidiaries</w:t>
      </w:r>
      <w:r>
        <w:rPr>
          <w:rFonts w:ascii="Arial" w:cs="Arial" w:eastAsia="Arial" w:hAnsi="Arial"/>
          <w:sz w:val="13"/>
          <w:szCs w:val="13"/>
          <w:color w:val="auto"/>
        </w:rPr>
        <w:t>. The aggregate value of cash and Cash Equivalents held by all Foreign Subsidiaries of Borrower to exceed Two Million Five</w:t>
      </w:r>
      <w:r>
        <w:rPr>
          <w:rFonts w:ascii="Arial" w:cs="Arial" w:eastAsia="Arial" w:hAnsi="Arial"/>
          <w:sz w:val="13"/>
          <w:szCs w:val="13"/>
          <w:b w:val="1"/>
          <w:bCs w:val="1"/>
          <w:color w:val="auto"/>
        </w:rPr>
        <w:t xml:space="preserve"> </w:t>
      </w:r>
      <w:r>
        <w:rPr>
          <w:rFonts w:ascii="Arial" w:cs="Arial" w:eastAsia="Arial" w:hAnsi="Arial"/>
          <w:sz w:val="13"/>
          <w:szCs w:val="13"/>
          <w:color w:val="auto"/>
        </w:rPr>
        <w:t>Hundred Thousand Dollars ($2,500,000) for more than five (5) Business Days in each calendar month.</w:t>
      </w:r>
    </w:p>
    <w:p>
      <w:pPr>
        <w:spacing w:after="0" w:line="113"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b w:val="1"/>
          <w:bCs w:val="1"/>
          <w:color w:val="auto"/>
        </w:rPr>
        <w:t xml:space="preserve">1.12 Value of Assets held by Foreign Subsidiaries. </w:t>
      </w:r>
      <w:r>
        <w:rPr>
          <w:rFonts w:ascii="Arial" w:cs="Arial" w:eastAsia="Arial" w:hAnsi="Arial"/>
          <w:sz w:val="13"/>
          <w:szCs w:val="13"/>
          <w:color w:val="auto"/>
        </w:rPr>
        <w:t>The aggregate value of the assets owned by the Foreign Subsidiaries of Borrower shall not exceed twenty percent (20%) of the aggregate</w:t>
      </w:r>
      <w:r>
        <w:rPr>
          <w:rFonts w:ascii="Arial" w:cs="Arial" w:eastAsia="Arial" w:hAnsi="Arial"/>
          <w:sz w:val="13"/>
          <w:szCs w:val="13"/>
          <w:b w:val="1"/>
          <w:bCs w:val="1"/>
          <w:color w:val="auto"/>
        </w:rPr>
        <w:t xml:space="preserve"> </w:t>
      </w:r>
      <w:r>
        <w:rPr>
          <w:rFonts w:ascii="Arial" w:cs="Arial" w:eastAsia="Arial" w:hAnsi="Arial"/>
          <w:sz w:val="13"/>
          <w:szCs w:val="13"/>
          <w:color w:val="auto"/>
        </w:rPr>
        <w:t>value of all assets owned by the Borrower and its Subsidiaries.</w:t>
      </w:r>
    </w:p>
    <w:p>
      <w:pPr>
        <w:spacing w:after="0" w:line="113"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b w:val="1"/>
          <w:bCs w:val="1"/>
          <w:color w:val="auto"/>
        </w:rPr>
        <w:t xml:space="preserve">1.13 Redemption of Permitted Convertible Debt. </w:t>
      </w:r>
      <w:r>
        <w:rPr>
          <w:rFonts w:ascii="Arial" w:cs="Arial" w:eastAsia="Arial" w:hAnsi="Arial"/>
          <w:sz w:val="13"/>
          <w:szCs w:val="13"/>
          <w:color w:val="auto"/>
        </w:rPr>
        <w:t>Exercise any redemption right with respect to any Permitted Convertible Debt upon satisfaction of a condition related to the stock price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Borrower’s common stock, unless the Redemption Conditions are satisfied in respect of such redemption.</w:t>
      </w:r>
    </w:p>
    <w:p>
      <w:pPr>
        <w:spacing w:after="0" w:line="113" w:lineRule="exact"/>
        <w:rPr>
          <w:sz w:val="20"/>
          <w:szCs w:val="20"/>
          <w:color w:val="auto"/>
        </w:rPr>
      </w:pPr>
    </w:p>
    <w:p>
      <w:pPr>
        <w:ind w:left="980" w:hanging="493"/>
        <w:spacing w:after="0"/>
        <w:tabs>
          <w:tab w:leader="none" w:pos="980"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EVENTS OF DEFAULT</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Any one of the following shall constitute an event of default (an “</w:t>
      </w:r>
      <w:r>
        <w:rPr>
          <w:rFonts w:ascii="Arial" w:cs="Arial" w:eastAsia="Arial" w:hAnsi="Arial"/>
          <w:sz w:val="13"/>
          <w:szCs w:val="13"/>
          <w:b w:val="1"/>
          <w:bCs w:val="1"/>
          <w:color w:val="auto"/>
        </w:rPr>
        <w:t>Event of Default</w:t>
      </w:r>
      <w:r>
        <w:rPr>
          <w:rFonts w:ascii="Arial" w:cs="Arial" w:eastAsia="Arial" w:hAnsi="Arial"/>
          <w:sz w:val="13"/>
          <w:szCs w:val="13"/>
          <w:color w:val="auto"/>
        </w:rPr>
        <w:t>”) under this Agreement:</w:t>
      </w:r>
    </w:p>
    <w:p>
      <w:pPr>
        <w:spacing w:after="0" w:line="17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3"/>
          <w:szCs w:val="13"/>
          <w:b w:val="1"/>
          <w:bCs w:val="1"/>
          <w:color w:val="auto"/>
        </w:rPr>
        <w:t xml:space="preserve">7.1 Payment Default. </w:t>
      </w:r>
      <w:r>
        <w:rPr>
          <w:rFonts w:ascii="Arial" w:cs="Arial" w:eastAsia="Arial" w:hAnsi="Arial"/>
          <w:sz w:val="13"/>
          <w:szCs w:val="13"/>
          <w:color w:val="auto"/>
        </w:rPr>
        <w:t>Borrower fails to (a) make any payment of principal or interest on any Credit Extension on its due date, or (b) pay any other Obligations within three (3) Business Days</w:t>
      </w:r>
      <w:r>
        <w:rPr>
          <w:rFonts w:ascii="Arial" w:cs="Arial" w:eastAsia="Arial" w:hAnsi="Arial"/>
          <w:sz w:val="13"/>
          <w:szCs w:val="13"/>
          <w:b w:val="1"/>
          <w:bCs w:val="1"/>
          <w:color w:val="auto"/>
        </w:rPr>
        <w:t xml:space="preserve"> </w:t>
      </w:r>
      <w:r>
        <w:rPr>
          <w:rFonts w:ascii="Arial" w:cs="Arial" w:eastAsia="Arial" w:hAnsi="Arial"/>
          <w:sz w:val="13"/>
          <w:szCs w:val="13"/>
          <w:color w:val="auto"/>
        </w:rPr>
        <w:t>after such Obligations are due and payable (which three (3) Business Day cure period shall not apply to payments due on the Term Loan Maturity Date), in each unless such late payment is due to Bank’s failure to auto-debit such payment when sufficient funds were contained in the Designated Deposit Account (or if insufficient funds are contained therein, or if an Event of Default has occurred and is continuing, any of Borrower’s other accounts at Bank). During the cure period, the failure to make or pay any payment specified under clause (b) hereunder is not an Event of Default (but no Credit Extension will be made during the cure period);</w:t>
      </w:r>
    </w:p>
    <w:p>
      <w:pPr>
        <w:spacing w:after="0" w:line="13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7.2</w:t>
      </w:r>
      <w:r>
        <w:rPr>
          <w:sz w:val="20"/>
          <w:szCs w:val="20"/>
          <w:color w:val="auto"/>
        </w:rPr>
        <w:tab/>
      </w:r>
      <w:r>
        <w:rPr>
          <w:rFonts w:ascii="Arial" w:cs="Arial" w:eastAsia="Arial" w:hAnsi="Arial"/>
          <w:sz w:val="12"/>
          <w:szCs w:val="12"/>
          <w:b w:val="1"/>
          <w:bCs w:val="1"/>
          <w:color w:val="auto"/>
        </w:rPr>
        <w:t>Covenant Default.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80"/>
          </w:cols>
          <w:pgMar w:left="300" w:top="1100" w:right="319" w:bottom="1440" w:gutter="0" w:footer="0" w:header="0"/>
        </w:sectPr>
      </w:pPr>
    </w:p>
    <w:bookmarkStart w:id="88" w:name="page89"/>
    <w:bookmarkEnd w:id="88"/>
    <w:p>
      <w:pPr>
        <w:ind w:firstLine="973"/>
        <w:spacing w:after="0" w:line="296" w:lineRule="auto"/>
        <w:tabs>
          <w:tab w:leader="none" w:pos="1455" w:val="left"/>
        </w:tabs>
        <w:numPr>
          <w:ilvl w:val="0"/>
          <w:numId w:val="75"/>
        </w:numPr>
        <w:rPr>
          <w:rFonts w:ascii="Arial" w:cs="Arial" w:eastAsia="Arial" w:hAnsi="Arial"/>
          <w:sz w:val="13"/>
          <w:szCs w:val="13"/>
          <w:color w:val="auto"/>
        </w:rPr>
      </w:pPr>
      <w:r>
        <w:rPr>
          <w:rFonts w:ascii="Arial" w:cs="Arial" w:eastAsia="Arial" w:hAnsi="Arial"/>
          <w:sz w:val="13"/>
          <w:szCs w:val="13"/>
          <w:color w:val="auto"/>
        </w:rPr>
        <w:t>Borrower fails or neglects to perform any obligation in Section 5 (other than Sections 5.2 (Government Compliance), 5.12 (Litigation Cooperation), 5.15 (Inventory; Returns) and 5.16 (Further Assurances)) or violates any covenant in Section 6; or</w:t>
      </w:r>
    </w:p>
    <w:p>
      <w:pPr>
        <w:spacing w:after="0" w:line="117" w:lineRule="exact"/>
        <w:rPr>
          <w:rFonts w:ascii="Arial" w:cs="Arial" w:eastAsia="Arial" w:hAnsi="Arial"/>
          <w:sz w:val="13"/>
          <w:szCs w:val="13"/>
          <w:color w:val="auto"/>
        </w:rPr>
      </w:pPr>
    </w:p>
    <w:p>
      <w:pPr>
        <w:jc w:val="both"/>
        <w:ind w:firstLine="973"/>
        <w:spacing w:after="0" w:line="267" w:lineRule="auto"/>
        <w:tabs>
          <w:tab w:leader="none" w:pos="1453" w:val="left"/>
        </w:tabs>
        <w:numPr>
          <w:ilvl w:val="0"/>
          <w:numId w:val="75"/>
        </w:numPr>
        <w:rPr>
          <w:rFonts w:ascii="Arial" w:cs="Arial" w:eastAsia="Arial" w:hAnsi="Arial"/>
          <w:sz w:val="13"/>
          <w:szCs w:val="13"/>
          <w:color w:val="auto"/>
        </w:rPr>
      </w:pPr>
      <w:r>
        <w:rPr>
          <w:rFonts w:ascii="Arial" w:cs="Arial" w:eastAsia="Arial" w:hAnsi="Arial"/>
          <w:sz w:val="13"/>
          <w:szCs w:val="13"/>
          <w:color w:val="auto"/>
        </w:rPr>
        <w:t>Borrower fails or neglects to perform, keep, or observe any other term, provision, condition, covenant or agreement contained in this Agreement or any Loan Documents, and as to any default (other than those specified in this Section 7)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to any covenants set forth in Section 7.2(a) above;</w:t>
      </w:r>
    </w:p>
    <w:p>
      <w:pPr>
        <w:spacing w:after="0" w:line="13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7.3</w:t>
      </w:r>
      <w:r>
        <w:rPr>
          <w:sz w:val="20"/>
          <w:szCs w:val="20"/>
          <w:color w:val="auto"/>
        </w:rPr>
        <w:tab/>
      </w:r>
      <w:r>
        <w:rPr>
          <w:rFonts w:ascii="Arial" w:cs="Arial" w:eastAsia="Arial" w:hAnsi="Arial"/>
          <w:sz w:val="12"/>
          <w:szCs w:val="12"/>
          <w:b w:val="1"/>
          <w:bCs w:val="1"/>
          <w:color w:val="auto"/>
        </w:rPr>
        <w:t xml:space="preserve">Material Adverse Change. </w:t>
      </w:r>
      <w:r>
        <w:rPr>
          <w:rFonts w:ascii="Arial" w:cs="Arial" w:eastAsia="Arial" w:hAnsi="Arial"/>
          <w:sz w:val="12"/>
          <w:szCs w:val="12"/>
          <w:color w:val="auto"/>
        </w:rPr>
        <w:t>A Material Adverse Change occurs;</w:t>
      </w:r>
    </w:p>
    <w:p>
      <w:pPr>
        <w:spacing w:after="0" w:line="17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7.4</w:t>
      </w:r>
      <w:r>
        <w:rPr>
          <w:sz w:val="20"/>
          <w:szCs w:val="20"/>
          <w:color w:val="auto"/>
        </w:rPr>
        <w:tab/>
      </w:r>
      <w:r>
        <w:rPr>
          <w:rFonts w:ascii="Arial" w:cs="Arial" w:eastAsia="Arial" w:hAnsi="Arial"/>
          <w:sz w:val="12"/>
          <w:szCs w:val="12"/>
          <w:b w:val="1"/>
          <w:bCs w:val="1"/>
          <w:color w:val="auto"/>
        </w:rPr>
        <w:t>Attachment; Levy; Restraint on Business.</w:t>
      </w:r>
    </w:p>
    <w:p>
      <w:pPr>
        <w:spacing w:after="0" w:line="176" w:lineRule="exact"/>
        <w:rPr>
          <w:sz w:val="20"/>
          <w:szCs w:val="20"/>
          <w:color w:val="auto"/>
        </w:rPr>
      </w:pPr>
    </w:p>
    <w:p>
      <w:pPr>
        <w:jc w:val="both"/>
        <w:ind w:firstLine="973"/>
        <w:spacing w:after="0" w:line="272" w:lineRule="auto"/>
        <w:tabs>
          <w:tab w:leader="none" w:pos="1455" w:val="left"/>
        </w:tabs>
        <w:numPr>
          <w:ilvl w:val="0"/>
          <w:numId w:val="76"/>
        </w:numPr>
        <w:rPr>
          <w:rFonts w:ascii="Arial" w:cs="Arial" w:eastAsia="Arial" w:hAnsi="Arial"/>
          <w:sz w:val="13"/>
          <w:szCs w:val="13"/>
          <w:color w:val="auto"/>
        </w:rPr>
      </w:pPr>
      <w:r>
        <w:rPr>
          <w:rFonts w:ascii="Arial" w:cs="Arial" w:eastAsia="Arial" w:hAnsi="Arial"/>
          <w:sz w:val="13"/>
          <w:szCs w:val="13"/>
          <w:color w:val="auto"/>
        </w:rPr>
        <w:t>(i) The service of process seeking to attach, by trustee or similar process, any funds of Borrower or any Subsidiary with a value in excess of Two Hundred Thousand Dollars ($200,000), or (ii) a notice of lien or levy in an amount in excess of Two Hundred Thousand Dollars ($200,000), is filed against any of Borrower’s or any of its Subsidiaries’ assets by any Governmental Authority, and the same under subclauses (i) and (ii) hereof are not, within fifteen (15) days after the occurrence thereof, discharged or stayed (whether through the posting of a bond or otherwise); provided, however, no Credit Extensions shall be made during any fifteen (15) day cure period; or</w:t>
      </w:r>
    </w:p>
    <w:p>
      <w:pPr>
        <w:spacing w:after="0" w:line="132" w:lineRule="exact"/>
        <w:rPr>
          <w:rFonts w:ascii="Arial" w:cs="Arial" w:eastAsia="Arial" w:hAnsi="Arial"/>
          <w:sz w:val="13"/>
          <w:szCs w:val="13"/>
          <w:color w:val="auto"/>
        </w:rPr>
      </w:pPr>
    </w:p>
    <w:p>
      <w:pPr>
        <w:ind w:firstLine="973"/>
        <w:spacing w:after="0" w:line="296" w:lineRule="auto"/>
        <w:tabs>
          <w:tab w:leader="none" w:pos="1453" w:val="left"/>
        </w:tabs>
        <w:numPr>
          <w:ilvl w:val="0"/>
          <w:numId w:val="76"/>
        </w:numPr>
        <w:rPr>
          <w:rFonts w:ascii="Arial" w:cs="Arial" w:eastAsia="Arial" w:hAnsi="Arial"/>
          <w:sz w:val="13"/>
          <w:szCs w:val="13"/>
          <w:color w:val="auto"/>
        </w:rPr>
      </w:pPr>
      <w:r>
        <w:rPr>
          <w:rFonts w:ascii="Arial" w:cs="Arial" w:eastAsia="Arial" w:hAnsi="Arial"/>
          <w:sz w:val="13"/>
          <w:szCs w:val="13"/>
          <w:color w:val="auto"/>
        </w:rPr>
        <w:t>(i) any material portion of Borrower’s or any of its Subsidiaries’ assets with a value in excess of Two Hundred Thousand Dollars ($200,000), is attached, seized, levied on, or comes into possession of a trustee or receiver, or (ii) any court order enjoins, restrains, or prevents Borrower or any of its Subsidiaries from conducting all or any material part of its business;</w:t>
      </w:r>
    </w:p>
    <w:p>
      <w:pPr>
        <w:spacing w:after="0" w:line="11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b w:val="1"/>
          <w:bCs w:val="1"/>
          <w:color w:val="auto"/>
        </w:rPr>
        <w:t xml:space="preserve">7.5 Insolvency. </w:t>
      </w:r>
      <w:r>
        <w:rPr>
          <w:rFonts w:ascii="Arial" w:cs="Arial" w:eastAsia="Arial" w:hAnsi="Arial"/>
          <w:sz w:val="13"/>
          <w:szCs w:val="13"/>
          <w:color w:val="auto"/>
        </w:rPr>
        <w:t>(a) Borrower or Borrower and of its Subsidiaries (taken as a whole) is unable to pay its debts (including trade debts) as they become due or otherwise becomes insolvent; (b)</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 or any of its Subsidiaries begins an Insolvency Proceeding; or (c) an Insolvency Proceeding is begun against Borrower or any of its Subsidiaries and is not dismissed or stayed within forty-five (45) days (but no Credit Extensions shall be made while any of the conditions described in clause (a) exist and/or until any Insolvency Proceeding is dismissed);</w:t>
      </w:r>
    </w:p>
    <w:p>
      <w:pPr>
        <w:spacing w:after="0" w:line="12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3"/>
          <w:szCs w:val="13"/>
          <w:b w:val="1"/>
          <w:bCs w:val="1"/>
          <w:color w:val="auto"/>
        </w:rPr>
        <w:t xml:space="preserve">7.6 Other Agreements. </w:t>
      </w:r>
      <w:r>
        <w:rPr>
          <w:rFonts w:ascii="Arial" w:cs="Arial" w:eastAsia="Arial" w:hAnsi="Arial"/>
          <w:sz w:val="13"/>
          <w:szCs w:val="13"/>
          <w:color w:val="auto"/>
        </w:rPr>
        <w:t>There is, under any agreement to which Borrower, any of Borrower’s Subsidiaries, or any Guarantor is a party with a third party or parties, (a) any default by 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(after applicable grace and/or cure periods) resulting in a right by such third party or parties, whether or not exercised, to accelerate the maturity of any Indebtedness in an amount individually or in the aggregate in excess of Five Hundred Thousand Dollars ($500,000); or (b) any breach or default by Borrower, any of Borrower’s Subsidiaries, or Guarantor the result of which could reasonably be expected to have a material adverse effect on Borrower’s, any of Borrower’s Subsidiaries’, or any Guarantor’s business or operations (taken as a whole)</w:t>
      </w:r>
    </w:p>
    <w:p>
      <w:pPr>
        <w:spacing w:after="0" w:line="13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3"/>
          <w:szCs w:val="13"/>
          <w:b w:val="1"/>
          <w:bCs w:val="1"/>
          <w:color w:val="auto"/>
        </w:rPr>
        <w:t xml:space="preserve">7.7 Judgments; Penalties. </w:t>
      </w:r>
      <w:r>
        <w:rPr>
          <w:rFonts w:ascii="Arial" w:cs="Arial" w:eastAsia="Arial" w:hAnsi="Arial"/>
          <w:sz w:val="13"/>
          <w:szCs w:val="13"/>
          <w:color w:val="auto"/>
        </w:rPr>
        <w:t>One or more fines, penalties or final judgments, orders or decrees for the payment of money in an amount, individually or in the aggregate, of at least Five Hundred</w:t>
      </w:r>
      <w:r>
        <w:rPr>
          <w:rFonts w:ascii="Arial" w:cs="Arial" w:eastAsia="Arial" w:hAnsi="Arial"/>
          <w:sz w:val="13"/>
          <w:szCs w:val="13"/>
          <w:b w:val="1"/>
          <w:bCs w:val="1"/>
          <w:color w:val="auto"/>
        </w:rPr>
        <w:t xml:space="preserve"> </w:t>
      </w:r>
      <w:r>
        <w:rPr>
          <w:rFonts w:ascii="Arial" w:cs="Arial" w:eastAsia="Arial" w:hAnsi="Arial"/>
          <w:sz w:val="13"/>
          <w:szCs w:val="13"/>
          <w:color w:val="auto"/>
        </w:rPr>
        <w:t>Thousand Dollars ($500,000)(not covered by independent third-party insurance as to which liability has been accepted by such insurance carrier) shall be rendered against Borrower or any of its Subsidiaries by any Governmental Authority, and the same are not, within ten (10) days after the entry, assessment or issuance thereof, discharged, satisfied or paid, or after execution thereof, or stayed pending appeal, or such judgments are not discharged, satisfied or paid prior to the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80"/>
          </w:cols>
          <w:pgMar w:left="300" w:top="1100" w:right="319" w:bottom="1440" w:gutter="0" w:footer="0" w:header="0"/>
        </w:sectPr>
      </w:pPr>
    </w:p>
    <w:bookmarkStart w:id="89" w:name="page90"/>
    <w:bookmarkEnd w:id="89"/>
    <w:p>
      <w:pPr>
        <w:spacing w:after="0"/>
        <w:rPr>
          <w:sz w:val="20"/>
          <w:szCs w:val="20"/>
          <w:color w:val="auto"/>
        </w:rPr>
      </w:pPr>
      <w:r>
        <w:rPr>
          <w:rFonts w:ascii="Arial" w:cs="Arial" w:eastAsia="Arial" w:hAnsi="Arial"/>
          <w:sz w:val="13"/>
          <w:szCs w:val="13"/>
          <w:color w:val="auto"/>
        </w:rPr>
        <w:t>expiration of any such stay (provided that no Credit Extensions will be made prior to the discharge, satisfaction, payment, or stay of such fine, penalty, judgment, order or decree);</w:t>
      </w:r>
    </w:p>
    <w:p>
      <w:pPr>
        <w:spacing w:after="0" w:line="17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2"/>
          <w:szCs w:val="12"/>
          <w:b w:val="1"/>
          <w:bCs w:val="1"/>
          <w:color w:val="auto"/>
        </w:rPr>
        <w:t xml:space="preserve">7.8 Misrepresentations. </w:t>
      </w:r>
      <w:r>
        <w:rPr>
          <w:rFonts w:ascii="Arial" w:cs="Arial" w:eastAsia="Arial" w:hAnsi="Arial"/>
          <w:sz w:val="12"/>
          <w:szCs w:val="12"/>
          <w:color w:val="auto"/>
        </w:rPr>
        <w:t>Borrower or any of its Subsidiaries or any Responsible Person acting for Borrower or any of its Subsidiaries knowingly makes any representation, warranty, or other</w:t>
      </w:r>
      <w:r>
        <w:rPr>
          <w:rFonts w:ascii="Arial" w:cs="Arial" w:eastAsia="Arial" w:hAnsi="Arial"/>
          <w:sz w:val="12"/>
          <w:szCs w:val="12"/>
          <w:b w:val="1"/>
          <w:bCs w:val="1"/>
          <w:color w:val="auto"/>
        </w:rPr>
        <w:t xml:space="preserve"> </w:t>
      </w:r>
      <w:r>
        <w:rPr>
          <w:rFonts w:ascii="Arial" w:cs="Arial" w:eastAsia="Arial" w:hAnsi="Arial"/>
          <w:sz w:val="12"/>
          <w:szCs w:val="12"/>
          <w:color w:val="auto"/>
        </w:rPr>
        <w:t>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1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3"/>
          <w:szCs w:val="13"/>
          <w:b w:val="1"/>
          <w:bCs w:val="1"/>
          <w:color w:val="auto"/>
        </w:rPr>
        <w:t xml:space="preserve">7.9 Subordinated Debt. </w:t>
      </w:r>
      <w:r>
        <w:rPr>
          <w:rFonts w:ascii="Arial" w:cs="Arial" w:eastAsia="Arial" w:hAnsi="Arial"/>
          <w:sz w:val="13"/>
          <w:szCs w:val="13"/>
          <w:color w:val="auto"/>
        </w:rPr>
        <w:t>If: (a) any document, instrument, or agreement evidencing any Subordinated Debt shall for any reason be revoked or invalidated or otherwise cease to be in full force</w:t>
      </w:r>
      <w:r>
        <w:rPr>
          <w:rFonts w:ascii="Arial" w:cs="Arial" w:eastAsia="Arial" w:hAnsi="Arial"/>
          <w:sz w:val="13"/>
          <w:szCs w:val="13"/>
          <w:b w:val="1"/>
          <w:bCs w:val="1"/>
          <w:color w:val="auto"/>
        </w:rPr>
        <w:t xml:space="preserve"> </w:t>
      </w:r>
      <w:r>
        <w:rPr>
          <w:rFonts w:ascii="Arial" w:cs="Arial" w:eastAsia="Arial" w:hAnsi="Arial"/>
          <w:sz w:val="13"/>
          <w:szCs w:val="13"/>
          <w:color w:val="auto"/>
        </w:rPr>
        <w:t>and effect (other than in accordance with the terms of such document, instrument or agreement)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the applicable subordination or intercreditor agreement;</w:t>
      </w:r>
    </w:p>
    <w:p>
      <w:pPr>
        <w:spacing w:after="0" w:line="13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b w:val="1"/>
          <w:bCs w:val="1"/>
          <w:color w:val="auto"/>
        </w:rPr>
        <w:t>7.10 Lien Priority</w:t>
      </w:r>
      <w:r>
        <w:rPr>
          <w:rFonts w:ascii="Arial" w:cs="Arial" w:eastAsia="Arial" w:hAnsi="Arial"/>
          <w:sz w:val="13"/>
          <w:szCs w:val="13"/>
          <w:color w:val="auto"/>
        </w:rPr>
        <w:t>. There is a material impairment in the perfection or priority of Bank’s security interest in the Collateral (unless such failure is caused by Bank’s gross negligence or willful</w:t>
      </w:r>
      <w:r>
        <w:rPr>
          <w:rFonts w:ascii="Arial" w:cs="Arial" w:eastAsia="Arial" w:hAnsi="Arial"/>
          <w:sz w:val="13"/>
          <w:szCs w:val="13"/>
          <w:b w:val="1"/>
          <w:bCs w:val="1"/>
          <w:color w:val="auto"/>
        </w:rPr>
        <w:t xml:space="preserve"> </w:t>
      </w:r>
      <w:r>
        <w:rPr>
          <w:rFonts w:ascii="Arial" w:cs="Arial" w:eastAsia="Arial" w:hAnsi="Arial"/>
          <w:sz w:val="13"/>
          <w:szCs w:val="13"/>
          <w:color w:val="auto"/>
        </w:rPr>
        <w:t>misconduct);</w:t>
      </w:r>
    </w:p>
    <w:p>
      <w:pPr>
        <w:spacing w:after="0" w:line="11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3"/>
          <w:szCs w:val="13"/>
          <w:b w:val="1"/>
          <w:bCs w:val="1"/>
          <w:color w:val="auto"/>
        </w:rPr>
        <w:t xml:space="preserve">7.11 Guaranty. </w:t>
      </w:r>
      <w:r>
        <w:rPr>
          <w:rFonts w:ascii="Arial" w:cs="Arial" w:eastAsia="Arial" w:hAnsi="Arial"/>
          <w:sz w:val="13"/>
          <w:szCs w:val="13"/>
          <w:color w:val="auto"/>
        </w:rPr>
        <w:t>(a) Any guaranty of any Obligations terminates or ceases for any reason to be in full force and effect (except due to termination in accordance with the terms of such guaranty); (b)</w:t>
      </w:r>
      <w:r>
        <w:rPr>
          <w:rFonts w:ascii="Arial" w:cs="Arial" w:eastAsia="Arial" w:hAnsi="Arial"/>
          <w:sz w:val="13"/>
          <w:szCs w:val="13"/>
          <w:b w:val="1"/>
          <w:bCs w:val="1"/>
          <w:color w:val="auto"/>
        </w:rPr>
        <w:t xml:space="preserve"> </w:t>
      </w:r>
      <w:r>
        <w:rPr>
          <w:rFonts w:ascii="Arial" w:cs="Arial" w:eastAsia="Arial" w:hAnsi="Arial"/>
          <w:sz w:val="13"/>
          <w:szCs w:val="13"/>
          <w:color w:val="auto"/>
        </w:rPr>
        <w:t>any Guarantor does not perform any material obligation or covenant under any guaranty of the Obligations; (c) any circumstance described in Sections 7.3, 7.4, 7.5, 7.6, 7.7, or 7.8 of this Agreement occurs with respect to any Guarantor (subject to the applicable cure and grace periods herein), (d) the death, liquidation, winding up, or termination of existence of any Guarantor; or (e)a material impairment in the perfection or priority of Bank’s Lien in the collateral provided by Guarantor or in the value of such collateral ; or</w:t>
      </w:r>
    </w:p>
    <w:p>
      <w:pPr>
        <w:spacing w:after="0" w:line="130"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3"/>
          <w:szCs w:val="13"/>
          <w:b w:val="1"/>
          <w:bCs w:val="1"/>
          <w:color w:val="auto"/>
        </w:rPr>
        <w:t xml:space="preserve">1.12 Governmental Approvals. </w:t>
      </w:r>
      <w:r>
        <w:rPr>
          <w:rFonts w:ascii="Arial" w:cs="Arial" w:eastAsia="Arial" w:hAnsi="Arial"/>
          <w:sz w:val="13"/>
          <w:szCs w:val="13"/>
          <w:color w:val="auto"/>
        </w:rPr>
        <w:t>Any Governmental Approval shall have been (a) revoked, rescinded, suspended, modified in an adverse manner or not renewed in the ordinary course for a full</w:t>
      </w:r>
      <w:r>
        <w:rPr>
          <w:rFonts w:ascii="Arial" w:cs="Arial" w:eastAsia="Arial" w:hAnsi="Arial"/>
          <w:sz w:val="13"/>
          <w:szCs w:val="13"/>
          <w:b w:val="1"/>
          <w:bCs w:val="1"/>
          <w:color w:val="auto"/>
        </w:rPr>
        <w:t xml:space="preserve"> </w:t>
      </w:r>
      <w:r>
        <w:rPr>
          <w:rFonts w:ascii="Arial" w:cs="Arial" w:eastAsia="Arial" w:hAnsi="Arial"/>
          <w:sz w:val="13"/>
          <w:szCs w:val="13"/>
          <w:color w:val="auto"/>
        </w:rPr>
        <w:t>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materially and adversely affects the legal qualifications of Borrower or any of its Subsidiaries to hold such Governmental Approval in any applicable jurisdiction and such revocation, rescission, suspension, modification or non-renewal could reasonably be expected to materially and adversely affect the status of or legal qualifications of Borrower or any of its Subsidiaries to hold any Governmental Approval in any other jurisdiction that is material to the operation of Borrower’s business.</w:t>
      </w:r>
    </w:p>
    <w:p>
      <w:pPr>
        <w:spacing w:after="0" w:line="136" w:lineRule="exact"/>
        <w:rPr>
          <w:sz w:val="20"/>
          <w:szCs w:val="20"/>
          <w:color w:val="auto"/>
        </w:rPr>
      </w:pPr>
    </w:p>
    <w:p>
      <w:pPr>
        <w:ind w:left="980" w:hanging="493"/>
        <w:spacing w:after="0"/>
        <w:tabs>
          <w:tab w:leader="none" w:pos="98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BANK’S RIGHTS AND REMEDIES</w:t>
      </w:r>
    </w:p>
    <w:p>
      <w:pPr>
        <w:spacing w:after="0" w:line="17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8.1</w:t>
      </w:r>
      <w:r>
        <w:rPr>
          <w:sz w:val="20"/>
          <w:szCs w:val="20"/>
          <w:color w:val="auto"/>
        </w:rPr>
        <w:tab/>
      </w:r>
      <w:r>
        <w:rPr>
          <w:rFonts w:ascii="Arial" w:cs="Arial" w:eastAsia="Arial" w:hAnsi="Arial"/>
          <w:sz w:val="12"/>
          <w:szCs w:val="12"/>
          <w:b w:val="1"/>
          <w:bCs w:val="1"/>
          <w:color w:val="auto"/>
        </w:rPr>
        <w:t xml:space="preserve">Rights and Remedies. </w:t>
      </w:r>
      <w:r>
        <w:rPr>
          <w:rFonts w:ascii="Arial" w:cs="Arial" w:eastAsia="Arial" w:hAnsi="Arial"/>
          <w:sz w:val="12"/>
          <w:szCs w:val="12"/>
          <w:color w:val="auto"/>
        </w:rPr>
        <w:t>Upon the occurrence and during the continuance of an Event of Default, Bank may, without notice or demand, do any or all of the following:</w:t>
      </w:r>
    </w:p>
    <w:p>
      <w:pPr>
        <w:spacing w:after="0" w:line="176" w:lineRule="exact"/>
        <w:rPr>
          <w:sz w:val="20"/>
          <w:szCs w:val="20"/>
          <w:color w:val="auto"/>
        </w:rPr>
      </w:pPr>
    </w:p>
    <w:p>
      <w:pPr>
        <w:ind w:left="1460" w:hanging="487"/>
        <w:spacing w:after="0"/>
        <w:tabs>
          <w:tab w:leader="none" w:pos="14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declare all Obligations immediately due and payable (but if an Event of Default described in Section 7.5 occurs all Obligations are immediately due and payable without any action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by Bank);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80"/>
          </w:cols>
          <w:pgMar w:left="300" w:top="1100" w:right="319" w:bottom="1440" w:gutter="0" w:footer="0" w:header="0"/>
        </w:sectPr>
      </w:pPr>
    </w:p>
    <w:bookmarkStart w:id="90" w:name="page91"/>
    <w:bookmarkEnd w:id="90"/>
    <w:p>
      <w:pPr>
        <w:ind w:left="1460" w:hanging="487"/>
        <w:spacing w:after="0"/>
        <w:tabs>
          <w:tab w:leader="none" w:pos="14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stop advancing money or extending credit for Borrower’s benefit under this Agreement or under any other agreement between Borrower and Bank;</w:t>
      </w:r>
    </w:p>
    <w:p>
      <w:pPr>
        <w:spacing w:after="0" w:line="174" w:lineRule="exact"/>
        <w:rPr>
          <w:rFonts w:ascii="Arial" w:cs="Arial" w:eastAsia="Arial" w:hAnsi="Arial"/>
          <w:sz w:val="13"/>
          <w:szCs w:val="13"/>
          <w:color w:val="auto"/>
        </w:rPr>
      </w:pPr>
    </w:p>
    <w:p>
      <w:pPr>
        <w:jc w:val="both"/>
        <w:ind w:firstLine="973"/>
        <w:spacing w:after="0" w:line="269" w:lineRule="auto"/>
        <w:tabs>
          <w:tab w:leader="none" w:pos="1455" w:val="left"/>
        </w:tabs>
        <w:numPr>
          <w:ilvl w:val="0"/>
          <w:numId w:val="79"/>
        </w:numPr>
        <w:rPr>
          <w:rFonts w:ascii="Arial" w:cs="Arial" w:eastAsia="Arial" w:hAnsi="Arial"/>
          <w:sz w:val="13"/>
          <w:szCs w:val="13"/>
          <w:color w:val="auto"/>
        </w:rPr>
      </w:pPr>
      <w:r>
        <w:rPr>
          <w:rFonts w:ascii="Arial" w:cs="Arial" w:eastAsia="Arial" w:hAnsi="Arial"/>
          <w:sz w:val="13"/>
          <w:szCs w:val="13"/>
          <w:color w:val="auto"/>
        </w:rPr>
        <w:t>demand that Borrower (i) deposit cash with Bank in an amount equal to at least (A) one hundred and five percent (105.0%) of the aggregate face amount of any Letters of Credit denominated in Dollars remaining undrawn, and (B) one hundred and fifteen percent (115.0%)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33" w:lineRule="exact"/>
        <w:rPr>
          <w:rFonts w:ascii="Arial" w:cs="Arial" w:eastAsia="Arial" w:hAnsi="Arial"/>
          <w:sz w:val="13"/>
          <w:szCs w:val="13"/>
          <w:color w:val="auto"/>
        </w:rPr>
      </w:pPr>
    </w:p>
    <w:p>
      <w:pPr>
        <w:jc w:val="both"/>
        <w:ind w:firstLine="973"/>
        <w:spacing w:after="0" w:line="272" w:lineRule="auto"/>
        <w:tabs>
          <w:tab w:leader="none" w:pos="1453" w:val="left"/>
        </w:tabs>
        <w:numPr>
          <w:ilvl w:val="0"/>
          <w:numId w:val="79"/>
        </w:numPr>
        <w:rPr>
          <w:rFonts w:ascii="Arial" w:cs="Arial" w:eastAsia="Arial" w:hAnsi="Arial"/>
          <w:sz w:val="13"/>
          <w:szCs w:val="13"/>
          <w:color w:val="auto"/>
        </w:rPr>
      </w:pPr>
      <w:r>
        <w:rPr>
          <w:rFonts w:ascii="Arial" w:cs="Arial" w:eastAsia="Arial" w:hAnsi="Arial"/>
          <w:sz w:val="13"/>
          <w:szCs w:val="13"/>
          <w:color w:val="auto"/>
        </w:rPr>
        <w:t>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 (ii)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w:t>
      </w:r>
    </w:p>
    <w:p>
      <w:pPr>
        <w:spacing w:after="0" w:line="132" w:lineRule="exact"/>
        <w:rPr>
          <w:rFonts w:ascii="Arial" w:cs="Arial" w:eastAsia="Arial" w:hAnsi="Arial"/>
          <w:sz w:val="13"/>
          <w:szCs w:val="13"/>
          <w:color w:val="auto"/>
        </w:rPr>
      </w:pPr>
    </w:p>
    <w:p>
      <w:pPr>
        <w:ind w:firstLine="973"/>
        <w:spacing w:after="0" w:line="296" w:lineRule="auto"/>
        <w:tabs>
          <w:tab w:leader="none" w:pos="1455" w:val="left"/>
        </w:tabs>
        <w:numPr>
          <w:ilvl w:val="0"/>
          <w:numId w:val="79"/>
        </w:numPr>
        <w:rPr>
          <w:rFonts w:ascii="Arial" w:cs="Arial" w:eastAsia="Arial" w:hAnsi="Arial"/>
          <w:sz w:val="13"/>
          <w:szCs w:val="13"/>
          <w:color w:val="auto"/>
        </w:rPr>
      </w:pPr>
      <w:r>
        <w:rPr>
          <w:rFonts w:ascii="Arial" w:cs="Arial" w:eastAsia="Arial" w:hAnsi="Arial"/>
          <w:sz w:val="13"/>
          <w:szCs w:val="13"/>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117" w:lineRule="exact"/>
        <w:rPr>
          <w:rFonts w:ascii="Arial" w:cs="Arial" w:eastAsia="Arial" w:hAnsi="Arial"/>
          <w:sz w:val="13"/>
          <w:szCs w:val="13"/>
          <w:color w:val="auto"/>
        </w:rPr>
      </w:pPr>
    </w:p>
    <w:p>
      <w:pPr>
        <w:jc w:val="both"/>
        <w:ind w:firstLine="973"/>
        <w:spacing w:after="0" w:line="272" w:lineRule="auto"/>
        <w:tabs>
          <w:tab w:leader="none" w:pos="1451" w:val="left"/>
        </w:tabs>
        <w:numPr>
          <w:ilvl w:val="0"/>
          <w:numId w:val="79"/>
        </w:numPr>
        <w:rPr>
          <w:rFonts w:ascii="Arial" w:cs="Arial" w:eastAsia="Arial" w:hAnsi="Arial"/>
          <w:sz w:val="13"/>
          <w:szCs w:val="13"/>
          <w:color w:val="auto"/>
        </w:rPr>
      </w:pPr>
      <w:r>
        <w:rPr>
          <w:rFonts w:ascii="Arial" w:cs="Arial" w:eastAsia="Arial" w:hAnsi="Arial"/>
          <w:sz w:val="13"/>
          <w:szCs w:val="13"/>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32" w:lineRule="exact"/>
        <w:rPr>
          <w:rFonts w:ascii="Arial" w:cs="Arial" w:eastAsia="Arial" w:hAnsi="Arial"/>
          <w:sz w:val="13"/>
          <w:szCs w:val="13"/>
          <w:color w:val="auto"/>
        </w:rPr>
      </w:pPr>
    </w:p>
    <w:p>
      <w:pPr>
        <w:ind w:left="1460" w:hanging="487"/>
        <w:spacing w:after="0"/>
        <w:tabs>
          <w:tab w:leader="none" w:pos="14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apply to the Obligations any (i) balances and deposits of Borrower it holds, or (ii) amount held by Bank owing to or for the credit or the account of Borrower;</w:t>
      </w:r>
    </w:p>
    <w:p>
      <w:pPr>
        <w:spacing w:after="0" w:line="174" w:lineRule="exact"/>
        <w:rPr>
          <w:rFonts w:ascii="Arial" w:cs="Arial" w:eastAsia="Arial" w:hAnsi="Arial"/>
          <w:sz w:val="13"/>
          <w:szCs w:val="13"/>
          <w:color w:val="auto"/>
        </w:rPr>
      </w:pPr>
    </w:p>
    <w:p>
      <w:pPr>
        <w:jc w:val="both"/>
        <w:ind w:firstLine="973"/>
        <w:spacing w:after="0" w:line="272" w:lineRule="auto"/>
        <w:tabs>
          <w:tab w:leader="none" w:pos="1453"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ship, reclaim, recover, store, finish, maintain, repair, prepare for sale, advertise for sale, and sell the Collateral. For use solely upon the occurrence and during the continuation of an Event of Default,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8.1, Borrower’s rights under all licenses and all franchise agreements inure to Bank’s benefit;</w:t>
      </w:r>
    </w:p>
    <w:p>
      <w:pPr>
        <w:spacing w:after="0" w:line="132" w:lineRule="exact"/>
        <w:rPr>
          <w:rFonts w:ascii="Arial" w:cs="Arial" w:eastAsia="Arial" w:hAnsi="Arial"/>
          <w:sz w:val="13"/>
          <w:szCs w:val="13"/>
          <w:color w:val="auto"/>
        </w:rPr>
      </w:pPr>
    </w:p>
    <w:p>
      <w:pPr>
        <w:ind w:firstLine="973"/>
        <w:spacing w:after="0" w:line="296" w:lineRule="auto"/>
        <w:tabs>
          <w:tab w:leader="none" w:pos="1453" w:val="left"/>
        </w:tabs>
        <w:numPr>
          <w:ilvl w:val="0"/>
          <w:numId w:val="79"/>
        </w:numPr>
        <w:rPr>
          <w:rFonts w:ascii="Arial" w:cs="Arial" w:eastAsia="Arial" w:hAnsi="Arial"/>
          <w:sz w:val="13"/>
          <w:szCs w:val="13"/>
          <w:color w:val="auto"/>
        </w:rPr>
      </w:pPr>
      <w:r>
        <w:rPr>
          <w:rFonts w:ascii="Arial" w:cs="Arial" w:eastAsia="Arial" w:hAnsi="Arial"/>
          <w:sz w:val="13"/>
          <w:szCs w:val="13"/>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demand and receive possession of Borrower’s Books; and</w:t>
      </w:r>
    </w:p>
    <w:p>
      <w:pPr>
        <w:spacing w:after="0" w:line="174" w:lineRule="exact"/>
        <w:rPr>
          <w:rFonts w:ascii="Arial" w:cs="Arial" w:eastAsia="Arial" w:hAnsi="Arial"/>
          <w:sz w:val="13"/>
          <w:szCs w:val="13"/>
          <w:color w:val="auto"/>
        </w:rPr>
      </w:pPr>
    </w:p>
    <w:p>
      <w:pPr>
        <w:ind w:firstLine="973"/>
        <w:spacing w:after="0" w:line="296" w:lineRule="auto"/>
        <w:tabs>
          <w:tab w:leader="none" w:pos="1453" w:val="left"/>
        </w:tabs>
        <w:numPr>
          <w:ilvl w:val="0"/>
          <w:numId w:val="79"/>
        </w:numPr>
        <w:rPr>
          <w:rFonts w:ascii="Arial" w:cs="Arial" w:eastAsia="Arial" w:hAnsi="Arial"/>
          <w:sz w:val="13"/>
          <w:szCs w:val="13"/>
          <w:color w:val="auto"/>
        </w:rPr>
      </w:pPr>
      <w:r>
        <w:rPr>
          <w:rFonts w:ascii="Arial" w:cs="Arial" w:eastAsia="Arial" w:hAnsi="Arial"/>
          <w:sz w:val="13"/>
          <w:szCs w:val="13"/>
          <w:color w:val="auto"/>
        </w:rPr>
        <w:t>exercise all rights and remedies available to Bank under the Loan Documents or at law or equity, including all remedies provided under the Code or any Applicable Law (including disposal of the Collateral pursuant to the terms thereof).</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80"/>
          </w:cols>
          <w:pgMar w:left="300" w:top="1100" w:right="319" w:bottom="1440" w:gutter="0" w:footer="0" w:header="0"/>
        </w:sectPr>
      </w:pPr>
    </w:p>
    <w:bookmarkStart w:id="91" w:name="page92"/>
    <w:bookmarkEnd w:id="91"/>
    <w:p>
      <w:pPr>
        <w:jc w:val="both"/>
        <w:ind w:firstLine="486"/>
        <w:spacing w:after="0" w:line="264" w:lineRule="auto"/>
        <w:rPr>
          <w:sz w:val="20"/>
          <w:szCs w:val="20"/>
          <w:color w:val="auto"/>
        </w:rPr>
      </w:pPr>
      <w:r>
        <w:rPr>
          <w:rFonts w:ascii="Arial" w:cs="Arial" w:eastAsia="Arial" w:hAnsi="Arial"/>
          <w:sz w:val="13"/>
          <w:szCs w:val="13"/>
          <w:b w:val="1"/>
          <w:bCs w:val="1"/>
          <w:color w:val="auto"/>
        </w:rPr>
        <w:t xml:space="preserve">8.2 Power of Attorney. </w:t>
      </w:r>
      <w:r>
        <w:rPr>
          <w:rFonts w:ascii="Arial" w:cs="Arial" w:eastAsia="Arial" w:hAnsi="Arial"/>
          <w:sz w:val="13"/>
          <w:szCs w:val="13"/>
          <w:color w:val="auto"/>
        </w:rPr>
        <w:t>Borrower hereby irrevocably appoints Bank as its true and lawful attorney-in-fact, (a) exercisable only following the occurrence and during the continuance of an Event</w:t>
      </w:r>
      <w:r>
        <w:rPr>
          <w:rFonts w:ascii="Arial" w:cs="Arial" w:eastAsia="Arial" w:hAnsi="Arial"/>
          <w:sz w:val="13"/>
          <w:szCs w:val="13"/>
          <w:b w:val="1"/>
          <w:bCs w:val="1"/>
          <w:color w:val="auto"/>
        </w:rPr>
        <w:t xml:space="preserve"> </w:t>
      </w:r>
      <w:r>
        <w:rPr>
          <w:rFonts w:ascii="Arial" w:cs="Arial" w:eastAsia="Arial" w:hAnsi="Arial"/>
          <w:sz w:val="13"/>
          <w:szCs w:val="13"/>
          <w:color w:val="auto"/>
        </w:rPr>
        <w:t>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(b) regardless of whether an Event of Default has occurred, to sign Borrower’s name on any documents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paid in full in cash,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spacing w:after="0" w:line="13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3"/>
          <w:szCs w:val="13"/>
          <w:b w:val="1"/>
          <w:bCs w:val="1"/>
          <w:color w:val="auto"/>
        </w:rPr>
        <w:t xml:space="preserve">8.3 Protective Payments. </w:t>
      </w:r>
      <w:r>
        <w:rPr>
          <w:rFonts w:ascii="Arial" w:cs="Arial" w:eastAsia="Arial" w:hAnsi="Arial"/>
          <w:sz w:val="13"/>
          <w:szCs w:val="13"/>
          <w:color w:val="auto"/>
        </w:rPr>
        <w:t>If Borrower fails to obtain the insurance called for by Section 5.8 or fails to pay any premium thereon or fails to pay any other amount which Borrower is obligated to</w:t>
      </w:r>
      <w:r>
        <w:rPr>
          <w:rFonts w:ascii="Arial" w:cs="Arial" w:eastAsia="Arial" w:hAnsi="Arial"/>
          <w:sz w:val="13"/>
          <w:szCs w:val="13"/>
          <w:b w:val="1"/>
          <w:bCs w:val="1"/>
          <w:color w:val="auto"/>
        </w:rPr>
        <w:t xml:space="preserve"> </w:t>
      </w:r>
      <w:r>
        <w:rPr>
          <w:rFonts w:ascii="Arial" w:cs="Arial" w:eastAsia="Arial" w:hAnsi="Arial"/>
          <w:sz w:val="13"/>
          <w:szCs w:val="13"/>
          <w:color w:val="auto"/>
        </w:rPr>
        <w:t>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34"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3"/>
          <w:szCs w:val="13"/>
          <w:b w:val="1"/>
          <w:bCs w:val="1"/>
          <w:color w:val="auto"/>
        </w:rPr>
        <w:t xml:space="preserve">8.4 Application of Payments and Proceeds. </w:t>
      </w:r>
      <w:r>
        <w:rPr>
          <w:rFonts w:ascii="Arial" w:cs="Arial" w:eastAsia="Arial" w:hAnsi="Arial"/>
          <w:sz w:val="13"/>
          <w:szCs w:val="13"/>
          <w:color w:val="auto"/>
        </w:rPr>
        <w:t>If an Event of Default has occurred and is continuing, Bank shall have the right to apply in any order any funds in its possession, whether from</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Following the occurrence and during the continuation of an Event of Default,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3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b w:val="1"/>
          <w:bCs w:val="1"/>
          <w:color w:val="auto"/>
        </w:rPr>
        <w:t xml:space="preserve">8.5 Bank’s Liability for Collateral. </w:t>
      </w:r>
      <w:r>
        <w:rPr>
          <w:rFonts w:ascii="Arial" w:cs="Arial" w:eastAsia="Arial" w:hAnsi="Arial"/>
          <w:sz w:val="13"/>
          <w:szCs w:val="13"/>
          <w:color w:val="auto"/>
        </w:rPr>
        <w:t>Bank’s sole duty with respect to the custody, safekeeping and physical preservation of the Collateral in its possession or under its control, under Section 9-207 of the Code or otherwise, shall be to deal with it in the same manner as Bank deals with its own property consisting of similar instruments or interests. Borrower bears all risk of loss, damage or destruction of the Collateral.</w:t>
      </w:r>
    </w:p>
    <w:p>
      <w:pPr>
        <w:spacing w:after="0" w:line="12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3"/>
          <w:szCs w:val="13"/>
          <w:b w:val="1"/>
          <w:bCs w:val="1"/>
          <w:color w:val="auto"/>
        </w:rPr>
        <w:t xml:space="preserve">8.6 No Waiver; Remedies Cumulative. </w:t>
      </w:r>
      <w:r>
        <w:rPr>
          <w:rFonts w:ascii="Arial" w:cs="Arial" w:eastAsia="Arial" w:hAnsi="Arial"/>
          <w:sz w:val="13"/>
          <w:szCs w:val="13"/>
          <w:color w:val="auto"/>
        </w:rPr>
        <w:t>Bank’s failure, at any time or times, to require strict performance by Borrower of any provision of this Agreement or any other Loan Document shall not</w:t>
      </w:r>
      <w:r>
        <w:rPr>
          <w:rFonts w:ascii="Arial" w:cs="Arial" w:eastAsia="Arial" w:hAnsi="Arial"/>
          <w:sz w:val="13"/>
          <w:szCs w:val="13"/>
          <w:b w:val="1"/>
          <w:bCs w:val="1"/>
          <w:color w:val="auto"/>
        </w:rPr>
        <w:t xml:space="preserve"> </w:t>
      </w:r>
      <w:r>
        <w:rPr>
          <w:rFonts w:ascii="Arial" w:cs="Arial" w:eastAsia="Arial" w:hAnsi="Arial"/>
          <w:sz w:val="13"/>
          <w:szCs w:val="13"/>
          <w:color w:val="auto"/>
        </w:rPr>
        <w:t>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80"/>
          </w:cols>
          <w:pgMar w:left="300" w:top="1098" w:right="319" w:bottom="1440" w:gutter="0" w:footer="0" w:header="0"/>
        </w:sectPr>
      </w:pPr>
    </w:p>
    <w:bookmarkStart w:id="92" w:name="page93"/>
    <w:bookmarkEnd w:id="92"/>
    <w:p>
      <w:pPr>
        <w:spacing w:after="0"/>
        <w:rPr>
          <w:sz w:val="20"/>
          <w:szCs w:val="20"/>
          <w:color w:val="auto"/>
        </w:rPr>
      </w:pPr>
      <w:r>
        <w:rPr>
          <w:rFonts w:ascii="Arial" w:cs="Arial" w:eastAsia="Arial" w:hAnsi="Arial"/>
          <w:sz w:val="13"/>
          <w:szCs w:val="13"/>
          <w:color w:val="auto"/>
        </w:rPr>
        <w:t>Default is not a continuing waiver. Bank’s delay in exercising any remedy is not a waiver, election, or acquiescence.</w:t>
      </w:r>
    </w:p>
    <w:p>
      <w:pPr>
        <w:spacing w:after="0" w:line="172" w:lineRule="exact"/>
        <w:rPr>
          <w:sz w:val="20"/>
          <w:szCs w:val="20"/>
          <w:color w:val="auto"/>
        </w:rPr>
      </w:pPr>
    </w:p>
    <w:p>
      <w:pPr>
        <w:ind w:firstLine="486"/>
        <w:spacing w:after="0" w:line="299" w:lineRule="auto"/>
        <w:rPr>
          <w:sz w:val="20"/>
          <w:szCs w:val="20"/>
          <w:color w:val="auto"/>
        </w:rPr>
      </w:pPr>
      <w:r>
        <w:rPr>
          <w:rFonts w:ascii="Arial" w:cs="Arial" w:eastAsia="Arial" w:hAnsi="Arial"/>
          <w:sz w:val="13"/>
          <w:szCs w:val="13"/>
          <w:b w:val="1"/>
          <w:bCs w:val="1"/>
          <w:color w:val="auto"/>
        </w:rPr>
        <w:t xml:space="preserve">8.7 Demand Waiver. </w:t>
      </w:r>
      <w:r>
        <w:rPr>
          <w:rFonts w:ascii="Arial" w:cs="Arial" w:eastAsia="Arial" w:hAnsi="Arial"/>
          <w:sz w:val="13"/>
          <w:szCs w:val="13"/>
          <w:color w:val="auto"/>
        </w:rPr>
        <w:t>Borrower waives demand, notice of default or dishonor, notice of payment and nonpayment, notice of any default, nonpayment at maturity, release, compromise, settlement,</w:t>
      </w:r>
      <w:r>
        <w:rPr>
          <w:rFonts w:ascii="Arial" w:cs="Arial" w:eastAsia="Arial" w:hAnsi="Arial"/>
          <w:sz w:val="13"/>
          <w:szCs w:val="13"/>
          <w:b w:val="1"/>
          <w:bCs w:val="1"/>
          <w:color w:val="auto"/>
        </w:rPr>
        <w:t xml:space="preserve"> </w:t>
      </w:r>
      <w:r>
        <w:rPr>
          <w:rFonts w:ascii="Arial" w:cs="Arial" w:eastAsia="Arial" w:hAnsi="Arial"/>
          <w:sz w:val="13"/>
          <w:szCs w:val="13"/>
          <w:color w:val="auto"/>
        </w:rPr>
        <w:t>extension, or renewal of accounts, documents, instruments, chattel paper, and guarantees held by Bank on which Borrower is liable.</w:t>
      </w:r>
    </w:p>
    <w:p>
      <w:pPr>
        <w:spacing w:after="0" w:line="113" w:lineRule="exact"/>
        <w:rPr>
          <w:sz w:val="20"/>
          <w:szCs w:val="20"/>
          <w:color w:val="auto"/>
        </w:rPr>
      </w:pPr>
    </w:p>
    <w:p>
      <w:pPr>
        <w:ind w:left="980" w:hanging="493"/>
        <w:spacing w:after="0"/>
        <w:tabs>
          <w:tab w:leader="none" w:pos="98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NOTICES</w:t>
      </w:r>
    </w:p>
    <w:p>
      <w:pPr>
        <w:spacing w:after="0" w:line="17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2"/>
          <w:szCs w:val="12"/>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Section 9.</w:t>
      </w:r>
    </w:p>
    <w:p>
      <w:pPr>
        <w:spacing w:after="0" w:line="123" w:lineRule="exact"/>
        <w:rPr>
          <w:sz w:val="20"/>
          <w:szCs w:val="20"/>
          <w:color w:val="auto"/>
        </w:rPr>
      </w:pPr>
    </w:p>
    <w:p>
      <w:pPr>
        <w:ind w:left="980"/>
        <w:spacing w:after="0"/>
        <w:tabs>
          <w:tab w:leader="none" w:pos="1900" w:val="left"/>
        </w:tabs>
        <w:rPr>
          <w:sz w:val="20"/>
          <w:szCs w:val="20"/>
          <w:color w:val="auto"/>
        </w:rPr>
      </w:pPr>
      <w:r>
        <w:rPr>
          <w:rFonts w:ascii="Arial" w:cs="Arial" w:eastAsia="Arial" w:hAnsi="Arial"/>
          <w:sz w:val="13"/>
          <w:szCs w:val="13"/>
          <w:color w:val="auto"/>
        </w:rPr>
        <w:t>If to Borrower:</w:t>
      </w:r>
      <w:r>
        <w:rPr>
          <w:sz w:val="20"/>
          <w:szCs w:val="20"/>
          <w:color w:val="auto"/>
        </w:rPr>
        <w:tab/>
      </w:r>
      <w:r>
        <w:rPr>
          <w:rFonts w:ascii="Arial" w:cs="Arial" w:eastAsia="Arial" w:hAnsi="Arial"/>
          <w:sz w:val="12"/>
          <w:szCs w:val="12"/>
          <w:color w:val="auto"/>
        </w:rPr>
        <w:t>SI-Bone,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471 El Camino Real, Suite 101</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Santa Clara, CA 95050</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Attn: Laura Francis, CEO; and</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Anshul Maheshwari, CFO</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Email: lfrancis@si-bone.com; and</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Anshul.Maheshwari@si-bone.com</w:t>
      </w:r>
    </w:p>
    <w:p>
      <w:pPr>
        <w:spacing w:after="0" w:line="8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with a copy to (which shall not constitute notice):</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Cooley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55 Hudson Yards</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New York, New York, 10001-2157</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Attn: Patrick Flanagan</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Email: pflanagan@cooley.com</w:t>
      </w:r>
    </w:p>
    <w:p>
      <w:pPr>
        <w:spacing w:after="0" w:line="184" w:lineRule="exact"/>
        <w:rPr>
          <w:sz w:val="20"/>
          <w:szCs w:val="20"/>
          <w:color w:val="auto"/>
        </w:rPr>
      </w:pPr>
    </w:p>
    <w:p>
      <w:pPr>
        <w:ind w:left="980"/>
        <w:spacing w:after="0"/>
        <w:tabs>
          <w:tab w:leader="none" w:pos="1680" w:val="left"/>
        </w:tabs>
        <w:rPr>
          <w:sz w:val="20"/>
          <w:szCs w:val="20"/>
          <w:color w:val="auto"/>
        </w:rPr>
      </w:pPr>
      <w:r>
        <w:rPr>
          <w:rFonts w:ascii="Arial" w:cs="Arial" w:eastAsia="Arial" w:hAnsi="Arial"/>
          <w:sz w:val="13"/>
          <w:szCs w:val="13"/>
          <w:color w:val="auto"/>
        </w:rPr>
        <w:t>If to Bank:</w:t>
      </w:r>
      <w:r>
        <w:rPr>
          <w:sz w:val="20"/>
          <w:szCs w:val="20"/>
          <w:color w:val="auto"/>
        </w:rPr>
        <w:tab/>
      </w:r>
      <w:r>
        <w:rPr>
          <w:rFonts w:ascii="Arial" w:cs="Arial" w:eastAsia="Arial" w:hAnsi="Arial"/>
          <w:sz w:val="12"/>
          <w:szCs w:val="12"/>
          <w:color w:val="auto"/>
        </w:rPr>
        <w:t>Silicon Valley Bank</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505 Howard Street, Floor 3</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San Francisco, CA 94105</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Attn: Mark Davis</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Email: mdavis@svb.com</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with a copy to (which shall not constitute notice):</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DLA Piper LLP (US)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401 B Street, Suite 1700</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San Diego, California 92101</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Attn: Matt Schwartz, Esq.</w:t>
      </w:r>
    </w:p>
    <w:p>
      <w:pPr>
        <w:spacing w:after="0" w:line="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Email: matt.schwartz@us.dlapiper.com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80"/>
          </w:cols>
          <w:pgMar w:left="300" w:top="1100" w:right="319" w:bottom="1440" w:gutter="0" w:footer="0" w:header="0"/>
        </w:sectPr>
      </w:pPr>
    </w:p>
    <w:bookmarkStart w:id="93" w:name="page94"/>
    <w:bookmarkEnd w:id="93"/>
    <w:p>
      <w:pPr>
        <w:ind w:left="960" w:hanging="473"/>
        <w:spacing w:after="0"/>
        <w:tabs>
          <w:tab w:leader="none" w:pos="96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CHOICE OF LAW, VENUE AND JURY TRIAL WAIVER; JUDICIAL REFERENCE</w:t>
      </w:r>
    </w:p>
    <w:p>
      <w:pPr>
        <w:spacing w:after="0" w:line="17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2"/>
          <w:szCs w:val="12"/>
          <w:color w:val="auto"/>
        </w:rPr>
        <w:t>Except as otherwise expressly provided in any of the Loan Documents, California law governs the Loan Documents without regard to principles of conflicts of law that would require the application of the laws of another jurisdiction. Borrower and Bank each irrevocably and unconditionally submit to the exclusive jurisdiction of the State and Federal courts in Santa Clara County, California; provided, however, that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9 of this Agreement and that service so made shall be deemed completed upon the earlier to occur of Borrower’s actual receipt thereof or three (3) days after deposit in the U.S. mails, proper postage prepaid.</w:t>
      </w:r>
    </w:p>
    <w:p>
      <w:pPr>
        <w:spacing w:after="0" w:line="12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3"/>
          <w:szCs w:val="13"/>
          <w:b w:val="1"/>
          <w:bCs w:val="1"/>
          <w:color w:val="auto"/>
        </w:rPr>
        <w:t>TO THE FULLEST EXTENT PERMITTED BY APPLICABLE LAW, BORROWER AND BANK EACH WAIVES ITS RIGHT TO A JURY TRIAL OF ANY CLAIM OR CAUSE OF ACTION ARISING OUT OF OR BASED UPON THIS AGREEMENT, THE LOAN DOCUMENTS OR ANY CONTEMPLATED TRANSACTION UNDER THIS AGREEMENT, INCLUDING CONTRACT, TORT, BREACH OF DUTY AND ALL OTHER CLAIMS. THIS WAIVER IS A MATERIAL INDUCEMENT FOR THE PARTIES HERETO TO ENTER INTO THIS AGREEMENT. EACH PARTY HERETO HAS REVIEWED THIS WAIVER WITH ITS COUNSEL.</w:t>
      </w:r>
    </w:p>
    <w:p>
      <w:pPr>
        <w:spacing w:after="0" w:line="13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2"/>
          <w:szCs w:val="12"/>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This Section 10 shall survive the termination of this Agreement and the repayment of all Obligations.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80"/>
          </w:cols>
          <w:pgMar w:left="300" w:top="1098" w:right="319" w:bottom="1440" w:gutter="0" w:footer="0" w:header="0"/>
        </w:sectPr>
      </w:pPr>
    </w:p>
    <w:bookmarkStart w:id="94" w:name="page95"/>
    <w:bookmarkEnd w:id="94"/>
    <w:p>
      <w:pPr>
        <w:ind w:left="960" w:hanging="473"/>
        <w:spacing w:after="0"/>
        <w:tabs>
          <w:tab w:leader="none" w:pos="96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GENERAL PROVISIONS</w:t>
      </w:r>
    </w:p>
    <w:p>
      <w:pPr>
        <w:spacing w:after="0" w:line="174"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3"/>
          <w:szCs w:val="13"/>
          <w:b w:val="1"/>
          <w:bCs w:val="1"/>
          <w:color w:val="auto"/>
        </w:rPr>
        <w:t xml:space="preserve">11.1 Termination Prior to Term Loan Maturity Date; Survival. </w:t>
      </w:r>
      <w:r>
        <w:rPr>
          <w:rFonts w:ascii="Arial" w:cs="Arial" w:eastAsia="Arial" w:hAnsi="Arial"/>
          <w:sz w:val="13"/>
          <w:szCs w:val="13"/>
          <w:color w:val="auto"/>
        </w:rPr>
        <w:t>All covenants, representations and warranties made in this Agreement shall continue in full force until this Agreement has</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3.1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w:t>
      </w:r>
    </w:p>
    <w:p>
      <w:pPr>
        <w:spacing w:after="0" w:line="136"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3"/>
          <w:szCs w:val="13"/>
          <w:b w:val="1"/>
          <w:bCs w:val="1"/>
          <w:color w:val="auto"/>
        </w:rPr>
        <w:t xml:space="preserve">11.2 Successors and Assigns. </w:t>
      </w:r>
      <w:r>
        <w:rPr>
          <w:rFonts w:ascii="Arial" w:cs="Arial" w:eastAsia="Arial" w:hAnsi="Arial"/>
          <w:sz w:val="13"/>
          <w:szCs w:val="13"/>
          <w:color w:val="auto"/>
        </w:rPr>
        <w:t>This Agreement binds and is for the benefit of the successors and permitted assigns of each party. Borrower may not assign or transfer this Agreement or any rights</w:t>
      </w:r>
      <w:r>
        <w:rPr>
          <w:rFonts w:ascii="Arial" w:cs="Arial" w:eastAsia="Arial" w:hAnsi="Arial"/>
          <w:sz w:val="13"/>
          <w:szCs w:val="13"/>
          <w:b w:val="1"/>
          <w:bCs w:val="1"/>
          <w:color w:val="auto"/>
        </w:rPr>
        <w:t xml:space="preserve"> </w:t>
      </w:r>
      <w:r>
        <w:rPr>
          <w:rFonts w:ascii="Arial" w:cs="Arial" w:eastAsia="Arial" w:hAnsi="Arial"/>
          <w:sz w:val="13"/>
          <w:szCs w:val="13"/>
          <w:color w:val="auto"/>
        </w:rPr>
        <w:t>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Notwithstanding the foregoing, or anything to the contrary herein, so long as no Event of Default shall have occurred and is continuing, Bank shall not assign its interest in the Loan Documents to any Person who is (a) a competitor of Borrower, whether as an operating company or direct or indirect parent with voting control over such operating company, or (b) a vulture fund or distressed debt fund.</w:t>
      </w:r>
    </w:p>
    <w:p>
      <w:pPr>
        <w:spacing w:after="0" w:line="136"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11.3</w:t>
      </w:r>
      <w:r>
        <w:rPr>
          <w:sz w:val="20"/>
          <w:szCs w:val="20"/>
          <w:color w:val="auto"/>
        </w:rPr>
        <w:tab/>
      </w:r>
      <w:r>
        <w:rPr>
          <w:rFonts w:ascii="Arial" w:cs="Arial" w:eastAsia="Arial" w:hAnsi="Arial"/>
          <w:sz w:val="12"/>
          <w:szCs w:val="12"/>
          <w:b w:val="1"/>
          <w:bCs w:val="1"/>
          <w:color w:val="auto"/>
        </w:rPr>
        <w:t>Indemnification.</w:t>
      </w:r>
    </w:p>
    <w:p>
      <w:pPr>
        <w:spacing w:after="0" w:line="176" w:lineRule="exact"/>
        <w:rPr>
          <w:sz w:val="20"/>
          <w:szCs w:val="20"/>
          <w:color w:val="auto"/>
        </w:rPr>
      </w:pPr>
    </w:p>
    <w:p>
      <w:pPr>
        <w:jc w:val="both"/>
        <w:ind w:firstLine="973"/>
        <w:spacing w:after="0" w:line="264" w:lineRule="auto"/>
        <w:tabs>
          <w:tab w:leader="none" w:pos="1455"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General Indemnification</w:t>
      </w:r>
      <w:r>
        <w:rPr>
          <w:rFonts w:ascii="Arial" w:cs="Arial" w:eastAsia="Arial" w:hAnsi="Arial"/>
          <w:sz w:val="13"/>
          <w:szCs w:val="13"/>
          <w:color w:val="auto"/>
        </w:rPr>
        <w:t>. Borrower shall indemnify, defend and hold Bank and its Affiliates and the partners, directors, officers, employees, agents, trustees, administrators, managers, advisors and representatives of Bank and its Affiliates (each, an “</w:t>
      </w:r>
      <w:r>
        <w:rPr>
          <w:rFonts w:ascii="Arial" w:cs="Arial" w:eastAsia="Arial" w:hAnsi="Arial"/>
          <w:sz w:val="13"/>
          <w:szCs w:val="13"/>
          <w:b w:val="1"/>
          <w:bCs w:val="1"/>
          <w:color w:val="auto"/>
        </w:rPr>
        <w:t>Indemnified Person</w:t>
      </w:r>
      <w:r>
        <w:rPr>
          <w:rFonts w:ascii="Arial" w:cs="Arial" w:eastAsia="Arial" w:hAnsi="Arial"/>
          <w:sz w:val="13"/>
          <w:szCs w:val="13"/>
          <w:color w:val="auto"/>
        </w:rPr>
        <w:t>”) harmless against: all losses, claims, damages, liabilities and related expenses (including Bank Expenses and the reasonable fees, charges and disbursements of any counsel for any Indemnified Person) (collectively, “</w:t>
      </w:r>
      <w:r>
        <w:rPr>
          <w:rFonts w:ascii="Arial" w:cs="Arial" w:eastAsia="Arial" w:hAnsi="Arial"/>
          <w:sz w:val="13"/>
          <w:szCs w:val="13"/>
          <w:b w:val="1"/>
          <w:bCs w:val="1"/>
          <w:color w:val="auto"/>
        </w:rPr>
        <w:t>Claims</w:t>
      </w:r>
      <w:r>
        <w:rPr>
          <w:rFonts w:ascii="Arial" w:cs="Arial" w:eastAsia="Arial" w:hAnsi="Arial"/>
          <w:sz w:val="13"/>
          <w:szCs w:val="13"/>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11.3 shall be payable promptly after demand therefor.</w:t>
      </w:r>
    </w:p>
    <w:p>
      <w:pPr>
        <w:spacing w:after="0" w:line="137" w:lineRule="exact"/>
        <w:rPr>
          <w:rFonts w:ascii="Arial" w:cs="Arial" w:eastAsia="Arial" w:hAnsi="Arial"/>
          <w:sz w:val="13"/>
          <w:szCs w:val="13"/>
          <w:color w:val="auto"/>
        </w:rPr>
      </w:pPr>
    </w:p>
    <w:p>
      <w:pPr>
        <w:jc w:val="both"/>
        <w:ind w:firstLine="973"/>
        <w:spacing w:after="0" w:line="269" w:lineRule="auto"/>
        <w:tabs>
          <w:tab w:leader="none" w:pos="1453"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Waiver of Consequential Damages, Etc.</w:t>
      </w:r>
      <w:r>
        <w:rPr>
          <w:rFonts w:ascii="Arial" w:cs="Arial" w:eastAsia="Arial" w:hAnsi="Arial"/>
          <w:sz w:val="13"/>
          <w:szCs w:val="13"/>
          <w:color w:val="auto"/>
        </w:rPr>
        <w:t xml:space="preserve"> 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80"/>
          </w:cols>
          <w:pgMar w:left="300" w:top="1098" w:right="319" w:bottom="1440" w:gutter="0" w:footer="0" w:header="0"/>
        </w:sectPr>
      </w:pPr>
    </w:p>
    <w:bookmarkStart w:id="95" w:name="page96"/>
    <w:bookmarkEnd w:id="95"/>
    <w:p>
      <w:pPr>
        <w:jc w:val="both"/>
        <w:ind w:firstLine="486"/>
        <w:spacing w:after="0" w:line="296" w:lineRule="auto"/>
        <w:rPr>
          <w:sz w:val="20"/>
          <w:szCs w:val="20"/>
          <w:color w:val="auto"/>
        </w:rPr>
      </w:pPr>
      <w:r>
        <w:rPr>
          <w:rFonts w:ascii="Arial" w:cs="Arial" w:eastAsia="Arial" w:hAnsi="Arial"/>
          <w:sz w:val="13"/>
          <w:szCs w:val="13"/>
          <w:color w:val="auto"/>
        </w:rPr>
        <w:t>This Section 11.3 shall survive the termination of this Agreement and the repayment of all Obligations until all statutes of limitation with respect to the Claims, losses, and expenses for which indemnity is given shall have run.</w:t>
      </w:r>
    </w:p>
    <w:p>
      <w:pPr>
        <w:spacing w:after="0" w:line="115"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11.4</w:t>
      </w:r>
      <w:r>
        <w:rPr>
          <w:sz w:val="20"/>
          <w:szCs w:val="20"/>
          <w:color w:val="auto"/>
        </w:rPr>
        <w:tab/>
      </w:r>
      <w:r>
        <w:rPr>
          <w:rFonts w:ascii="Arial" w:cs="Arial" w:eastAsia="Arial" w:hAnsi="Arial"/>
          <w:sz w:val="12"/>
          <w:szCs w:val="12"/>
          <w:b w:val="1"/>
          <w:bCs w:val="1"/>
          <w:color w:val="auto"/>
        </w:rPr>
        <w:t xml:space="preserve">Time of Essence. </w:t>
      </w:r>
      <w:r>
        <w:rPr>
          <w:rFonts w:ascii="Arial" w:cs="Arial" w:eastAsia="Arial" w:hAnsi="Arial"/>
          <w:sz w:val="12"/>
          <w:szCs w:val="12"/>
          <w:color w:val="auto"/>
        </w:rPr>
        <w:t>Time is of the essence for the performance of all Obligations in this Agreement.</w:t>
      </w:r>
    </w:p>
    <w:p>
      <w:pPr>
        <w:spacing w:after="0" w:line="17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3"/>
          <w:szCs w:val="13"/>
          <w:b w:val="1"/>
          <w:bCs w:val="1"/>
          <w:color w:val="auto"/>
        </w:rPr>
        <w:t>11.5</w:t>
      </w:r>
      <w:r>
        <w:rPr>
          <w:sz w:val="20"/>
          <w:szCs w:val="20"/>
          <w:color w:val="auto"/>
        </w:rPr>
        <w:tab/>
      </w:r>
      <w:r>
        <w:rPr>
          <w:rFonts w:ascii="Arial" w:cs="Arial" w:eastAsia="Arial" w:hAnsi="Arial"/>
          <w:sz w:val="12"/>
          <w:szCs w:val="12"/>
          <w:b w:val="1"/>
          <w:bCs w:val="1"/>
          <w:color w:val="auto"/>
        </w:rPr>
        <w:t xml:space="preserve">Severability of Provisions. </w:t>
      </w:r>
      <w:r>
        <w:rPr>
          <w:rFonts w:ascii="Arial" w:cs="Arial" w:eastAsia="Arial" w:hAnsi="Arial"/>
          <w:sz w:val="12"/>
          <w:szCs w:val="12"/>
          <w:color w:val="auto"/>
        </w:rPr>
        <w:t>Each provision of this Agreement is severable from every other provision in determining the enforceability of any provision.</w:t>
      </w:r>
    </w:p>
    <w:p>
      <w:pPr>
        <w:spacing w:after="0" w:line="174"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2"/>
          <w:szCs w:val="12"/>
          <w:b w:val="1"/>
          <w:bCs w:val="1"/>
          <w:color w:val="auto"/>
        </w:rPr>
        <w:t xml:space="preserve">11.6 Amendments in Writing; Waiver; Integration. </w:t>
      </w:r>
      <w:r>
        <w:rPr>
          <w:rFonts w:ascii="Arial" w:cs="Arial" w:eastAsia="Arial" w:hAnsi="Arial"/>
          <w:sz w:val="12"/>
          <w:szCs w:val="12"/>
          <w:color w:val="auto"/>
        </w:rPr>
        <w:t>No purported amendment or modification of any Loan Document, or waiver, discharge or termination of any obligation under any Loan</w:t>
      </w:r>
      <w:r>
        <w:rPr>
          <w:rFonts w:ascii="Arial" w:cs="Arial" w:eastAsia="Arial" w:hAnsi="Arial"/>
          <w:sz w:val="12"/>
          <w:szCs w:val="12"/>
          <w:b w:val="1"/>
          <w:bCs w:val="1"/>
          <w:color w:val="auto"/>
        </w:rPr>
        <w:t xml:space="preserve"> </w:t>
      </w:r>
      <w:r>
        <w:rPr>
          <w:rFonts w:ascii="Arial" w:cs="Arial" w:eastAsia="Arial" w:hAnsi="Arial"/>
          <w:sz w:val="12"/>
          <w:szCs w:val="12"/>
          <w:color w:val="auto"/>
        </w:rPr>
        <w:t>Document, shall be effective unless, and only to the extent, expressly set forth in a writing signed by each party hereto.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1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b w:val="1"/>
          <w:bCs w:val="1"/>
          <w:color w:val="auto"/>
        </w:rPr>
        <w:t xml:space="preserve">11.7 Counterparts. </w:t>
      </w:r>
      <w:r>
        <w:rPr>
          <w:rFonts w:ascii="Arial" w:cs="Arial" w:eastAsia="Arial" w:hAnsi="Arial"/>
          <w:sz w:val="13"/>
          <w:szCs w:val="13"/>
          <w:color w:val="auto"/>
        </w:rPr>
        <w:t>This Agreement may be executed in any number of counterparts and by different parties on separate counterparts, each of which, when executed and delivered, is an original,</w:t>
      </w:r>
      <w:r>
        <w:rPr>
          <w:rFonts w:ascii="Arial" w:cs="Arial" w:eastAsia="Arial" w:hAnsi="Arial"/>
          <w:sz w:val="13"/>
          <w:szCs w:val="13"/>
          <w:b w:val="1"/>
          <w:bCs w:val="1"/>
          <w:color w:val="auto"/>
        </w:rPr>
        <w:t xml:space="preserve"> </w:t>
      </w:r>
      <w:r>
        <w:rPr>
          <w:rFonts w:ascii="Arial" w:cs="Arial" w:eastAsia="Arial" w:hAnsi="Arial"/>
          <w:sz w:val="13"/>
          <w:szCs w:val="13"/>
          <w:color w:val="auto"/>
        </w:rPr>
        <w:t>and all taken together, constitute one Agreement. Delivery of an executed signature page of this Agreement by electronic mail transmission shall be effective as delivery of a manually executed counterpart hereof.</w:t>
      </w:r>
    </w:p>
    <w:p>
      <w:pPr>
        <w:spacing w:after="0" w:line="12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2"/>
          <w:szCs w:val="12"/>
          <w:b w:val="1"/>
          <w:bCs w:val="1"/>
          <w:color w:val="auto"/>
        </w:rPr>
        <w:t xml:space="preserve">11.8 Confidentiality. </w:t>
      </w:r>
      <w:r>
        <w:rPr>
          <w:rFonts w:ascii="Arial" w:cs="Arial" w:eastAsia="Arial" w:hAnsi="Arial"/>
          <w:sz w:val="12"/>
          <w:szCs w:val="12"/>
          <w:color w:val="auto"/>
        </w:rPr>
        <w:t>Bank agrees to maintain the confidentiality of Information (as defined below), except that Information may be disclosed (a) to Bank’s Subsidiaries and Affiliates and their</w:t>
      </w:r>
      <w:r>
        <w:rPr>
          <w:rFonts w:ascii="Arial" w:cs="Arial" w:eastAsia="Arial" w:hAnsi="Arial"/>
          <w:sz w:val="12"/>
          <w:szCs w:val="12"/>
          <w:b w:val="1"/>
          <w:bCs w:val="1"/>
          <w:color w:val="auto"/>
        </w:rPr>
        <w:t xml:space="preserve"> </w:t>
      </w:r>
      <w:r>
        <w:rPr>
          <w:rFonts w:ascii="Arial" w:cs="Arial" w:eastAsia="Arial" w:hAnsi="Arial"/>
          <w:sz w:val="12"/>
          <w:szCs w:val="12"/>
          <w:color w:val="auto"/>
        </w:rPr>
        <w:t>respective employees, directors, agents, attorneys, accountants and other professional advisors (collectively, “</w:t>
      </w:r>
      <w:r>
        <w:rPr>
          <w:rFonts w:ascii="Arial" w:cs="Arial" w:eastAsia="Arial" w:hAnsi="Arial"/>
          <w:sz w:val="12"/>
          <w:szCs w:val="12"/>
          <w:b w:val="1"/>
          <w:bCs w:val="1"/>
          <w:color w:val="auto"/>
        </w:rPr>
        <w:t>Representatives</w:t>
      </w:r>
      <w:r>
        <w:rPr>
          <w:rFonts w:ascii="Arial" w:cs="Arial" w:eastAsia="Arial" w:hAnsi="Arial"/>
          <w:sz w:val="12"/>
          <w:szCs w:val="12"/>
          <w:color w:val="auto"/>
        </w:rPr>
        <w:t>” and, together with Bank, collectively, “</w:t>
      </w:r>
      <w:r>
        <w:rPr>
          <w:rFonts w:ascii="Arial" w:cs="Arial" w:eastAsia="Arial" w:hAnsi="Arial"/>
          <w:sz w:val="12"/>
          <w:szCs w:val="12"/>
          <w:b w:val="1"/>
          <w:bCs w:val="1"/>
          <w:color w:val="auto"/>
        </w:rPr>
        <w:t>Bank Entities</w:t>
      </w:r>
      <w:r>
        <w:rPr>
          <w:rFonts w:ascii="Arial" w:cs="Arial" w:eastAsia="Arial" w:hAnsi="Arial"/>
          <w:sz w:val="12"/>
          <w:szCs w:val="12"/>
          <w:color w:val="auto"/>
        </w:rPr>
        <w:t>”), provided that such Bank Entities are subject to the same confidentiality provisions herein; (b) to prospective transferees, assignees, credit providers or purchasers of Bank’s interests under or in connection with this Agreement and their Representatives (provided, however, Bank shall use obtain any such prospective transferee’s, assignee’s, credit provider’s, purchaser’s or their Representatives’ agreement to the terms of this provision or substantially similar terms);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Arial" w:cs="Arial" w:eastAsia="Arial" w:hAnsi="Arial"/>
          <w:sz w:val="12"/>
          <w:szCs w:val="12"/>
          <w:b w:val="1"/>
          <w:bCs w:val="1"/>
          <w:color w:val="auto"/>
        </w:rPr>
        <w:t>Information</w:t>
      </w:r>
      <w:r>
        <w:rPr>
          <w:rFonts w:ascii="Arial" w:cs="Arial" w:eastAsia="Arial" w:hAnsi="Arial"/>
          <w:sz w:val="12"/>
          <w:szCs w:val="12"/>
          <w:color w:val="auto"/>
        </w:rPr>
        <w:t>” means all information received from Borrower and its agents regarding Borrower or its business, in each case other than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2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b w:val="1"/>
          <w:bCs w:val="1"/>
          <w:color w:val="auto"/>
        </w:rPr>
        <w:t xml:space="preserve">11.9 Electronic Execution of Documents. </w:t>
      </w:r>
      <w:r>
        <w:rPr>
          <w:rFonts w:ascii="Arial" w:cs="Arial" w:eastAsia="Arial" w:hAnsi="Arial"/>
          <w:sz w:val="13"/>
          <w:szCs w:val="13"/>
          <w:color w:val="auto"/>
        </w:rPr>
        <w:t>The words “execution,” “signed,” “signature” and words of like import in any Loan Document shall be deemed to include electronic signatures, or the</w:t>
      </w:r>
      <w:r>
        <w:rPr>
          <w:rFonts w:ascii="Arial" w:cs="Arial" w:eastAsia="Arial" w:hAnsi="Arial"/>
          <w:sz w:val="13"/>
          <w:szCs w:val="13"/>
          <w:b w:val="1"/>
          <w:bCs w:val="1"/>
          <w:color w:val="auto"/>
        </w:rPr>
        <w:t xml:space="preserve"> </w:t>
      </w:r>
      <w:r>
        <w:rPr>
          <w:rFonts w:ascii="Arial" w:cs="Arial" w:eastAsia="Arial" w:hAnsi="Arial"/>
          <w:sz w:val="13"/>
          <w:szCs w:val="13"/>
          <w:color w:val="auto"/>
        </w:rPr>
        <w:t>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26"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b w:val="1"/>
          <w:bCs w:val="1"/>
          <w:color w:val="auto"/>
        </w:rPr>
        <w:t xml:space="preserve">11.10 Right of Setoff. </w:t>
      </w:r>
      <w:r>
        <w:rPr>
          <w:rFonts w:ascii="Arial" w:cs="Arial" w:eastAsia="Arial" w:hAnsi="Arial"/>
          <w:sz w:val="13"/>
          <w:szCs w:val="13"/>
          <w:color w:val="auto"/>
        </w:rPr>
        <w:t>Borrower hereby grants to Bank a Lien and a right of setoff as security for all Obligations to Bank, whether now existing or hereafter arising upon and against all deposits,</w:t>
      </w:r>
      <w:r>
        <w:rPr>
          <w:rFonts w:ascii="Arial" w:cs="Arial" w:eastAsia="Arial" w:hAnsi="Arial"/>
          <w:sz w:val="13"/>
          <w:szCs w:val="13"/>
          <w:b w:val="1"/>
          <w:bCs w:val="1"/>
          <w:color w:val="auto"/>
        </w:rPr>
        <w:t xml:space="preserve"> </w:t>
      </w:r>
      <w:r>
        <w:rPr>
          <w:rFonts w:ascii="Arial" w:cs="Arial" w:eastAsia="Arial" w:hAnsi="Arial"/>
          <w:sz w:val="13"/>
          <w:szCs w:val="13"/>
          <w:color w:val="auto"/>
        </w:rPr>
        <w:t>credits, collateral and property, now or hereafter in the possession, custody, safekeeping or control of Bank or any entity under the control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80"/>
          </w:cols>
          <w:pgMar w:left="300" w:top="1100" w:right="319" w:bottom="1440" w:gutter="0" w:footer="0" w:header="0"/>
        </w:sectPr>
      </w:pPr>
    </w:p>
    <w:bookmarkStart w:id="96" w:name="page97"/>
    <w:bookmarkEnd w:id="96"/>
    <w:p>
      <w:pPr>
        <w:jc w:val="both"/>
        <w:spacing w:after="0" w:line="269" w:lineRule="auto"/>
        <w:rPr>
          <w:sz w:val="20"/>
          <w:szCs w:val="20"/>
          <w:color w:val="auto"/>
        </w:rPr>
      </w:pPr>
      <w:r>
        <w:rPr>
          <w:rFonts w:ascii="Arial" w:cs="Arial" w:eastAsia="Arial" w:hAnsi="Arial"/>
          <w:sz w:val="13"/>
          <w:szCs w:val="13"/>
          <w:color w:val="auto"/>
        </w:rPr>
        <w:t>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32"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b w:val="1"/>
          <w:bCs w:val="1"/>
          <w:color w:val="auto"/>
        </w:rPr>
        <w:t xml:space="preserve">11.11 Captions and Section References. </w:t>
      </w:r>
      <w:r>
        <w:rPr>
          <w:rFonts w:ascii="Arial" w:cs="Arial" w:eastAsia="Arial" w:hAnsi="Arial"/>
          <w:sz w:val="13"/>
          <w:szCs w:val="13"/>
          <w:color w:val="auto"/>
        </w:rPr>
        <w:t>The headings used in this Agreement are for convenience only and shall not affect the interpretation of this Agreement. Unless indicated otherwise, section</w:t>
      </w:r>
      <w:r>
        <w:rPr>
          <w:rFonts w:ascii="Arial" w:cs="Arial" w:eastAsia="Arial" w:hAnsi="Arial"/>
          <w:sz w:val="13"/>
          <w:szCs w:val="13"/>
          <w:b w:val="1"/>
          <w:bCs w:val="1"/>
          <w:color w:val="auto"/>
        </w:rPr>
        <w:t xml:space="preserve"> </w:t>
      </w:r>
      <w:r>
        <w:rPr>
          <w:rFonts w:ascii="Arial" w:cs="Arial" w:eastAsia="Arial" w:hAnsi="Arial"/>
          <w:sz w:val="13"/>
          <w:szCs w:val="13"/>
          <w:color w:val="auto"/>
        </w:rPr>
        <w:t>references herein are to sections of this Agreement.</w:t>
      </w:r>
    </w:p>
    <w:p>
      <w:pPr>
        <w:spacing w:after="0" w:line="113"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b w:val="1"/>
          <w:bCs w:val="1"/>
          <w:color w:val="auto"/>
        </w:rPr>
        <w:t xml:space="preserve">11.12 Construction of Agreement. </w:t>
      </w:r>
      <w:r>
        <w:rPr>
          <w:rFonts w:ascii="Arial" w:cs="Arial" w:eastAsia="Arial" w:hAnsi="Arial"/>
          <w:sz w:val="13"/>
          <w:szCs w:val="13"/>
          <w:color w:val="auto"/>
        </w:rPr>
        <w:t>The parties hereto mutually acknowledge that they and their attorneys have participated in the preparation and negotiation of this Agreement. In cases of</w:t>
      </w:r>
      <w:r>
        <w:rPr>
          <w:rFonts w:ascii="Arial" w:cs="Arial" w:eastAsia="Arial" w:hAnsi="Arial"/>
          <w:sz w:val="13"/>
          <w:szCs w:val="13"/>
          <w:b w:val="1"/>
          <w:bCs w:val="1"/>
          <w:color w:val="auto"/>
        </w:rPr>
        <w:t xml:space="preserve"> </w:t>
      </w:r>
      <w:r>
        <w:rPr>
          <w:rFonts w:ascii="Arial" w:cs="Arial" w:eastAsia="Arial" w:hAnsi="Arial"/>
          <w:sz w:val="13"/>
          <w:szCs w:val="13"/>
          <w:color w:val="auto"/>
        </w:rPr>
        <w:t>uncertainty this Agreement shall be construed without regard to which of the parties caused the uncertainty to exist.</w:t>
      </w:r>
    </w:p>
    <w:p>
      <w:pPr>
        <w:spacing w:after="0" w:line="113"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b w:val="1"/>
          <w:bCs w:val="1"/>
          <w:color w:val="auto"/>
        </w:rPr>
        <w:t xml:space="preserve">11.13 Relationship. </w:t>
      </w:r>
      <w:r>
        <w:rPr>
          <w:rFonts w:ascii="Arial" w:cs="Arial" w:eastAsia="Arial" w:hAnsi="Arial"/>
          <w:sz w:val="13"/>
          <w:szCs w:val="13"/>
          <w:color w:val="auto"/>
        </w:rPr>
        <w:t>The relationship of the parties to this Agreement is determined solely by the provisions of this Agreement. The parties do not intend to create any agency, partnership, joint</w:t>
      </w:r>
      <w:r>
        <w:rPr>
          <w:rFonts w:ascii="Arial" w:cs="Arial" w:eastAsia="Arial" w:hAnsi="Arial"/>
          <w:sz w:val="13"/>
          <w:szCs w:val="13"/>
          <w:b w:val="1"/>
          <w:bCs w:val="1"/>
          <w:color w:val="auto"/>
        </w:rPr>
        <w:t xml:space="preserve"> </w:t>
      </w:r>
      <w:r>
        <w:rPr>
          <w:rFonts w:ascii="Arial" w:cs="Arial" w:eastAsia="Arial" w:hAnsi="Arial"/>
          <w:sz w:val="13"/>
          <w:szCs w:val="13"/>
          <w:color w:val="auto"/>
        </w:rPr>
        <w:t>venture, trust, fiduciary or other relationship with duties or incidents different from those of parties to an arm’s-length contract.</w:t>
      </w:r>
    </w:p>
    <w:p>
      <w:pPr>
        <w:spacing w:after="0" w:line="11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b w:val="1"/>
          <w:bCs w:val="1"/>
          <w:color w:val="auto"/>
        </w:rPr>
        <w:t xml:space="preserve">11.14 Third Parties. </w:t>
      </w:r>
      <w:r>
        <w:rPr>
          <w:rFonts w:ascii="Arial" w:cs="Arial" w:eastAsia="Arial" w:hAnsi="Arial"/>
          <w:sz w:val="13"/>
          <w:szCs w:val="13"/>
          <w:color w:val="auto"/>
        </w:rPr>
        <w:t>Nothing in this Agreement, whether express or implied, is intended to: (a) confer any benefits, rights or remedies under or by reason of this Agreement on any Persons other</w:t>
      </w:r>
      <w:r>
        <w:rPr>
          <w:rFonts w:ascii="Arial" w:cs="Arial" w:eastAsia="Arial" w:hAnsi="Arial"/>
          <w:sz w:val="13"/>
          <w:szCs w:val="13"/>
          <w:b w:val="1"/>
          <w:bCs w:val="1"/>
          <w:color w:val="auto"/>
        </w:rPr>
        <w:t xml:space="preserve"> </w:t>
      </w:r>
      <w:r>
        <w:rPr>
          <w:rFonts w:ascii="Arial" w:cs="Arial" w:eastAsia="Arial" w:hAnsi="Arial"/>
          <w:sz w:val="13"/>
          <w:szCs w:val="13"/>
          <w:color w:val="auto"/>
        </w:rPr>
        <w:t>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2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b w:val="1"/>
          <w:bCs w:val="1"/>
          <w:color w:val="auto"/>
        </w:rPr>
        <w:t xml:space="preserve">11.15 Anti-Terrorism Law. </w:t>
      </w:r>
      <w:r>
        <w:rPr>
          <w:rFonts w:ascii="Arial" w:cs="Arial" w:eastAsia="Arial" w:hAnsi="Arial"/>
          <w:sz w:val="13"/>
          <w:szCs w:val="13"/>
          <w:color w:val="auto"/>
        </w:rPr>
        <w:t>Bank hereby notifies Borrower that, pursuant to the requirements of Anti-Terrorism Law, Bank may be required to obtain, verify and record information that identifies</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spacing w:after="0" w:line="126" w:lineRule="exact"/>
        <w:rPr>
          <w:sz w:val="20"/>
          <w:szCs w:val="20"/>
          <w:color w:val="auto"/>
        </w:rPr>
      </w:pPr>
    </w:p>
    <w:p>
      <w:pPr>
        <w:ind w:left="480" w:right="7080" w:firstLine="7"/>
        <w:spacing w:after="0" w:line="521" w:lineRule="auto"/>
        <w:tabs>
          <w:tab w:leader="none" w:pos="962"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ACCOUNTING TERMS AND OTHER DEFINITIONS 12.1 Accounting and Other Terms.</w:t>
      </w:r>
    </w:p>
    <w:p>
      <w:pPr>
        <w:jc w:val="both"/>
        <w:ind w:firstLine="973"/>
        <w:spacing w:after="0" w:line="267" w:lineRule="auto"/>
        <w:tabs>
          <w:tab w:leader="none" w:pos="1455" w:val="left"/>
        </w:tabs>
        <w:numPr>
          <w:ilvl w:val="1"/>
          <w:numId w:val="84"/>
        </w:numPr>
        <w:rPr>
          <w:rFonts w:ascii="Arial" w:cs="Arial" w:eastAsia="Arial" w:hAnsi="Arial"/>
          <w:sz w:val="13"/>
          <w:szCs w:val="13"/>
          <w:color w:val="auto"/>
        </w:rPr>
      </w:pPr>
      <w:r>
        <w:rPr>
          <w:rFonts w:ascii="Arial" w:cs="Arial" w:eastAsia="Arial" w:hAnsi="Arial"/>
          <w:sz w:val="13"/>
          <w:szCs w:val="13"/>
          <w:color w:val="auto"/>
        </w:rPr>
        <w:t>Accounting terms not defined in this Agreement shall be construed following GAAP, except for non-compliance with FAS 123R with respect to monthly financial statements. Calculations and determinations must be made following GAAP (except for (a) non-compliance with FAS 123R with respect to monthly financial statement),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35" w:lineRule="exact"/>
        <w:rPr>
          <w:rFonts w:ascii="Arial" w:cs="Arial" w:eastAsia="Arial" w:hAnsi="Arial"/>
          <w:sz w:val="13"/>
          <w:szCs w:val="13"/>
          <w:color w:val="auto"/>
        </w:rPr>
      </w:pPr>
    </w:p>
    <w:p>
      <w:pPr>
        <w:jc w:val="both"/>
        <w:ind w:firstLine="973"/>
        <w:spacing w:after="0" w:line="278" w:lineRule="auto"/>
        <w:tabs>
          <w:tab w:leader="none" w:pos="1453" w:val="left"/>
        </w:tabs>
        <w:numPr>
          <w:ilvl w:val="1"/>
          <w:numId w:val="84"/>
        </w:numPr>
        <w:rPr>
          <w:rFonts w:ascii="Arial" w:cs="Arial" w:eastAsia="Arial" w:hAnsi="Arial"/>
          <w:sz w:val="13"/>
          <w:szCs w:val="13"/>
          <w:color w:val="auto"/>
        </w:rPr>
      </w:pPr>
      <w:r>
        <w:rPr>
          <w:rFonts w:ascii="Arial" w:cs="Arial" w:eastAsia="Arial" w:hAnsi="Arial"/>
          <w:sz w:val="13"/>
          <w:szCs w:val="13"/>
          <w:color w:val="auto"/>
        </w:rPr>
        <w:t>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80"/>
          </w:cols>
          <w:pgMar w:left="300" w:top="1100" w:right="319" w:bottom="1440" w:gutter="0" w:footer="0" w:header="0"/>
        </w:sectPr>
      </w:pPr>
    </w:p>
    <w:bookmarkStart w:id="97" w:name="page98"/>
    <w:bookmarkEnd w:id="97"/>
    <w:p>
      <w:pPr>
        <w:jc w:val="both"/>
        <w:spacing w:after="0" w:line="296" w:lineRule="auto"/>
        <w:rPr>
          <w:sz w:val="20"/>
          <w:szCs w:val="20"/>
          <w:color w:val="auto"/>
        </w:rPr>
      </w:pPr>
      <w:r>
        <w:rPr>
          <w:rFonts w:ascii="Arial" w:cs="Arial" w:eastAsia="Arial" w:hAnsi="Arial"/>
          <w:sz w:val="13"/>
          <w:szCs w:val="13"/>
          <w:color w:val="auto"/>
        </w:rPr>
        <w:t>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15" w:lineRule="exact"/>
        <w:rPr>
          <w:sz w:val="20"/>
          <w:szCs w:val="20"/>
          <w:color w:val="auto"/>
        </w:rPr>
      </w:pPr>
    </w:p>
    <w:p>
      <w:pPr>
        <w:jc w:val="both"/>
        <w:ind w:firstLine="486"/>
        <w:spacing w:after="0" w:line="344" w:lineRule="auto"/>
        <w:rPr>
          <w:sz w:val="20"/>
          <w:szCs w:val="20"/>
          <w:color w:val="auto"/>
        </w:rPr>
      </w:pPr>
      <w:r>
        <w:rPr>
          <w:rFonts w:ascii="Arial" w:cs="Arial" w:eastAsia="Arial" w:hAnsi="Arial"/>
          <w:sz w:val="12"/>
          <w:szCs w:val="12"/>
          <w:b w:val="1"/>
          <w:bCs w:val="1"/>
          <w:color w:val="auto"/>
        </w:rPr>
        <w:t xml:space="preserve">12.2 Definitions. </w:t>
      </w:r>
      <w:r>
        <w:rPr>
          <w:rFonts w:ascii="Arial" w:cs="Arial" w:eastAsia="Arial" w:hAnsi="Arial"/>
          <w:sz w:val="12"/>
          <w:szCs w:val="12"/>
          <w:color w:val="auto"/>
        </w:rPr>
        <w:t>Capitalized terms not otherwise defined in this Agreement shall have the meanings set forth in this Section 12.2. All other terms contained in this Agreement, unless otherwise</w:t>
      </w:r>
      <w:r>
        <w:rPr>
          <w:rFonts w:ascii="Arial" w:cs="Arial" w:eastAsia="Arial" w:hAnsi="Arial"/>
          <w:sz w:val="12"/>
          <w:szCs w:val="12"/>
          <w:b w:val="1"/>
          <w:bCs w:val="1"/>
          <w:color w:val="auto"/>
        </w:rPr>
        <w:t xml:space="preserve"> </w:t>
      </w:r>
      <w:r>
        <w:rPr>
          <w:rFonts w:ascii="Arial" w:cs="Arial" w:eastAsia="Arial" w:hAnsi="Arial"/>
          <w:sz w:val="12"/>
          <w:szCs w:val="12"/>
          <w:color w:val="auto"/>
        </w:rPr>
        <w:t>indicated, shall have the meaning provided by the Code to the extent such terms are defined therein. As used in this Agreement, the following capitalized terms have the following meanings:</w:t>
      </w:r>
    </w:p>
    <w:p>
      <w:pPr>
        <w:spacing w:after="0" w:line="90"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Account</w:t>
      </w:r>
      <w:r>
        <w:rPr>
          <w:rFonts w:ascii="Arial" w:cs="Arial" w:eastAsia="Arial" w:hAnsi="Arial"/>
          <w:sz w:val="13"/>
          <w:szCs w:val="13"/>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Account Debtor</w:t>
      </w:r>
      <w:r>
        <w:rPr>
          <w:rFonts w:ascii="Arial" w:cs="Arial" w:eastAsia="Arial" w:hAnsi="Arial"/>
          <w:sz w:val="13"/>
          <w:szCs w:val="13"/>
          <w:color w:val="auto"/>
        </w:rPr>
        <w:t>” is any “account debtor” as defined in the Code with such additions to such term as may hereafter be made.</w:t>
      </w:r>
    </w:p>
    <w:p>
      <w:pPr>
        <w:spacing w:after="0" w:line="17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Agreement</w:t>
      </w:r>
      <w:r>
        <w:rPr>
          <w:rFonts w:ascii="Arial" w:cs="Arial" w:eastAsia="Arial" w:hAnsi="Arial"/>
          <w:sz w:val="13"/>
          <w:szCs w:val="13"/>
          <w:color w:val="auto"/>
        </w:rPr>
        <w:t>” is defined in the preamble hereof.</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Anti-Terrorism Law</w:t>
      </w:r>
      <w:r>
        <w:rPr>
          <w:rFonts w:ascii="Arial" w:cs="Arial" w:eastAsia="Arial" w:hAnsi="Arial"/>
          <w:sz w:val="13"/>
          <w:szCs w:val="13"/>
          <w:color w:val="auto"/>
        </w:rPr>
        <w:t>” means any law relating to terrorism or money-laundering, including Executive Order No. 13224 and the USA Patriot Act.</w:t>
      </w:r>
    </w:p>
    <w:p>
      <w:pPr>
        <w:spacing w:after="0" w:line="17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Law</w:t>
      </w:r>
      <w:r>
        <w:rPr>
          <w:rFonts w:ascii="Arial" w:cs="Arial" w:eastAsia="Arial" w:hAnsi="Arial"/>
          <w:sz w:val="13"/>
          <w:szCs w:val="13"/>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13"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Authorized Signer</w:t>
      </w:r>
      <w:r>
        <w:rPr>
          <w:rFonts w:ascii="Arial" w:cs="Arial" w:eastAsia="Arial" w:hAnsi="Arial"/>
          <w:sz w:val="13"/>
          <w:szCs w:val="13"/>
          <w:color w:val="auto"/>
        </w:rPr>
        <w:t>” means any individual listed in Borrower’s Borrowing Resolution who is authorized to execute the Loan Documents, including making (and executing if applicable) any Credit Extension request, on behalf of Borrower.</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Bank</w:t>
      </w:r>
      <w:r>
        <w:rPr>
          <w:rFonts w:ascii="Arial" w:cs="Arial" w:eastAsia="Arial" w:hAnsi="Arial"/>
          <w:sz w:val="13"/>
          <w:szCs w:val="13"/>
          <w:color w:val="auto"/>
        </w:rPr>
        <w:t>” is defined in the preamble hereof.</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Bank Entities</w:t>
      </w:r>
      <w:r>
        <w:rPr>
          <w:rFonts w:ascii="Arial" w:cs="Arial" w:eastAsia="Arial" w:hAnsi="Arial"/>
          <w:sz w:val="13"/>
          <w:szCs w:val="13"/>
          <w:color w:val="auto"/>
        </w:rPr>
        <w:t>” is defined in Section 11.8.</w:t>
      </w:r>
    </w:p>
    <w:p>
      <w:pPr>
        <w:spacing w:after="0" w:line="17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Bank Expenses</w:t>
      </w:r>
      <w:r>
        <w:rPr>
          <w:rFonts w:ascii="Arial" w:cs="Arial" w:eastAsia="Arial" w:hAnsi="Arial"/>
          <w:sz w:val="13"/>
          <w:szCs w:val="13"/>
          <w:color w:val="auto"/>
        </w:rPr>
        <w:t>” are all reasonable audit fees, costs and reasonable expenses (including reasonable,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26" w:lineRule="exact"/>
        <w:rPr>
          <w:sz w:val="20"/>
          <w:szCs w:val="20"/>
          <w:color w:val="auto"/>
        </w:rPr>
      </w:pPr>
    </w:p>
    <w:p>
      <w:pPr>
        <w:jc w:val="both"/>
        <w:ind w:firstLine="486"/>
        <w:spacing w:after="0" w:line="31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Bank Services</w:t>
      </w:r>
      <w:r>
        <w:rPr>
          <w:rFonts w:ascii="Arial" w:cs="Arial" w:eastAsia="Arial" w:hAnsi="Arial"/>
          <w:sz w:val="12"/>
          <w:szCs w:val="12"/>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2"/>
          <w:szCs w:val="12"/>
          <w:b w:val="1"/>
          <w:bCs w:val="1"/>
          <w:color w:val="auto"/>
        </w:rPr>
        <w:t>Bank Services Agreement</w:t>
      </w:r>
      <w:r>
        <w:rPr>
          <w:rFonts w:ascii="Arial" w:cs="Arial" w:eastAsia="Arial" w:hAnsi="Arial"/>
          <w:sz w:val="12"/>
          <w:szCs w:val="12"/>
          <w:color w:val="auto"/>
        </w:rPr>
        <w:t>”).</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Bank Services Agreement</w:t>
      </w:r>
      <w:r>
        <w:rPr>
          <w:rFonts w:ascii="Arial" w:cs="Arial" w:eastAsia="Arial" w:hAnsi="Arial"/>
          <w:sz w:val="13"/>
          <w:szCs w:val="13"/>
          <w:color w:val="auto"/>
        </w:rPr>
        <w:t>” is defined in the definition of Bank Services.</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Board</w:t>
      </w:r>
      <w:r>
        <w:rPr>
          <w:rFonts w:ascii="Arial" w:cs="Arial" w:eastAsia="Arial" w:hAnsi="Arial"/>
          <w:sz w:val="13"/>
          <w:szCs w:val="13"/>
          <w:color w:val="auto"/>
        </w:rPr>
        <w:t>” is Borrower’s board of directors or equivalent governing body.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80"/>
          </w:cols>
          <w:pgMar w:left="300" w:top="1100" w:right="319" w:bottom="1440" w:gutter="0" w:footer="0" w:header="0"/>
        </w:sectPr>
      </w:pPr>
    </w:p>
    <w:bookmarkStart w:id="98" w:name="page99"/>
    <w:bookmarkEnd w:id="98"/>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Borrower</w:t>
      </w:r>
      <w:r>
        <w:rPr>
          <w:rFonts w:ascii="Arial" w:cs="Arial" w:eastAsia="Arial" w:hAnsi="Arial"/>
          <w:sz w:val="13"/>
          <w:szCs w:val="13"/>
          <w:color w:val="auto"/>
        </w:rPr>
        <w:t>” is set forth on Schedule I hereto.</w:t>
      </w:r>
    </w:p>
    <w:p>
      <w:pPr>
        <w:spacing w:after="0" w:line="17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Borrower’s Books</w:t>
      </w:r>
      <w:r>
        <w:rPr>
          <w:rFonts w:ascii="Arial" w:cs="Arial" w:eastAsia="Arial" w:hAnsi="Arial"/>
          <w:sz w:val="13"/>
          <w:szCs w:val="13"/>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Borrowing Resolutions</w:t>
      </w:r>
      <w:r>
        <w:rPr>
          <w:rFonts w:ascii="Arial" w:cs="Arial" w:eastAsia="Arial" w:hAnsi="Arial"/>
          <w:sz w:val="13"/>
          <w:szCs w:val="13"/>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applicable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36"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is a day other than a Saturday, Sunday or other day on which commercial banks in the State of California are authorized or required by law to close, except that if any determination of a “Business Day” shall relate to an FX Contract, the term “Business Day” shall be a FX Business Day.</w:t>
      </w:r>
    </w:p>
    <w:p>
      <w:pPr>
        <w:spacing w:after="0" w:line="11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Cash Equivalents</w:t>
      </w:r>
      <w:r>
        <w:rPr>
          <w:rFonts w:ascii="Arial" w:cs="Arial" w:eastAsia="Arial" w:hAnsi="Arial"/>
          <w:sz w:val="13"/>
          <w:szCs w:val="13"/>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(95.0%) of the assets of which constitute Cash Equivalents of the kinds described in clauses (a) through (c) of this definition.</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 in Control</w:t>
      </w:r>
      <w:r>
        <w:rPr>
          <w:rFonts w:ascii="Arial" w:cs="Arial" w:eastAsia="Arial" w:hAnsi="Arial"/>
          <w:sz w:val="13"/>
          <w:szCs w:val="13"/>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forty-nine percent (49.0%)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Borrower cease to be composed of individuals (i) who were members of that board or equivalent governing body on the first (1st)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stock, partnership, membership, or other ownership interest or other equity securities of each Subsidiary of Borrower free and clear of all Liens (except Permitted Liens and except dissolutions or transfers permitted pursuant to Sections 6.2 and 6.3 of this Agreement).</w:t>
      </w:r>
    </w:p>
    <w:p>
      <w:pPr>
        <w:spacing w:after="0" w:line="141"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 in Law</w:t>
      </w:r>
      <w:r>
        <w:rPr>
          <w:rFonts w:ascii="Arial" w:cs="Arial" w:eastAsia="Arial" w:hAnsi="Arial"/>
          <w:sz w:val="13"/>
          <w:szCs w:val="13"/>
          <w:color w:val="auto"/>
        </w:rPr>
        <w:t>” means the occurrence, after the Effective Date, of: (a) the adoption or taking effect of any law, rule, regulation or treaty; (b) any change in Applicable Law or in the administration, interpretation,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80"/>
          </w:cols>
          <w:pgMar w:left="300" w:top="1098" w:right="319" w:bottom="1440" w:gutter="0" w:footer="0" w:header="0"/>
        </w:sectPr>
      </w:pPr>
    </w:p>
    <w:bookmarkStart w:id="99" w:name="page100"/>
    <w:bookmarkEnd w:id="99"/>
    <w:p>
      <w:pPr>
        <w:jc w:val="both"/>
        <w:spacing w:after="0" w:line="301" w:lineRule="auto"/>
        <w:rPr>
          <w:sz w:val="20"/>
          <w:szCs w:val="20"/>
          <w:color w:val="auto"/>
        </w:rPr>
      </w:pPr>
      <w:r>
        <w:rPr>
          <w:rFonts w:ascii="Arial" w:cs="Arial" w:eastAsia="Arial" w:hAnsi="Arial"/>
          <w:sz w:val="12"/>
          <w:szCs w:val="12"/>
          <w:color w:val="auto"/>
        </w:rPr>
        <w:t>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Claims</w:t>
      </w:r>
      <w:r>
        <w:rPr>
          <w:rFonts w:ascii="Arial" w:cs="Arial" w:eastAsia="Arial" w:hAnsi="Arial"/>
          <w:sz w:val="13"/>
          <w:szCs w:val="13"/>
          <w:color w:val="auto"/>
        </w:rPr>
        <w:t>” is defined in Section 11.3.</w:t>
      </w:r>
    </w:p>
    <w:p>
      <w:pPr>
        <w:spacing w:after="0" w:line="17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Code</w:t>
      </w:r>
      <w:r>
        <w:rPr>
          <w:rFonts w:ascii="Arial" w:cs="Arial" w:eastAsia="Arial" w:hAnsi="Arial"/>
          <w:sz w:val="13"/>
          <w:szCs w:val="13"/>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Collateral</w:t>
      </w:r>
      <w:r>
        <w:rPr>
          <w:rFonts w:ascii="Arial" w:cs="Arial" w:eastAsia="Arial" w:hAnsi="Arial"/>
          <w:sz w:val="13"/>
          <w:szCs w:val="13"/>
          <w:color w:val="auto"/>
        </w:rPr>
        <w:t>” consists of all of Borrower’s right, title and interest in and to the following personal property:</w:t>
      </w:r>
    </w:p>
    <w:p>
      <w:pPr>
        <w:spacing w:after="0" w:line="176" w:lineRule="exact"/>
        <w:rPr>
          <w:sz w:val="20"/>
          <w:szCs w:val="20"/>
          <w:color w:val="auto"/>
        </w:rPr>
      </w:pPr>
    </w:p>
    <w:p>
      <w:pPr>
        <w:jc w:val="both"/>
        <w:ind w:firstLine="973"/>
        <w:spacing w:after="0" w:line="296" w:lineRule="auto"/>
        <w:tabs>
          <w:tab w:leader="none" w:pos="1455" w:val="left"/>
        </w:tabs>
        <w:numPr>
          <w:ilvl w:val="0"/>
          <w:numId w:val="85"/>
        </w:numPr>
        <w:rPr>
          <w:rFonts w:ascii="Arial" w:cs="Arial" w:eastAsia="Arial" w:hAnsi="Arial"/>
          <w:sz w:val="12"/>
          <w:szCs w:val="12"/>
          <w:color w:val="auto"/>
        </w:rPr>
      </w:pPr>
      <w:r>
        <w:rPr>
          <w:rFonts w:ascii="Arial" w:cs="Arial" w:eastAsia="Arial" w:hAnsi="Arial"/>
          <w:sz w:val="12"/>
          <w:szCs w:val="12"/>
          <w:color w:val="auto"/>
        </w:rPr>
        <w:t>(i)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0" w:lineRule="exact"/>
        <w:rPr>
          <w:rFonts w:ascii="Arial" w:cs="Arial" w:eastAsia="Arial" w:hAnsi="Arial"/>
          <w:sz w:val="12"/>
          <w:szCs w:val="12"/>
          <w:color w:val="auto"/>
        </w:rPr>
      </w:pPr>
    </w:p>
    <w:p>
      <w:pPr>
        <w:ind w:left="1460" w:hanging="487"/>
        <w:spacing w:after="0"/>
        <w:tabs>
          <w:tab w:leader="none" w:pos="14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Notwithstanding the foregoing, the Collateral does not include any of the following (now existing or hereafter arising, owned or created):</w:t>
      </w:r>
    </w:p>
    <w:p>
      <w:pPr>
        <w:spacing w:after="0" w:line="174" w:lineRule="exact"/>
        <w:rPr>
          <w:rFonts w:ascii="Arial" w:cs="Arial" w:eastAsia="Arial" w:hAnsi="Arial"/>
          <w:sz w:val="13"/>
          <w:szCs w:val="13"/>
          <w:color w:val="auto"/>
        </w:rPr>
      </w:pPr>
    </w:p>
    <w:p>
      <w:pPr>
        <w:jc w:val="both"/>
        <w:ind w:left="980" w:firstLine="479"/>
        <w:spacing w:after="0" w:line="272" w:lineRule="auto"/>
        <w:tabs>
          <w:tab w:leader="none" w:pos="1813"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 and</w:t>
      </w:r>
    </w:p>
    <w:p>
      <w:pPr>
        <w:spacing w:after="0" w:line="132" w:lineRule="exact"/>
        <w:rPr>
          <w:rFonts w:ascii="Arial" w:cs="Arial" w:eastAsia="Arial" w:hAnsi="Arial"/>
          <w:sz w:val="13"/>
          <w:szCs w:val="13"/>
          <w:color w:val="auto"/>
        </w:rPr>
      </w:pPr>
    </w:p>
    <w:p>
      <w:pPr>
        <w:jc w:val="both"/>
        <w:ind w:left="980" w:firstLine="479"/>
        <w:spacing w:after="0" w:line="272" w:lineRule="auto"/>
        <w:tabs>
          <w:tab w:leader="none" w:pos="1805"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any interest of Borrower as a lessee or sublessee under a real property lease or an Equipment lease if Borrower is prohibited by the terms of such lease from granting a security interest in such lease or under which such an assignment or Lien would cause a default to occur under such lease (but only to the extent that such prohibition is enforceable under all applicable laws including, without limitation, the Code); provided, however, that upon termination of such prohibition, such interest shall immediately become Collateral without any action by Borrower or Bank.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80"/>
          </w:cols>
          <w:pgMar w:left="300" w:top="1100" w:right="319" w:bottom="1440" w:gutter="0" w:footer="0" w:header="0"/>
        </w:sectPr>
      </w:pPr>
    </w:p>
    <w:bookmarkStart w:id="100" w:name="page101"/>
    <w:bookmarkEnd w:id="100"/>
    <w:p>
      <w:pPr>
        <w:ind w:firstLine="973"/>
        <w:spacing w:after="0" w:line="296" w:lineRule="auto"/>
        <w:tabs>
          <w:tab w:leader="none" w:pos="1455" w:val="left"/>
        </w:tabs>
        <w:numPr>
          <w:ilvl w:val="0"/>
          <w:numId w:val="86"/>
        </w:numPr>
        <w:rPr>
          <w:rFonts w:ascii="Arial" w:cs="Arial" w:eastAsia="Arial" w:hAnsi="Arial"/>
          <w:sz w:val="13"/>
          <w:szCs w:val="13"/>
          <w:color w:val="auto"/>
        </w:rPr>
      </w:pPr>
      <w:r>
        <w:rPr>
          <w:rFonts w:ascii="Arial" w:cs="Arial" w:eastAsia="Arial" w:hAnsi="Arial"/>
          <w:sz w:val="13"/>
          <w:szCs w:val="13"/>
          <w:color w:val="auto"/>
        </w:rPr>
        <w:t>Pursuant to the terms of a certain negative pledge arrangement with Bank, Borrower has agreed not to encumber any of its Intellectual Property in contravention of the terms of such pledge agreement without Bank’s prior written consent.</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Collateral Account</w:t>
      </w:r>
      <w:r>
        <w:rPr>
          <w:rFonts w:ascii="Arial" w:cs="Arial" w:eastAsia="Arial" w:hAnsi="Arial"/>
          <w:sz w:val="13"/>
          <w:szCs w:val="13"/>
          <w:color w:val="auto"/>
        </w:rPr>
        <w:t>” is any Deposit Account, Securities Account, or Commodity Account.</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Commodity Account</w:t>
      </w:r>
      <w:r>
        <w:rPr>
          <w:rFonts w:ascii="Arial" w:cs="Arial" w:eastAsia="Arial" w:hAnsi="Arial"/>
          <w:sz w:val="13"/>
          <w:szCs w:val="13"/>
          <w:color w:val="auto"/>
        </w:rPr>
        <w:t>” is any “commodity account” as defined in the Code with such additions to such term as may hereafter be made.</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Compliance Statement</w:t>
      </w:r>
      <w:r>
        <w:rPr>
          <w:rFonts w:ascii="Arial" w:cs="Arial" w:eastAsia="Arial" w:hAnsi="Arial"/>
          <w:sz w:val="13"/>
          <w:szCs w:val="13"/>
          <w:color w:val="auto"/>
        </w:rPr>
        <w:t>” is that certain statement in the form attached hereto as Exhibit A.</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Connection Income Taxes</w:t>
      </w:r>
      <w:r>
        <w:rPr>
          <w:rFonts w:ascii="Arial" w:cs="Arial" w:eastAsia="Arial" w:hAnsi="Arial"/>
          <w:sz w:val="13"/>
          <w:szCs w:val="13"/>
          <w:color w:val="auto"/>
        </w:rPr>
        <w:t>” means Other Connection Taxes that are imposed on or measured by net income (however denominated) or that are franchise Taxes or branch profits Taxes.</w:t>
      </w:r>
    </w:p>
    <w:p>
      <w:pPr>
        <w:spacing w:after="0" w:line="174" w:lineRule="exact"/>
        <w:rPr>
          <w:sz w:val="20"/>
          <w:szCs w:val="20"/>
          <w:color w:val="auto"/>
        </w:rPr>
      </w:pPr>
    </w:p>
    <w:p>
      <w:pPr>
        <w:ind w:right="20" w:firstLine="486"/>
        <w:spacing w:after="0" w:line="26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Contingent Obligation</w:t>
      </w:r>
      <w:r>
        <w:rPr>
          <w:rFonts w:ascii="Arial" w:cs="Arial" w:eastAsia="Arial" w:hAnsi="Arial"/>
          <w:sz w:val="13"/>
          <w:szCs w:val="13"/>
          <w:color w:val="auto"/>
        </w:rPr>
        <w:t>”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or any Permitted Call Spread Agreement(s).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Control Agreement</w:t>
      </w:r>
      <w:r>
        <w:rPr>
          <w:rFonts w:ascii="Arial" w:cs="Arial" w:eastAsia="Arial" w:hAnsi="Arial"/>
          <w:sz w:val="13"/>
          <w:szCs w:val="13"/>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26"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Copyrights</w:t>
      </w:r>
      <w:r>
        <w:rPr>
          <w:rFonts w:ascii="Arial" w:cs="Arial" w:eastAsia="Arial" w:hAnsi="Arial"/>
          <w:sz w:val="13"/>
          <w:szCs w:val="13"/>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13"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Credit Extension</w:t>
      </w:r>
      <w:r>
        <w:rPr>
          <w:rFonts w:ascii="Arial" w:cs="Arial" w:eastAsia="Arial" w:hAnsi="Arial"/>
          <w:sz w:val="13"/>
          <w:szCs w:val="13"/>
          <w:color w:val="auto"/>
        </w:rPr>
        <w:t>” is any Letter of Credit, FX Contract, amount utilized for cash management services, Term Loan Advance, or any other extension of credit under the Loan Documents by Bank for Borrower’s benefit.</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Currency</w:t>
      </w:r>
      <w:r>
        <w:rPr>
          <w:rFonts w:ascii="Arial" w:cs="Arial" w:eastAsia="Arial" w:hAnsi="Arial"/>
          <w:sz w:val="13"/>
          <w:szCs w:val="13"/>
          <w:color w:val="auto"/>
        </w:rPr>
        <w:t>” is coined money and such other banknotes or other paper money as are authorized by law and circulate as a medium of exchange.</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Default</w:t>
      </w:r>
      <w:r>
        <w:rPr>
          <w:rFonts w:ascii="Arial" w:cs="Arial" w:eastAsia="Arial" w:hAnsi="Arial"/>
          <w:sz w:val="13"/>
          <w:szCs w:val="13"/>
          <w:color w:val="auto"/>
        </w:rPr>
        <w:t>” means any event which with notice or passage of time or both, would constitute an Event of Default.</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Default Rate</w:t>
      </w:r>
      <w:r>
        <w:rPr>
          <w:rFonts w:ascii="Arial" w:cs="Arial" w:eastAsia="Arial" w:hAnsi="Arial"/>
          <w:sz w:val="13"/>
          <w:szCs w:val="13"/>
          <w:color w:val="auto"/>
        </w:rPr>
        <w:t>” is defined in Section 1.2(c).</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Account</w:t>
      </w:r>
      <w:r>
        <w:rPr>
          <w:rFonts w:ascii="Arial" w:cs="Arial" w:eastAsia="Arial" w:hAnsi="Arial"/>
          <w:sz w:val="13"/>
          <w:szCs w:val="13"/>
          <w:color w:val="auto"/>
        </w:rPr>
        <w:t>” is any “</w:t>
      </w:r>
      <w:r>
        <w:rPr>
          <w:rFonts w:ascii="Arial" w:cs="Arial" w:eastAsia="Arial" w:hAnsi="Arial"/>
          <w:sz w:val="13"/>
          <w:szCs w:val="13"/>
          <w:b w:val="1"/>
          <w:bCs w:val="1"/>
          <w:color w:val="auto"/>
        </w:rPr>
        <w:t>deposit account</w:t>
      </w:r>
      <w:r>
        <w:rPr>
          <w:rFonts w:ascii="Arial" w:cs="Arial" w:eastAsia="Arial" w:hAnsi="Arial"/>
          <w:sz w:val="13"/>
          <w:szCs w:val="13"/>
          <w:color w:val="auto"/>
        </w:rPr>
        <w:t>” as defined in the Code with such additions to such term as may hereafter be made.</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Designated Deposit Account</w:t>
      </w:r>
      <w:r>
        <w:rPr>
          <w:rFonts w:ascii="Arial" w:cs="Arial" w:eastAsia="Arial" w:hAnsi="Arial"/>
          <w:sz w:val="13"/>
          <w:szCs w:val="13"/>
          <w:color w:val="auto"/>
        </w:rPr>
        <w:t>” is the deposit account with account number xxx-xxxx-9905, established by Borrower with Bank for purposes of receiving Credit Extensions.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80"/>
          </w:cols>
          <w:pgMar w:left="300" w:top="1100" w:right="319" w:bottom="1440" w:gutter="0" w:footer="0" w:header="0"/>
        </w:sectPr>
      </w:pPr>
    </w:p>
    <w:bookmarkStart w:id="101" w:name="page102"/>
    <w:bookmarkEnd w:id="101"/>
    <w:p>
      <w:pPr>
        <w:jc w:val="both"/>
        <w:ind w:firstLine="486"/>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Division</w:t>
      </w:r>
      <w:r>
        <w:rPr>
          <w:rFonts w:ascii="Arial" w:cs="Arial" w:eastAsia="Arial" w:hAnsi="Arial"/>
          <w:sz w:val="13"/>
          <w:szCs w:val="13"/>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spacing w:after="0" w:line="13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Dollar Equivalent</w:t>
      </w:r>
      <w:r>
        <w:rPr>
          <w:rFonts w:ascii="Arial" w:cs="Arial" w:eastAsia="Arial" w:hAnsi="Arial"/>
          <w:sz w:val="13"/>
          <w:szCs w:val="13"/>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26"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Dollars</w:t>
      </w:r>
      <w:r>
        <w:rPr>
          <w:rFonts w:ascii="Arial" w:cs="Arial" w:eastAsia="Arial" w:hAnsi="Arial"/>
          <w:sz w:val="13"/>
          <w:szCs w:val="13"/>
          <w:color w:val="auto"/>
        </w:rPr>
        <w:t>,” “</w:t>
      </w:r>
      <w:r>
        <w:rPr>
          <w:rFonts w:ascii="Arial" w:cs="Arial" w:eastAsia="Arial" w:hAnsi="Arial"/>
          <w:sz w:val="13"/>
          <w:szCs w:val="13"/>
          <w:b w:val="1"/>
          <w:bCs w:val="1"/>
          <w:color w:val="auto"/>
        </w:rPr>
        <w:t>dollars</w:t>
      </w:r>
      <w:r>
        <w:rPr>
          <w:rFonts w:ascii="Arial" w:cs="Arial" w:eastAsia="Arial" w:hAnsi="Arial"/>
          <w:sz w:val="13"/>
          <w:szCs w:val="13"/>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13"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EBITDA</w:t>
      </w:r>
      <w:r>
        <w:rPr>
          <w:rFonts w:ascii="Arial" w:cs="Arial" w:eastAsia="Arial" w:hAnsi="Arial"/>
          <w:sz w:val="13"/>
          <w:szCs w:val="13"/>
          <w:color w:val="auto"/>
        </w:rPr>
        <w:t>” shall mean (a) Net Income, plus (b) to the extent deducted in the calculation of Net Income (i) Interest Expense, (ii) depreciation expense and amortization expense, (iii) income tax expense, and (iv) stock based compensation.</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is set forth on Schedule I hereto.</w:t>
      </w:r>
    </w:p>
    <w:p>
      <w:pPr>
        <w:spacing w:after="0" w:line="17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Environmental Laws</w:t>
      </w:r>
      <w:r>
        <w:rPr>
          <w:rFonts w:ascii="Arial" w:cs="Arial" w:eastAsia="Arial" w:hAnsi="Arial"/>
          <w:sz w:val="13"/>
          <w:szCs w:val="13"/>
          <w:color w:val="auto"/>
        </w:rPr>
        <w:t>”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26"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Equipment</w:t>
      </w:r>
      <w:r>
        <w:rPr>
          <w:rFonts w:ascii="Arial" w:cs="Arial" w:eastAsia="Arial" w:hAnsi="Arial"/>
          <w:sz w:val="13"/>
          <w:szCs w:val="13"/>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ERISA</w:t>
      </w:r>
      <w:r>
        <w:rPr>
          <w:rFonts w:ascii="Arial" w:cs="Arial" w:eastAsia="Arial" w:hAnsi="Arial"/>
          <w:sz w:val="13"/>
          <w:szCs w:val="13"/>
          <w:color w:val="auto"/>
        </w:rPr>
        <w:t>” is the Employee Retirement Income Security Act of 1974, as amended, and its regulations.</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Event of Default</w:t>
      </w:r>
      <w:r>
        <w:rPr>
          <w:rFonts w:ascii="Arial" w:cs="Arial" w:eastAsia="Arial" w:hAnsi="Arial"/>
          <w:sz w:val="13"/>
          <w:szCs w:val="13"/>
          <w:color w:val="auto"/>
        </w:rPr>
        <w:t>” is defined in Section 7.</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Exchange Act</w:t>
      </w:r>
      <w:r>
        <w:rPr>
          <w:rFonts w:ascii="Arial" w:cs="Arial" w:eastAsia="Arial" w:hAnsi="Arial"/>
          <w:sz w:val="13"/>
          <w:szCs w:val="13"/>
          <w:color w:val="auto"/>
        </w:rPr>
        <w:t>” is the Securities Exchange Act of 1934, as amended.</w:t>
      </w:r>
    </w:p>
    <w:p>
      <w:pPr>
        <w:spacing w:after="0" w:line="174"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Excluded Taxes</w:t>
      </w:r>
      <w:r>
        <w:rPr>
          <w:rFonts w:ascii="Arial" w:cs="Arial" w:eastAsia="Arial" w:hAnsi="Arial"/>
          <w:sz w:val="13"/>
          <w:szCs w:val="13"/>
          <w:color w:val="auto"/>
        </w:rPr>
        <w:t>”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 (ii) Bank changes its lending office, except in each case to the extent that, pursuant to Section 1.6, amounts with respect to such Taxes were payable either to Bank’s assignor immediately before Bank became a party hereto or to Bank immediately before it changed its lending office, (c) Taxes attributable to Bank’s failure to comply with Section 1.6(e) and/or any reporting and delivery requirements, and (d) any withholding Taxes imposed under FATCA.</w:t>
      </w:r>
    </w:p>
    <w:p>
      <w:pPr>
        <w:spacing w:after="0" w:line="136"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FATCA</w:t>
      </w:r>
      <w:r>
        <w:rPr>
          <w:rFonts w:ascii="Arial" w:cs="Arial" w:eastAsia="Arial" w:hAnsi="Arial"/>
          <w:sz w:val="13"/>
          <w:szCs w:val="13"/>
          <w:color w:val="auto"/>
        </w:rPr>
        <w:t>” means Sections 1471 through 1474 of the Internal Revenue Code, as of the date of this Agreement (or any amended or successor version that is substantively comparable and not materially more onerous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80"/>
          </w:cols>
          <w:pgMar w:left="300" w:top="1098" w:right="319" w:bottom="1440" w:gutter="0" w:footer="0" w:header="0"/>
        </w:sectPr>
      </w:pPr>
    </w:p>
    <w:bookmarkStart w:id="102" w:name="page103"/>
    <w:bookmarkEnd w:id="102"/>
    <w:p>
      <w:pPr>
        <w:jc w:val="both"/>
        <w:spacing w:after="0" w:line="341" w:lineRule="auto"/>
        <w:rPr>
          <w:sz w:val="20"/>
          <w:szCs w:val="20"/>
          <w:color w:val="auto"/>
        </w:rPr>
      </w:pPr>
      <w:r>
        <w:rPr>
          <w:rFonts w:ascii="Arial" w:cs="Arial" w:eastAsia="Arial" w:hAnsi="Arial"/>
          <w:sz w:val="12"/>
          <w:szCs w:val="12"/>
          <w:color w:val="auto"/>
        </w:rPr>
        <w:t>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9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Payment</w:t>
      </w:r>
      <w:r>
        <w:rPr>
          <w:rFonts w:ascii="Arial" w:cs="Arial" w:eastAsia="Arial" w:hAnsi="Arial"/>
          <w:sz w:val="13"/>
          <w:szCs w:val="13"/>
          <w:color w:val="auto"/>
        </w:rPr>
        <w:t>” is a payment (in addition to and not a substitution for the regular monthly payments of principal plus accrued interest) due on the earliest to occur of (a) the Term Loan Maturity Date, (b) the repayment of the Term Loan Advance in full, (c) as required pursuant to Section 1.1(c) or 1.1(d), or (d) the termination of this Agreement, in an amount equal to the original aggregate principle amount of the Term Loan Advance extended by Bank to Borrower multiplied by two percent (2.0%).</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Financial Statement Repository</w:t>
      </w:r>
      <w:r>
        <w:rPr>
          <w:rFonts w:ascii="Arial" w:cs="Arial" w:eastAsia="Arial" w:hAnsi="Arial"/>
          <w:sz w:val="12"/>
          <w:szCs w:val="12"/>
          <w:color w:val="auto"/>
        </w:rPr>
        <w:t>” is L43f1c@svb.com or such other means of collecting information approved and designated by Bank after providing notice thereof to Borrower from time to time.</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Foreign Currency</w:t>
      </w:r>
      <w:r>
        <w:rPr>
          <w:rFonts w:ascii="Arial" w:cs="Arial" w:eastAsia="Arial" w:hAnsi="Arial"/>
          <w:sz w:val="13"/>
          <w:szCs w:val="13"/>
          <w:color w:val="auto"/>
        </w:rPr>
        <w:t>” is the lawful money of a country other than the United States.</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Foreign Subsidiary</w:t>
      </w:r>
      <w:r>
        <w:rPr>
          <w:rFonts w:ascii="Arial" w:cs="Arial" w:eastAsia="Arial" w:hAnsi="Arial"/>
          <w:sz w:val="13"/>
          <w:szCs w:val="13"/>
          <w:color w:val="auto"/>
        </w:rPr>
        <w:t>” is a Subsidiary that is not an entity organized under the laws of the United States or any territory thereof or the District of Columbia.</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Funding Date</w:t>
      </w:r>
      <w:r>
        <w:rPr>
          <w:rFonts w:ascii="Arial" w:cs="Arial" w:eastAsia="Arial" w:hAnsi="Arial"/>
          <w:sz w:val="13"/>
          <w:szCs w:val="13"/>
          <w:color w:val="auto"/>
        </w:rPr>
        <w:t>” is any date on which a Credit Extension is made to or for the account of Borrower which shall be a Business Day.</w:t>
      </w:r>
    </w:p>
    <w:p>
      <w:pPr>
        <w:spacing w:after="0" w:line="17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FX Business Day</w:t>
      </w:r>
      <w:r>
        <w:rPr>
          <w:rFonts w:ascii="Arial" w:cs="Arial" w:eastAsia="Arial" w:hAnsi="Arial"/>
          <w:sz w:val="13"/>
          <w:szCs w:val="13"/>
          <w:color w:val="auto"/>
        </w:rPr>
        <w:t>” is any day when (a) Bank’s Foreign Exchange Department is conducting its normal business and (b) the Foreign Currency being purchased or sold by Borrower is available to Bank from the entity from which Bank shall buy or sell such Foreign Currency.</w:t>
      </w:r>
    </w:p>
    <w:p>
      <w:pPr>
        <w:spacing w:after="0" w:line="113"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FX Contract</w:t>
      </w:r>
      <w:r>
        <w:rPr>
          <w:rFonts w:ascii="Arial" w:cs="Arial" w:eastAsia="Arial" w:hAnsi="Arial"/>
          <w:sz w:val="13"/>
          <w:szCs w:val="13"/>
          <w:color w:val="auto"/>
        </w:rPr>
        <w:t>” is any foreign exchange contract by and between Borrower and Bank under which Borrower commits to purchase from or sell to Bank a specific amount of Foreign Currency at a set price or on a specified date.</w:t>
      </w:r>
    </w:p>
    <w:p>
      <w:pPr>
        <w:spacing w:after="0" w:line="113" w:lineRule="exact"/>
        <w:rPr>
          <w:sz w:val="20"/>
          <w:szCs w:val="20"/>
          <w:color w:val="auto"/>
        </w:rPr>
      </w:pPr>
    </w:p>
    <w:p>
      <w:pPr>
        <w:jc w:val="both"/>
        <w:ind w:firstLine="486"/>
        <w:spacing w:after="0" w:line="31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GAAP</w:t>
      </w:r>
      <w:r>
        <w:rPr>
          <w:rFonts w:ascii="Arial" w:cs="Arial" w:eastAsia="Arial" w:hAnsi="Arial"/>
          <w:sz w:val="12"/>
          <w:szCs w:val="12"/>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(except for with respect to unaudited financial statements for the absence of footnotes and subject to year-end audit adjustments).</w:t>
      </w:r>
    </w:p>
    <w:p>
      <w:pPr>
        <w:spacing w:after="0" w:line="10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General Intangibles</w:t>
      </w:r>
      <w:r>
        <w:rPr>
          <w:rFonts w:ascii="Arial" w:cs="Arial" w:eastAsia="Arial" w:hAnsi="Arial"/>
          <w:sz w:val="13"/>
          <w:szCs w:val="13"/>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Faith Deposit</w:t>
      </w:r>
      <w:r>
        <w:rPr>
          <w:rFonts w:ascii="Arial" w:cs="Arial" w:eastAsia="Arial" w:hAnsi="Arial"/>
          <w:sz w:val="13"/>
          <w:szCs w:val="13"/>
          <w:color w:val="auto"/>
        </w:rPr>
        <w:t>” is defined in Section 1.3.</w:t>
      </w:r>
    </w:p>
    <w:p>
      <w:pPr>
        <w:spacing w:after="0" w:line="17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Governmental Approval</w:t>
      </w:r>
      <w:r>
        <w:rPr>
          <w:rFonts w:ascii="Arial" w:cs="Arial" w:eastAsia="Arial" w:hAnsi="Arial"/>
          <w:sz w:val="13"/>
          <w:szCs w:val="13"/>
          <w:color w:val="auto"/>
        </w:rPr>
        <w:t>” is any consent, authorization, approval, order, license, franchise, permit, certificate, accreditation, registration, filing or notice, of, issued by, from or to, or other act by or in respect of, any Governmental Authority.</w:t>
      </w:r>
    </w:p>
    <w:p>
      <w:pPr>
        <w:spacing w:after="0" w:line="113"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Governmental Authority</w:t>
      </w:r>
      <w:r>
        <w:rPr>
          <w:rFonts w:ascii="Arial" w:cs="Arial" w:eastAsia="Arial" w:hAnsi="Arial"/>
          <w:sz w:val="13"/>
          <w:szCs w:val="13"/>
          <w:color w:val="auto"/>
        </w:rPr>
        <w:t>” is any nation or government, any state or other political subdivision thereof, any agency, authority, instrumentality, regulatory body, court, central bank or other entity exercising executive,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80"/>
          </w:cols>
          <w:pgMar w:left="300" w:top="1100" w:right="31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color w:val="auto"/>
        </w:rPr>
        <w:t>legislative, judicial, taxing, regulatory or administrative functions of or pertaining to government, any securities exchange and any self-regulatory organization.</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Guarantor</w:t>
      </w:r>
      <w:r>
        <w:rPr>
          <w:rFonts w:ascii="Arial" w:cs="Arial" w:eastAsia="Arial" w:hAnsi="Arial"/>
          <w:sz w:val="13"/>
          <w:szCs w:val="13"/>
          <w:color w:val="auto"/>
        </w:rPr>
        <w:t>” is any Person providing a Guaranty in favor of Bank with respect to the Obligations.</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Guaranty</w:t>
      </w:r>
      <w:r>
        <w:rPr>
          <w:rFonts w:ascii="Arial" w:cs="Arial" w:eastAsia="Arial" w:hAnsi="Arial"/>
          <w:sz w:val="13"/>
          <w:szCs w:val="13"/>
          <w:color w:val="auto"/>
        </w:rPr>
        <w:t>” is any guarantee of all or any part of the Obligations, as the same may from time to time be amended, restated, modified or otherwise supplemented.</w:t>
      </w:r>
    </w:p>
    <w:p>
      <w:pPr>
        <w:spacing w:after="0" w:line="17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Indebtedness</w:t>
      </w:r>
      <w:r>
        <w:rPr>
          <w:rFonts w:ascii="Arial" w:cs="Arial" w:eastAsia="Arial" w:hAnsi="Arial"/>
          <w:sz w:val="13"/>
          <w:szCs w:val="13"/>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(d) Contingent Obligations and (e) other short- and long-term obligations under debt agreements, lines of credit and extensions of credit, provided, however, that in no event shall obligations under any Permitted Call Spread Agreement constitute Indebtedness.</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Indemnified Person</w:t>
      </w:r>
      <w:r>
        <w:rPr>
          <w:rFonts w:ascii="Arial" w:cs="Arial" w:eastAsia="Arial" w:hAnsi="Arial"/>
          <w:sz w:val="13"/>
          <w:szCs w:val="13"/>
          <w:color w:val="auto"/>
        </w:rPr>
        <w:t>” is defined in Section 11.3.</w:t>
      </w:r>
    </w:p>
    <w:p>
      <w:pPr>
        <w:spacing w:after="0" w:line="17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Indemnified Taxes</w:t>
      </w:r>
      <w:r>
        <w:rPr>
          <w:rFonts w:ascii="Arial" w:cs="Arial" w:eastAsia="Arial" w:hAnsi="Arial"/>
          <w:sz w:val="13"/>
          <w:szCs w:val="13"/>
          <w:color w:val="auto"/>
        </w:rPr>
        <w:t>” means (a) Taxes, other than Excluded Taxes, imposed on or with respect to any payment made by or on account of any obligation of Borrower under any Loan Document and (b) to the extent not otherwise described in clause (a), Other Taxes.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Information</w:t>
      </w:r>
      <w:r>
        <w:rPr>
          <w:rFonts w:ascii="Arial" w:cs="Arial" w:eastAsia="Arial" w:hAnsi="Arial"/>
          <w:sz w:val="13"/>
          <w:szCs w:val="13"/>
          <w:color w:val="auto"/>
        </w:rPr>
        <w:t>” is defined in Section 11.8.</w:t>
      </w:r>
    </w:p>
    <w:p>
      <w:pPr>
        <w:spacing w:after="0" w:line="17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Insolvency Proceeding</w:t>
      </w:r>
      <w:r>
        <w:rPr>
          <w:rFonts w:ascii="Arial" w:cs="Arial" w:eastAsia="Arial" w:hAnsi="Arial"/>
          <w:sz w:val="13"/>
          <w:szCs w:val="13"/>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Intellectual Property</w:t>
      </w:r>
      <w:r>
        <w:rPr>
          <w:rFonts w:ascii="Arial" w:cs="Arial" w:eastAsia="Arial" w:hAnsi="Arial"/>
          <w:sz w:val="13"/>
          <w:szCs w:val="13"/>
          <w:color w:val="auto"/>
        </w:rPr>
        <w:t>” means, with respect to any Person, all of such Person’s right, title, and interest in and to the following, whether now owned or hereafter acquired or created:</w:t>
      </w:r>
    </w:p>
    <w:p>
      <w:pPr>
        <w:spacing w:after="0" w:line="176" w:lineRule="exact"/>
        <w:rPr>
          <w:sz w:val="20"/>
          <w:szCs w:val="20"/>
          <w:color w:val="auto"/>
        </w:rPr>
      </w:pPr>
    </w:p>
    <w:p>
      <w:pPr>
        <w:ind w:left="1460" w:hanging="487"/>
        <w:spacing w:after="0"/>
        <w:tabs>
          <w:tab w:leader="none" w:pos="14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its Copyrights, Trademarks and Patents;</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any and all trade secrets and trade secret rights, including, without limitation, any rights to unpatented inventions, know-how and operating manuals;</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licenses any and all source code;</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any and all design rights which may be available to such Person;</w:t>
      </w:r>
    </w:p>
    <w:p>
      <w:pPr>
        <w:spacing w:after="0" w:line="174" w:lineRule="exact"/>
        <w:rPr>
          <w:rFonts w:ascii="Arial" w:cs="Arial" w:eastAsia="Arial" w:hAnsi="Arial"/>
          <w:sz w:val="13"/>
          <w:szCs w:val="13"/>
          <w:color w:val="auto"/>
        </w:rPr>
      </w:pPr>
    </w:p>
    <w:p>
      <w:pPr>
        <w:ind w:firstLine="973"/>
        <w:spacing w:after="0" w:line="296" w:lineRule="auto"/>
        <w:tabs>
          <w:tab w:leader="none" w:pos="1455" w:val="left"/>
        </w:tabs>
        <w:numPr>
          <w:ilvl w:val="0"/>
          <w:numId w:val="87"/>
        </w:numPr>
        <w:rPr>
          <w:rFonts w:ascii="Arial" w:cs="Arial" w:eastAsia="Arial" w:hAnsi="Arial"/>
          <w:sz w:val="13"/>
          <w:szCs w:val="13"/>
          <w:color w:val="auto"/>
        </w:rPr>
      </w:pPr>
      <w:r>
        <w:rPr>
          <w:rFonts w:ascii="Arial" w:cs="Arial" w:eastAsia="Arial" w:hAnsi="Arial"/>
          <w:sz w:val="13"/>
          <w:szCs w:val="13"/>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all amendments, renewals and extensions of any of the Copyrights, Trademarks or Patents.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Internal Revenue Code</w:t>
      </w:r>
      <w:r>
        <w:rPr>
          <w:rFonts w:ascii="Arial" w:cs="Arial" w:eastAsia="Arial" w:hAnsi="Arial"/>
          <w:sz w:val="13"/>
          <w:szCs w:val="13"/>
          <w:color w:val="auto"/>
        </w:rPr>
        <w:t>” means the U.S. Internal Revenue Code of 1986, and the rules and regulations promulgated thereunder, each as amended or modified from time to time.</w:t>
      </w:r>
    </w:p>
    <w:p>
      <w:pPr>
        <w:spacing w:after="0" w:line="174" w:lineRule="exact"/>
        <w:rPr>
          <w:sz w:val="20"/>
          <w:szCs w:val="20"/>
          <w:color w:val="auto"/>
        </w:rPr>
      </w:pPr>
    </w:p>
    <w:p>
      <w:pPr>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Inventory</w:t>
      </w:r>
      <w:r>
        <w:rPr>
          <w:rFonts w:ascii="Arial" w:cs="Arial" w:eastAsia="Arial" w:hAnsi="Arial"/>
          <w:sz w:val="13"/>
          <w:szCs w:val="13"/>
          <w:color w:val="auto"/>
        </w:rPr>
        <w:t>” is all “</w:t>
      </w:r>
      <w:r>
        <w:rPr>
          <w:rFonts w:ascii="Arial" w:cs="Arial" w:eastAsia="Arial" w:hAnsi="Arial"/>
          <w:sz w:val="13"/>
          <w:szCs w:val="13"/>
          <w:b w:val="1"/>
          <w:bCs w:val="1"/>
          <w:color w:val="auto"/>
        </w:rPr>
        <w:t>inventory</w:t>
      </w:r>
      <w:r>
        <w:rPr>
          <w:rFonts w:ascii="Arial" w:cs="Arial" w:eastAsia="Arial" w:hAnsi="Arial"/>
          <w:sz w:val="13"/>
          <w:szCs w:val="13"/>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80"/>
          </w:cols>
          <w:pgMar w:left="300" w:top="1100" w:right="31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color w:val="auto"/>
        </w:rPr>
        <w:t>as is temporarily out of Borrower’s custody or possession or in transit and including any returned goods and any documents of title representing any of the above.</w:t>
      </w:r>
    </w:p>
    <w:p>
      <w:pPr>
        <w:spacing w:after="0" w:line="172"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Investment</w:t>
      </w:r>
      <w:r>
        <w:rPr>
          <w:rFonts w:ascii="Arial" w:cs="Arial" w:eastAsia="Arial" w:hAnsi="Arial"/>
          <w:sz w:val="13"/>
          <w:szCs w:val="13"/>
          <w:color w:val="auto"/>
        </w:rPr>
        <w:t>” is any beneficial ownership interest in any Person (including stock, partnership, membership, or other ownership interest or other equity securities), and any loan, advance or capital contribution to any Person.</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Key Person</w:t>
      </w:r>
      <w:r>
        <w:rPr>
          <w:rFonts w:ascii="Arial" w:cs="Arial" w:eastAsia="Arial" w:hAnsi="Arial"/>
          <w:sz w:val="13"/>
          <w:szCs w:val="13"/>
          <w:color w:val="auto"/>
        </w:rPr>
        <w:t>” is each of Borrower’s (i) Chief Executive Officer, and (ii) Chief Financial Officer, as of the Effective Date.</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Letter of Credit</w:t>
      </w:r>
      <w:r>
        <w:rPr>
          <w:rFonts w:ascii="Arial" w:cs="Arial" w:eastAsia="Arial" w:hAnsi="Arial"/>
          <w:sz w:val="13"/>
          <w:szCs w:val="13"/>
          <w:color w:val="auto"/>
        </w:rPr>
        <w:t>” is a standby or commercial letter of credit issued by Bank upon request of Borrower based upon an application, guarantee, indemnity, or similar agreement.</w:t>
      </w:r>
    </w:p>
    <w:p>
      <w:pPr>
        <w:spacing w:after="0" w:line="17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Lien</w:t>
      </w:r>
      <w:r>
        <w:rPr>
          <w:rFonts w:ascii="Arial" w:cs="Arial" w:eastAsia="Arial" w:hAnsi="Arial"/>
          <w:sz w:val="13"/>
          <w:szCs w:val="13"/>
          <w:color w:val="auto"/>
        </w:rPr>
        <w:t>” is a claim, mortgage, deed of trust, levy, attachment charge, pledge, hypothecation, security interest or other encumbrance of any kind, whether voluntarily incurred or arising by operation of law or otherwise against any property.</w:t>
      </w:r>
    </w:p>
    <w:p>
      <w:pPr>
        <w:spacing w:after="0" w:line="11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Loan Documents</w:t>
      </w:r>
      <w:r>
        <w:rPr>
          <w:rFonts w:ascii="Arial" w:cs="Arial" w:eastAsia="Arial" w:hAnsi="Arial"/>
          <w:sz w:val="13"/>
          <w:szCs w:val="13"/>
          <w:color w:val="auto"/>
        </w:rPr>
        <w:t>” are, collectively, this Agreement and any schedules, exhibits, certificates, notices, and any other documents related to this Agreement, the Perfection Certificate, the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w:t>
      </w:r>
    </w:p>
    <w:p>
      <w:pPr>
        <w:spacing w:after="0" w:line="130"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Material Adverse Change</w:t>
      </w:r>
      <w:r>
        <w:rPr>
          <w:rFonts w:ascii="Arial" w:cs="Arial" w:eastAsia="Arial" w:hAnsi="Arial"/>
          <w:sz w:val="13"/>
          <w:szCs w:val="13"/>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 when such Obligations are due.</w:t>
      </w:r>
    </w:p>
    <w:p>
      <w:pPr>
        <w:spacing w:after="0" w:line="113"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Net Income</w:t>
      </w:r>
      <w:r>
        <w:rPr>
          <w:rFonts w:ascii="Arial" w:cs="Arial" w:eastAsia="Arial" w:hAnsi="Arial"/>
          <w:sz w:val="13"/>
          <w:szCs w:val="13"/>
          <w:color w:val="auto"/>
        </w:rPr>
        <w:t>” means, as calculated on a consolidated basis for Borrower and its Subsidiaries for any period as at any date of determination, the net profit (or loss), after provision for taxes, of Borrower and its Subsidiaries for such period taken as a single accounting period.</w:t>
      </w:r>
    </w:p>
    <w:p>
      <w:pPr>
        <w:spacing w:after="0" w:line="11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Obligations</w:t>
      </w:r>
      <w:r>
        <w:rPr>
          <w:rFonts w:ascii="Arial" w:cs="Arial" w:eastAsia="Arial" w:hAnsi="Arial"/>
          <w:sz w:val="13"/>
          <w:szCs w:val="13"/>
          <w:color w:val="auto"/>
        </w:rPr>
        <w:t>” are Borrower’s obligations to pay when due any debts, principal, interest, fees, Bank Expenses, the Prepayment Fee (if applicable), the Final Payment, and other amounts Borrower owes Bank now or later, whether under this Agreement, or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 (but in all cases excluding any equity interests of Bank and/or its Affiliates in Borrower).</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OFAC</w:t>
      </w:r>
      <w:r>
        <w:rPr>
          <w:rFonts w:ascii="Arial" w:cs="Arial" w:eastAsia="Arial" w:hAnsi="Arial"/>
          <w:sz w:val="13"/>
          <w:szCs w:val="13"/>
          <w:color w:val="auto"/>
        </w:rPr>
        <w:t>” is the Office of Foreign Assets Control of the United States Department of the Treasury and any successor thereto.</w:t>
      </w:r>
    </w:p>
    <w:p>
      <w:pPr>
        <w:spacing w:after="0" w:line="17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Operating Documents</w:t>
      </w:r>
      <w:r>
        <w:rPr>
          <w:rFonts w:ascii="Arial" w:cs="Arial" w:eastAsia="Arial" w:hAnsi="Arial"/>
          <w:sz w:val="13"/>
          <w:szCs w:val="13"/>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w:t>
      </w:r>
    </w:p>
    <w:p>
      <w:pPr>
        <w:spacing w:after="0" w:line="130"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Other Connection Taxes</w:t>
      </w:r>
      <w:r>
        <w:rPr>
          <w:rFonts w:ascii="Arial" w:cs="Arial" w:eastAsia="Arial" w:hAnsi="Arial"/>
          <w:sz w:val="13"/>
          <w:szCs w:val="13"/>
          <w:color w:val="auto"/>
        </w:rPr>
        <w:t>”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80"/>
          </w:cols>
          <w:pgMar w:left="300" w:top="1100" w:right="31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color w:val="auto"/>
        </w:rPr>
        <w:t>perfected a security interest under, engaged in any other transaction pursuant to or enforced any Loan Document, or sold or assigned an interest in any Credit Extension or Loan Document).</w:t>
      </w:r>
    </w:p>
    <w:p>
      <w:pPr>
        <w:spacing w:after="0" w:line="17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Other Taxes</w:t>
      </w:r>
      <w:r>
        <w:rPr>
          <w:rFonts w:ascii="Arial" w:cs="Arial" w:eastAsia="Arial" w:hAnsi="Arial"/>
          <w:sz w:val="13"/>
          <w:szCs w:val="13"/>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26"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Patents</w:t>
      </w:r>
      <w:r>
        <w:rPr>
          <w:rFonts w:ascii="Arial" w:cs="Arial" w:eastAsia="Arial" w:hAnsi="Arial"/>
          <w:sz w:val="13"/>
          <w:szCs w:val="13"/>
          <w:color w:val="auto"/>
        </w:rPr>
        <w:t>” means all patents, patent applications and like protections including without limitation improvements, divisions, continuations, renewals, reissues, extensions and continuations-in-part of the same.</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Payment/Advance Form</w:t>
      </w:r>
      <w:r>
        <w:rPr>
          <w:rFonts w:ascii="Arial" w:cs="Arial" w:eastAsia="Arial" w:hAnsi="Arial"/>
          <w:sz w:val="13"/>
          <w:szCs w:val="13"/>
          <w:color w:val="auto"/>
        </w:rPr>
        <w:t>” is that certain form in the form attached hereto as Exhibit B.</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Payment Date</w:t>
      </w:r>
      <w:r>
        <w:rPr>
          <w:rFonts w:ascii="Arial" w:cs="Arial" w:eastAsia="Arial" w:hAnsi="Arial"/>
          <w:sz w:val="13"/>
          <w:szCs w:val="13"/>
          <w:color w:val="auto"/>
        </w:rPr>
        <w:t>” is set forth on Schedule I hereto.</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Perfection Certificate</w:t>
      </w:r>
      <w:r>
        <w:rPr>
          <w:rFonts w:ascii="Arial" w:cs="Arial" w:eastAsia="Arial" w:hAnsi="Arial"/>
          <w:sz w:val="13"/>
          <w:szCs w:val="13"/>
          <w:color w:val="auto"/>
        </w:rPr>
        <w:t>” is the Perfection Certificate delivered by Borrower in connection with this Agreement.</w:t>
      </w:r>
    </w:p>
    <w:p>
      <w:pPr>
        <w:spacing w:after="0" w:line="17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Performance Milestone</w:t>
      </w:r>
      <w:r>
        <w:rPr>
          <w:rFonts w:ascii="Arial" w:cs="Arial" w:eastAsia="Arial" w:hAnsi="Arial"/>
          <w:sz w:val="13"/>
          <w:szCs w:val="13"/>
          <w:color w:val="auto"/>
        </w:rPr>
        <w:t>” means Borrower’s delivery to Bank of evidence reasonably satisfactory to Bank in its commercially reasonable discretion, confirming that Borrower has achieved revenue (determined in accordance with GAAP) of at least Ninety Million Dollars ($90,000,000) for the trailing twelve (12) month period ending on December 31, 2022.</w:t>
      </w:r>
    </w:p>
    <w:p>
      <w:pPr>
        <w:spacing w:after="0" w:line="11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2"/>
          <w:szCs w:val="12"/>
          <w:b w:val="1"/>
          <w:bCs w:val="1"/>
          <w:color w:val="auto"/>
        </w:rPr>
        <w:t>“Permitted Acquisition</w:t>
      </w:r>
      <w:r>
        <w:rPr>
          <w:rFonts w:ascii="Arial" w:cs="Arial" w:eastAsia="Arial" w:hAnsi="Arial"/>
          <w:sz w:val="12"/>
          <w:szCs w:val="12"/>
          <w:color w:val="auto"/>
        </w:rPr>
        <w:t>” or “</w:t>
      </w:r>
      <w:r>
        <w:rPr>
          <w:rFonts w:ascii="Arial" w:cs="Arial" w:eastAsia="Arial" w:hAnsi="Arial"/>
          <w:sz w:val="12"/>
          <w:szCs w:val="12"/>
          <w:b w:val="1"/>
          <w:bCs w:val="1"/>
          <w:color w:val="auto"/>
        </w:rPr>
        <w:t>Permitted Acquisitions</w:t>
      </w:r>
      <w:r>
        <w:rPr>
          <w:rFonts w:ascii="Arial" w:cs="Arial" w:eastAsia="Arial" w:hAnsi="Arial"/>
          <w:sz w:val="12"/>
          <w:szCs w:val="12"/>
          <w:color w:val="auto"/>
        </w:rPr>
        <w:t>” means an acquisition by Borrower or any Subsidiary of any Intellectual Property or all or substantially all of the assets of, all of the ownership</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interests in, or a business line, product line (including rights in respect of any medical device) or unit or division of another Person (including any foreign corporations) for cash consideration (including any purchase price adjustments, indemnity payments and earn-out obligations in connection therewith) up to Ten Million Dollars ($10,000,000) in any fiscal year (or such greater amount as may be agreed with the prior written consent of Bank);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with respect to each such acquisition, each of the following conditions shall have been satisfied (or waived by Bank, acting in its good faith business discretion):</w:t>
      </w:r>
    </w:p>
    <w:p>
      <w:pPr>
        <w:spacing w:after="0" w:line="137" w:lineRule="exact"/>
        <w:rPr>
          <w:sz w:val="20"/>
          <w:szCs w:val="20"/>
          <w:color w:val="auto"/>
        </w:rPr>
      </w:pPr>
    </w:p>
    <w:p>
      <w:pPr>
        <w:ind w:firstLine="973"/>
        <w:spacing w:after="0" w:line="296" w:lineRule="auto"/>
        <w:tabs>
          <w:tab w:leader="none" w:pos="1455" w:val="left"/>
        </w:tabs>
        <w:numPr>
          <w:ilvl w:val="0"/>
          <w:numId w:val="88"/>
        </w:numPr>
        <w:rPr>
          <w:rFonts w:ascii="Arial" w:cs="Arial" w:eastAsia="Arial" w:hAnsi="Arial"/>
          <w:sz w:val="13"/>
          <w:szCs w:val="13"/>
          <w:color w:val="auto"/>
        </w:rPr>
      </w:pPr>
      <w:r>
        <w:rPr>
          <w:rFonts w:ascii="Arial" w:cs="Arial" w:eastAsia="Arial" w:hAnsi="Arial"/>
          <w:sz w:val="13"/>
          <w:szCs w:val="13"/>
          <w:color w:val="auto"/>
        </w:rPr>
        <w:t>no Event of Default shall have occurred and be continuing or would result from the consummation of the proposed acquisition and Bank has received evidence that Borrower is in compliance with all terms and conditions of this Agreement on a pro forma basis after giving effect to such acquisition,</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such acquired Person or assets shall be in a similar line of business as is conducted by Borrower as of the Effective Date (or a line of business reasonably related thereto),</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such acquisition shall not cause the focus or locations of Borrower’s and its Subsidiaries’ operations (when taken as a whole) to be located outside of the United States,</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such acquisition shall not constitute a hostile acquisition,</w:t>
      </w:r>
    </w:p>
    <w:p>
      <w:pPr>
        <w:spacing w:after="0" w:line="174" w:lineRule="exact"/>
        <w:rPr>
          <w:rFonts w:ascii="Arial" w:cs="Arial" w:eastAsia="Arial" w:hAnsi="Arial"/>
          <w:sz w:val="13"/>
          <w:szCs w:val="13"/>
          <w:color w:val="auto"/>
        </w:rPr>
      </w:pPr>
    </w:p>
    <w:p>
      <w:pPr>
        <w:ind w:firstLine="973"/>
        <w:spacing w:after="0" w:line="296" w:lineRule="auto"/>
        <w:tabs>
          <w:tab w:leader="none" w:pos="1455" w:val="left"/>
        </w:tabs>
        <w:numPr>
          <w:ilvl w:val="0"/>
          <w:numId w:val="88"/>
        </w:numPr>
        <w:rPr>
          <w:rFonts w:ascii="Arial" w:cs="Arial" w:eastAsia="Arial" w:hAnsi="Arial"/>
          <w:sz w:val="13"/>
          <w:szCs w:val="13"/>
          <w:color w:val="auto"/>
        </w:rPr>
      </w:pPr>
      <w:r>
        <w:rPr>
          <w:rFonts w:ascii="Arial" w:cs="Arial" w:eastAsia="Arial" w:hAnsi="Arial"/>
          <w:sz w:val="13"/>
          <w:szCs w:val="13"/>
          <w:color w:val="auto"/>
        </w:rPr>
        <w:t>any Person acquired as a result of such acquisition shall become a secured Guarantor (or co-borrower) subject to the terms herein, within fifteen (15) Business Days of the consummation of such acquisition,</w:t>
      </w:r>
    </w:p>
    <w:p>
      <w:pPr>
        <w:spacing w:after="0" w:line="117" w:lineRule="exact"/>
        <w:rPr>
          <w:rFonts w:ascii="Arial" w:cs="Arial" w:eastAsia="Arial" w:hAnsi="Arial"/>
          <w:sz w:val="13"/>
          <w:szCs w:val="13"/>
          <w:color w:val="auto"/>
        </w:rPr>
      </w:pPr>
    </w:p>
    <w:p>
      <w:pPr>
        <w:ind w:firstLine="973"/>
        <w:spacing w:after="0" w:line="296" w:lineRule="auto"/>
        <w:tabs>
          <w:tab w:leader="none" w:pos="1451" w:val="left"/>
        </w:tabs>
        <w:numPr>
          <w:ilvl w:val="0"/>
          <w:numId w:val="88"/>
        </w:numPr>
        <w:rPr>
          <w:rFonts w:ascii="Arial" w:cs="Arial" w:eastAsia="Arial" w:hAnsi="Arial"/>
          <w:sz w:val="13"/>
          <w:szCs w:val="13"/>
          <w:color w:val="auto"/>
        </w:rPr>
      </w:pPr>
      <w:r>
        <w:rPr>
          <w:rFonts w:ascii="Arial" w:cs="Arial" w:eastAsia="Arial" w:hAnsi="Arial"/>
          <w:sz w:val="13"/>
          <w:szCs w:val="13"/>
          <w:color w:val="auto"/>
        </w:rPr>
        <w:t>in connection with such acquisition, neither Borrower nor any of its subsidiaries (including for this purpose, the target of the acquisition) shall acquire or be subject to any Indebtedness or Liens that are not otherwise permitted hereunder;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80"/>
          </w:cols>
          <w:pgMar w:left="300" w:top="1100" w:right="319" w:bottom="1440" w:gutter="0" w:footer="0" w:header="0"/>
        </w:sectPr>
      </w:pPr>
    </w:p>
    <w:bookmarkStart w:id="106" w:name="page107"/>
    <w:bookmarkEnd w:id="106"/>
    <w:p>
      <w:pPr>
        <w:ind w:firstLine="973"/>
        <w:spacing w:after="0" w:line="296" w:lineRule="auto"/>
        <w:tabs>
          <w:tab w:leader="none" w:pos="1453" w:val="left"/>
        </w:tabs>
        <w:numPr>
          <w:ilvl w:val="0"/>
          <w:numId w:val="89"/>
        </w:numPr>
        <w:rPr>
          <w:rFonts w:ascii="Arial" w:cs="Arial" w:eastAsia="Arial" w:hAnsi="Arial"/>
          <w:sz w:val="13"/>
          <w:szCs w:val="13"/>
          <w:color w:val="auto"/>
        </w:rPr>
      </w:pPr>
      <w:r>
        <w:rPr>
          <w:rFonts w:ascii="Arial" w:cs="Arial" w:eastAsia="Arial" w:hAnsi="Arial"/>
          <w:sz w:val="13"/>
          <w:szCs w:val="13"/>
          <w:color w:val="auto"/>
        </w:rPr>
        <w:t>Borrower shall provide Bank with written notice of the proposed acquisition at least five (5) Business Days prior to the anticipated signing, commitment, or closing date of the proposed acquisition, whichever occurs first;</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Borrower shall provide to the Bank not later than five (5) Business Days after the execution thereof, a copy of the executed purchase agreement or similar agreement with respect to</w:t>
      </w:r>
    </w:p>
    <w:p>
      <w:pPr>
        <w:spacing w:after="0" w:line="3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any such acquisition;</w:t>
      </w:r>
    </w:p>
    <w:p>
      <w:pPr>
        <w:spacing w:after="0" w:line="164" w:lineRule="exact"/>
        <w:rPr>
          <w:rFonts w:ascii="Arial" w:cs="Arial" w:eastAsia="Arial" w:hAnsi="Arial"/>
          <w:sz w:val="12"/>
          <w:szCs w:val="12"/>
          <w:color w:val="auto"/>
        </w:rPr>
      </w:pPr>
    </w:p>
    <w:p>
      <w:pPr>
        <w:ind w:left="1460" w:hanging="487"/>
        <w:spacing w:after="0"/>
        <w:tabs>
          <w:tab w:leader="none" w:pos="14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such acquisition has been approved by the board of directors (or other equivalent legally governing body) of the Person to be acquired,</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entity or assets to be acquired in such acquisition shall not be subject to any Lien other (x) the first priority Liens granted in favor of Bank and (y) Permitted Liens;</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all transactions related to such acquisition shall be consummated in all material respects in accordance with applicable law; and</w:t>
      </w:r>
    </w:p>
    <w:p>
      <w:pPr>
        <w:spacing w:after="0" w:line="174" w:lineRule="exact"/>
        <w:rPr>
          <w:rFonts w:ascii="Arial" w:cs="Arial" w:eastAsia="Arial" w:hAnsi="Arial"/>
          <w:sz w:val="13"/>
          <w:szCs w:val="13"/>
          <w:color w:val="auto"/>
        </w:rPr>
      </w:pPr>
    </w:p>
    <w:p>
      <w:pPr>
        <w:ind w:firstLine="973"/>
        <w:spacing w:after="0" w:line="296" w:lineRule="auto"/>
        <w:tabs>
          <w:tab w:leader="none" w:pos="1453" w:val="left"/>
        </w:tabs>
        <w:numPr>
          <w:ilvl w:val="0"/>
          <w:numId w:val="89"/>
        </w:numPr>
        <w:rPr>
          <w:rFonts w:ascii="Arial" w:cs="Arial" w:eastAsia="Arial" w:hAnsi="Arial"/>
          <w:sz w:val="13"/>
          <w:szCs w:val="13"/>
          <w:color w:val="auto"/>
        </w:rPr>
      </w:pPr>
      <w:r>
        <w:rPr>
          <w:rFonts w:ascii="Arial" w:cs="Arial" w:eastAsia="Arial" w:hAnsi="Arial"/>
          <w:sz w:val="13"/>
          <w:szCs w:val="13"/>
          <w:color w:val="auto"/>
        </w:rPr>
        <w:t>Borrower shall provide to the Bank as soon as available but in any event not later than five (5) Business Days after the execution thereof, a copy of the executed purchase agreement or similar agreement with respect to any such acquisition.</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3"/>
          <w:szCs w:val="13"/>
          <w:color w:val="auto"/>
        </w:rPr>
        <w:t>Borrower shall provide to the Bank as soon as available but in any event not later than five (5) Business Days after the execution thereof a certificate of a Responsible Officer of Borrower, in form and substance reasonably satisfactory to Bank, certifying that all of the requirements set forth in this definition have been satisfied or will be satisfied on or prior to the consummation of such acquisition. Notwithstanding the foregoing and for the avoidance of doubt, in no event shall Borrower or any of its Subsidiaries assume any liabilities with respect to any acquisition, including without limitation, any Permitted Indebtedness, in excess of Fifteen Million Dollars ($15,000,000) in aggregate outstanding at any time for such Permitted Acquisitions.</w:t>
      </w:r>
    </w:p>
    <w:p>
      <w:pPr>
        <w:spacing w:after="0" w:line="15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Call Spread Agreements</w:t>
      </w:r>
      <w:r>
        <w:rPr>
          <w:rFonts w:ascii="Arial" w:cs="Arial" w:eastAsia="Arial" w:hAnsi="Arial"/>
          <w:sz w:val="12"/>
          <w:szCs w:val="12"/>
          <w:color w:val="auto"/>
        </w:rPr>
        <w:t>” means (a) any call option transaction (including, but not limited to, any bond hedge transaction or capped call transaction) pursuant to which the Borrower acquires an option requiring the counterparty thereto to deliver to the Borrower shares of common stock of the Borrower (or other securities or property following a merger event or other change of the common stock of the Borrower), the cash value thereof or a combination thereof from time to time upon exercise of such option entered into by the Borrower in connection with the issuance of Permitted Convertible Debt (such transaction, a “</w:t>
      </w:r>
      <w:r>
        <w:rPr>
          <w:rFonts w:ascii="Arial" w:cs="Arial" w:eastAsia="Arial" w:hAnsi="Arial"/>
          <w:sz w:val="12"/>
          <w:szCs w:val="12"/>
          <w:b w:val="1"/>
          <w:bCs w:val="1"/>
          <w:color w:val="auto"/>
        </w:rPr>
        <w:t>Bond Hedge Transaction</w:t>
      </w:r>
      <w:r>
        <w:rPr>
          <w:rFonts w:ascii="Arial" w:cs="Arial" w:eastAsia="Arial" w:hAnsi="Arial"/>
          <w:sz w:val="12"/>
          <w:szCs w:val="12"/>
          <w:color w:val="auto"/>
        </w:rPr>
        <w:t>”) and (b) any issued warrants to acquire common stock of the Borrower (or other securities or property following a merger event or other change of the common stock of the Borrower) (whether such warrant is settled in shares, cash or a combination thereof) issued by the Borrower in connection with the issuance of Permitted Convertible Debt and sold by Borrower substantially concurrently with any purchase by Borrower of a Bond Hedge Transaction and settled in (such transaction, a “</w:t>
      </w:r>
      <w:r>
        <w:rPr>
          <w:rFonts w:ascii="Arial" w:cs="Arial" w:eastAsia="Arial" w:hAnsi="Arial"/>
          <w:sz w:val="12"/>
          <w:szCs w:val="12"/>
          <w:b w:val="1"/>
          <w:bCs w:val="1"/>
          <w:color w:val="auto"/>
        </w:rPr>
        <w:t>Warrant Transaction</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the terms, conditions and covenants of each such call option transaction are customary for agreements of such type, as determined by the Board (or a committee thereof) in good faith, (ii) the purchase price for such Bond Hedge Transaction, less the proceeds received by the Borrower from the sale of any related Warrant Transaction, does not exceed the net proceeds received by the Borrower from the issuance of the related Permitted Convertible Indebtedness at the time of such purchase, and (iii) in the case of clause (b) above, such warrants would be classified as an equity instrument in accordance with GAAP.</w:t>
      </w:r>
    </w:p>
    <w:p>
      <w:pPr>
        <w:spacing w:after="0" w:line="144" w:lineRule="exact"/>
        <w:rPr>
          <w:sz w:val="20"/>
          <w:szCs w:val="20"/>
          <w:color w:val="auto"/>
        </w:rPr>
      </w:pPr>
    </w:p>
    <w:p>
      <w:pPr>
        <w:jc w:val="both"/>
        <w:ind w:right="120" w:firstLine="48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Convertible Debt</w:t>
      </w:r>
      <w:r>
        <w:rPr>
          <w:rFonts w:ascii="Arial" w:cs="Arial" w:eastAsia="Arial" w:hAnsi="Arial"/>
          <w:sz w:val="12"/>
          <w:szCs w:val="12"/>
          <w:color w:val="auto"/>
        </w:rPr>
        <w:t xml:space="preserve">” means any unsecured notes issued by the Borrower that are convertible into a fixed number (subject to customary anti-dilution adjustments, “make-whole” increases and other customary changes thereto) of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Indebtedness must satisfy each of the following conditions: (i) both immediately prior to and after giving effect (including pro forma effect) to the issuance thereof, no Default or Event of Default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280"/>
          </w:cols>
          <w:pgMar w:left="300" w:top="1100" w:right="319" w:bottom="1440" w:gutter="0" w:footer="0" w:header="0"/>
        </w:sectPr>
      </w:pPr>
    </w:p>
    <w:bookmarkStart w:id="107" w:name="page108"/>
    <w:bookmarkEnd w:id="107"/>
    <w:p>
      <w:pPr>
        <w:jc w:val="both"/>
        <w:ind w:right="120"/>
        <w:spacing w:after="0" w:line="287" w:lineRule="auto"/>
        <w:rPr>
          <w:sz w:val="20"/>
          <w:szCs w:val="20"/>
          <w:color w:val="auto"/>
        </w:rPr>
      </w:pPr>
      <w:r>
        <w:rPr>
          <w:rFonts w:ascii="Arial" w:cs="Arial" w:eastAsia="Arial" w:hAnsi="Arial"/>
          <w:sz w:val="12"/>
          <w:szCs w:val="12"/>
          <w:color w:val="auto"/>
        </w:rPr>
        <w:t>shall exist or result therefrom, (ii) such Indebtedness matures after, and does not require any scheduled amortization or other scheduled or otherwise required payments of principal prior to, or have a scheduled maturity date earlier than, the date that is ninety one (91) calendar days after the Term Loan Maturity Date and prior to that date, does not provide for or require any payments of principal or any other payments with the exception of semi-annual interest payments, obligations to settle conversions, redemption rights (which, for the avoidance of doubt, will be subject to Section 6.7) and customary obligations to offer to repurchase the notes upon the occurrence of a “fundamental change”, (iii)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Arial" w:cs="Arial" w:eastAsia="Arial" w:hAnsi="Arial"/>
          <w:sz w:val="12"/>
          <w:szCs w:val="12"/>
          <w:b w:val="1"/>
          <w:bCs w:val="1"/>
          <w:color w:val="auto"/>
        </w:rPr>
        <w:t>Cross-Default Reference Obligation</w:t>
      </w:r>
      <w:r>
        <w:rPr>
          <w:rFonts w:ascii="Arial" w:cs="Arial" w:eastAsia="Arial" w:hAnsi="Arial"/>
          <w:sz w:val="12"/>
          <w:szCs w:val="12"/>
          <w:color w:val="auto"/>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 (iv) the terms, conditions and covenants (other than pricing terms determined through a customary marketing process) of such Indebtedness must be customary for convertible Indebtedness of such type at the time of issuance (as determined by the Board, or a committee thereof, in good faith) and, (v) such Indebtedness is not guaranteed by any Subsidiary of the Borrower unless the Obligations are guaranteed by such Subsidiary on a secured basis. For the avoidance of doubt, and without limitation of the foregoing, Permitted Convertible Debt shall at all times be valued at the full stated principle amount thereof and shall not include any reduction or appreciation in value of the shares deliverable upon conversion thereof.</w:t>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Foreign Subsidiary Accounts</w:t>
      </w:r>
      <w:r>
        <w:rPr>
          <w:rFonts w:ascii="Arial" w:cs="Arial" w:eastAsia="Arial" w:hAnsi="Arial"/>
          <w:sz w:val="13"/>
          <w:szCs w:val="13"/>
          <w:color w:val="auto"/>
        </w:rPr>
        <w:t>” is defined in Section 5.9(a).</w:t>
      </w:r>
    </w:p>
    <w:p>
      <w:pPr>
        <w:spacing w:after="0" w:line="174"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Hedging Agreement</w:t>
      </w:r>
      <w:r>
        <w:rPr>
          <w:rFonts w:ascii="Arial" w:cs="Arial" w:eastAsia="Arial" w:hAnsi="Arial"/>
          <w:sz w:val="13"/>
          <w:szCs w:val="13"/>
          <w:color w:val="auto"/>
        </w:rPr>
        <w:t xml:space="preserve">” means any currency agreement, all rate swap transactions or other contract or arrangement designed solely to protect a Person against fluctuations in currency exchange rates and interest rate risk, and any confirmation executed in connection with any such agreement, contract, or arrangement, in each case, entered into by Borrower or any of its Subsidiaries solely to hedge or mitigate the risks of foreign exchange rate fluctuations and interest rate risk and not for any speculative or other purposes;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agreement, contract or arrangement shall comply in all respects with the hedging policies or guidelines as are approved by the Board or as are approved by Bank (such approval not to be unreasonably withheld, delayed or conditioned); </w:t>
      </w:r>
      <w:r>
        <w:rPr>
          <w:rFonts w:ascii="Arial" w:cs="Arial" w:eastAsia="Arial" w:hAnsi="Arial"/>
          <w:sz w:val="13"/>
          <w:szCs w:val="13"/>
          <w:i w:val="1"/>
          <w:iCs w:val="1"/>
          <w:color w:val="auto"/>
        </w:rPr>
        <w:t>provided further</w:t>
      </w:r>
      <w:r>
        <w:rPr>
          <w:rFonts w:ascii="Arial" w:cs="Arial" w:eastAsia="Arial" w:hAnsi="Arial"/>
          <w:sz w:val="13"/>
          <w:szCs w:val="13"/>
          <w:color w:val="auto"/>
        </w:rPr>
        <w:t>, that all accrued and reasonably expected liabilities of Borrower or its Subsidiaries arising under Permitted Hedging Agreements shall not exceed One Million Dollars ($1,000,000) in the aggregate at any time. For the avoidance of doubt, no Permitted Call Spread Agreement shall constitute a Permitted Hedging Agreement.</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Indebtedness</w:t>
      </w:r>
      <w:r>
        <w:rPr>
          <w:rFonts w:ascii="Arial" w:cs="Arial" w:eastAsia="Arial" w:hAnsi="Arial"/>
          <w:sz w:val="13"/>
          <w:szCs w:val="13"/>
          <w:color w:val="auto"/>
        </w:rPr>
        <w:t>” is:</w:t>
      </w:r>
    </w:p>
    <w:p>
      <w:pPr>
        <w:spacing w:after="0" w:line="176" w:lineRule="exact"/>
        <w:rPr>
          <w:sz w:val="20"/>
          <w:szCs w:val="20"/>
          <w:color w:val="auto"/>
        </w:rPr>
      </w:pPr>
    </w:p>
    <w:p>
      <w:pPr>
        <w:ind w:left="1460" w:hanging="487"/>
        <w:spacing w:after="0"/>
        <w:tabs>
          <w:tab w:leader="none" w:pos="14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Borrower’s Indebtedness to Bank under this Agreement, the other Loan Documents and under any other agreement with Bank;</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Indebtedness existing on the Effective Date which is shown on the Perfection Certificate;</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Subordinated Debt;</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unsecured Indebtedness to trade creditors incurred in the ordinary course of business;</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Indebtedness incurred as a result of endorsing negotiable instruments received in the ordinary course of business;</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Indebtedness secured by Liens permitted under clauses (a) and (c) of the definition of “Permitted Liens” hereunder;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80"/>
          </w:cols>
          <w:pgMar w:left="300" w:top="1100" w:right="319" w:bottom="1440" w:gutter="0" w:footer="0" w:header="0"/>
        </w:sectPr>
      </w:pPr>
    </w:p>
    <w:bookmarkStart w:id="108" w:name="page109"/>
    <w:bookmarkEnd w:id="108"/>
    <w:p>
      <w:pPr>
        <w:ind w:left="1460" w:hanging="487"/>
        <w:spacing w:after="0"/>
        <w:tabs>
          <w:tab w:leader="none" w:pos="14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other unsecured Indebtedness not otherwise permitted by Section 6.4 not exceeding Two Hundred Fifty Thousand Dollars ($250,000.00) in the aggregate outstanding at any time;</w:t>
      </w:r>
    </w:p>
    <w:p>
      <w:pPr>
        <w:spacing w:after="0" w:line="185" w:lineRule="exact"/>
        <w:rPr>
          <w:rFonts w:ascii="Arial" w:cs="Arial" w:eastAsia="Arial" w:hAnsi="Arial"/>
          <w:sz w:val="12"/>
          <w:szCs w:val="12"/>
          <w:color w:val="auto"/>
        </w:rPr>
      </w:pPr>
    </w:p>
    <w:p>
      <w:pPr>
        <w:ind w:left="1460" w:hanging="487"/>
        <w:spacing w:after="0"/>
        <w:tabs>
          <w:tab w:leader="none" w:pos="14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Indebtedness with respect to credit cards maintained with American Express, not to exceed Five Hundred Thousand Dollars ($500,000) outstanding at any time;</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Permitted Hedging Agreements;</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intercompany Indebtedness by and among Borrower and its Subsidiaries (subject to “Permitted Investments” part (g)(i);</w:t>
      </w:r>
    </w:p>
    <w:p>
      <w:pPr>
        <w:spacing w:after="0" w:line="174" w:lineRule="exact"/>
        <w:rPr>
          <w:rFonts w:ascii="Arial" w:cs="Arial" w:eastAsia="Arial" w:hAnsi="Arial"/>
          <w:sz w:val="13"/>
          <w:szCs w:val="13"/>
          <w:color w:val="auto"/>
        </w:rPr>
      </w:pPr>
    </w:p>
    <w:p>
      <w:pPr>
        <w:ind w:firstLine="973"/>
        <w:spacing w:after="0" w:line="296" w:lineRule="auto"/>
        <w:tabs>
          <w:tab w:leader="none" w:pos="1453"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Indebtedness in respect of letters of credit, bank guarantees and similar instruments issued for the account of Borrower and/or its Subsidiaries in the ordinary course of business not to exceed Seven Hundred Fifty Thousand Dollars ($750,000) outstanding at any time;</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advances or deposits received in the ordinary course of business from customers or vendors;</w:t>
      </w:r>
    </w:p>
    <w:p>
      <w:pPr>
        <w:spacing w:after="0" w:line="174" w:lineRule="exact"/>
        <w:rPr>
          <w:rFonts w:ascii="Arial" w:cs="Arial" w:eastAsia="Arial" w:hAnsi="Arial"/>
          <w:sz w:val="13"/>
          <w:szCs w:val="13"/>
          <w:color w:val="auto"/>
        </w:rPr>
      </w:pPr>
    </w:p>
    <w:p>
      <w:pPr>
        <w:jc w:val="both"/>
        <w:ind w:firstLine="973"/>
        <w:spacing w:after="0" w:line="278" w:lineRule="auto"/>
        <w:tabs>
          <w:tab w:leader="none" w:pos="145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Indebtedness in respect of netting services, overdraft protections, payment processing, automatic clearinghouse arrangements, arrangements in respect of pooled deposit or sweep accounts, check endorsement guarantees, and otherwise in connection with deposit accounts or cash management services and Indebtedness arising in connection with automated clearing house transfer of funds or the use of other payment processing services;</w:t>
      </w:r>
    </w:p>
    <w:p>
      <w:pPr>
        <w:spacing w:after="0" w:line="128" w:lineRule="exact"/>
        <w:rPr>
          <w:rFonts w:ascii="Arial" w:cs="Arial" w:eastAsia="Arial" w:hAnsi="Arial"/>
          <w:sz w:val="13"/>
          <w:szCs w:val="13"/>
          <w:color w:val="auto"/>
        </w:rPr>
      </w:pPr>
    </w:p>
    <w:p>
      <w:pPr>
        <w:ind w:left="1460" w:hanging="487"/>
        <w:spacing w:after="0"/>
        <w:tabs>
          <w:tab w:leader="none" w:pos="14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Indebtedness arising in connection with the financing of insurance premiums in the ordinary course of business not to exceed Seven Hundred Fifty Thousand Dollars ($750,000)</w:t>
      </w:r>
    </w:p>
    <w:p>
      <w:pPr>
        <w:spacing w:after="0" w:line="3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outstanding at any time;</w:t>
      </w:r>
    </w:p>
    <w:p>
      <w:pPr>
        <w:spacing w:after="0" w:line="164" w:lineRule="exact"/>
        <w:rPr>
          <w:rFonts w:ascii="Arial" w:cs="Arial" w:eastAsia="Arial" w:hAnsi="Arial"/>
          <w:sz w:val="12"/>
          <w:szCs w:val="12"/>
          <w:color w:val="auto"/>
        </w:rPr>
      </w:pPr>
    </w:p>
    <w:p>
      <w:pPr>
        <w:ind w:firstLine="973"/>
        <w:spacing w:after="0" w:line="296" w:lineRule="auto"/>
        <w:tabs>
          <w:tab w:leader="none" w:pos="1453"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Indebtedness in respect of performance bonds, bid bonds, appeal bonds, surety bonds, completion guarantees and similar obligations arising in the ordinary course of business not to exceed Seven Hundred Fifty Thousand Dollars ($750,000) in the aggregate outstanding at any time;</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Unsecured Indebtedness in connection with Permitted Acquisitions, not to exceed Fifteen Million Dollars ($15,000,000) in aggregate outstanding at any time;</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Permitted Convertible Debt in aggregate principal amount not to exceed Two Hundred Fifty Million Dollars ($250,000,000) in principal amount at any time outstanding;</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Indebtedness of Borrower’s Subsidiaries in connection with the sale of Inventory by Borrower to its Subsidiaries in the ordinary course of business, which may from time to time be</w:t>
      </w:r>
    </w:p>
    <w:p>
      <w:pPr>
        <w:spacing w:after="0" w:line="3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forgiven by Borrower;</w:t>
      </w:r>
    </w:p>
    <w:p>
      <w:pPr>
        <w:spacing w:after="0" w:line="164" w:lineRule="exact"/>
        <w:rPr>
          <w:rFonts w:ascii="Arial" w:cs="Arial" w:eastAsia="Arial" w:hAnsi="Arial"/>
          <w:sz w:val="12"/>
          <w:szCs w:val="12"/>
          <w:color w:val="auto"/>
        </w:rPr>
      </w:pPr>
    </w:p>
    <w:p>
      <w:pPr>
        <w:ind w:firstLine="973"/>
        <w:spacing w:after="0" w:line="296" w:lineRule="auto"/>
        <w:tabs>
          <w:tab w:leader="none" w:pos="1448" w:val="left"/>
        </w:tabs>
        <w:numPr>
          <w:ilvl w:val="0"/>
          <w:numId w:val="91"/>
        </w:numPr>
        <w:rPr>
          <w:rFonts w:ascii="Arial" w:cs="Arial" w:eastAsia="Arial" w:hAnsi="Arial"/>
          <w:sz w:val="13"/>
          <w:szCs w:val="13"/>
          <w:color w:val="auto"/>
        </w:rPr>
      </w:pPr>
      <w:r>
        <w:rPr>
          <w:rFonts w:ascii="Arial" w:cs="Arial" w:eastAsia="Arial" w:hAnsi="Arial"/>
          <w:sz w:val="13"/>
          <w:szCs w:val="13"/>
          <w:color w:val="auto"/>
        </w:rPr>
        <w:t>purchase price adjustments, indemnity payments and earn-out obligations in connection with any Permitted Acquisition (to the extent not in excess of the consideration limitations set forth in the definition thereof); and</w:t>
      </w:r>
    </w:p>
    <w:p>
      <w:pPr>
        <w:spacing w:after="0" w:line="117" w:lineRule="exact"/>
        <w:rPr>
          <w:rFonts w:ascii="Arial" w:cs="Arial" w:eastAsia="Arial" w:hAnsi="Arial"/>
          <w:sz w:val="13"/>
          <w:szCs w:val="13"/>
          <w:color w:val="auto"/>
        </w:rPr>
      </w:pPr>
    </w:p>
    <w:p>
      <w:pPr>
        <w:ind w:firstLine="973"/>
        <w:spacing w:after="0" w:line="296" w:lineRule="auto"/>
        <w:tabs>
          <w:tab w:leader="none" w:pos="1453" w:val="left"/>
        </w:tabs>
        <w:numPr>
          <w:ilvl w:val="0"/>
          <w:numId w:val="91"/>
        </w:numPr>
        <w:rPr>
          <w:rFonts w:ascii="Arial" w:cs="Arial" w:eastAsia="Arial" w:hAnsi="Arial"/>
          <w:sz w:val="13"/>
          <w:szCs w:val="13"/>
          <w:color w:val="auto"/>
        </w:rPr>
      </w:pPr>
      <w:r>
        <w:rPr>
          <w:rFonts w:ascii="Arial" w:cs="Arial" w:eastAsia="Arial" w:hAnsi="Arial"/>
          <w:sz w:val="13"/>
          <w:szCs w:val="13"/>
          <w:color w:val="auto"/>
        </w:rPr>
        <w:t>extensions, refinancings, modifications, amendments and restatements of any items of Permitted Indebtedness (a) through (s) above, provided that the principal amount thereof is not increased or the terms thereof are not modified to impose more burdensome terms upon Borrower or its Subsidiary, as the case may be.</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Investments</w:t>
      </w:r>
      <w:r>
        <w:rPr>
          <w:rFonts w:ascii="Arial" w:cs="Arial" w:eastAsia="Arial" w:hAnsi="Arial"/>
          <w:sz w:val="13"/>
          <w:szCs w:val="13"/>
          <w:color w:val="auto"/>
        </w:rPr>
        <w:t>” are: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80"/>
          </w:cols>
          <w:pgMar w:left="300" w:top="1100" w:right="319" w:bottom="1440" w:gutter="0" w:footer="0" w:header="0"/>
        </w:sectPr>
      </w:pPr>
    </w:p>
    <w:bookmarkStart w:id="109" w:name="page110"/>
    <w:bookmarkEnd w:id="109"/>
    <w:p>
      <w:pPr>
        <w:ind w:left="1460" w:hanging="487"/>
        <w:spacing w:after="0"/>
        <w:tabs>
          <w:tab w:leader="none" w:pos="14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Investments (including, without limitation, Subsidiaries) existing on the Effective Date which are shown on the Perfection Certificate;</w:t>
      </w:r>
    </w:p>
    <w:p>
      <w:pPr>
        <w:spacing w:after="0" w:line="174"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92"/>
        </w:numPr>
        <w:rPr>
          <w:rFonts w:ascii="Arial" w:cs="Arial" w:eastAsia="Arial" w:hAnsi="Arial"/>
          <w:sz w:val="13"/>
          <w:szCs w:val="13"/>
          <w:color w:val="auto"/>
        </w:rPr>
      </w:pPr>
      <w:r>
        <w:rPr>
          <w:rFonts w:ascii="Arial" w:cs="Arial" w:eastAsia="Arial" w:hAnsi="Arial"/>
          <w:sz w:val="13"/>
          <w:szCs w:val="13"/>
          <w:color w:val="auto"/>
        </w:rPr>
        <w:t>(i) Investments consisting of cash and Cash Equivalents, and (ii) any other Investments permitted by Borrower’s investment policy, as amended from time to time, provided that such investment policy (and any such amendment thereto) has been approved in writing by Bank, further provided that Bank hereby confirms approval of such investment policy delivered to Bank around the Effective Date;</w:t>
      </w:r>
    </w:p>
    <w:p>
      <w:pPr>
        <w:spacing w:after="0" w:line="128" w:lineRule="exact"/>
        <w:rPr>
          <w:rFonts w:ascii="Arial" w:cs="Arial" w:eastAsia="Arial" w:hAnsi="Arial"/>
          <w:sz w:val="13"/>
          <w:szCs w:val="13"/>
          <w:color w:val="auto"/>
        </w:rPr>
      </w:pPr>
    </w:p>
    <w:p>
      <w:pPr>
        <w:ind w:left="1460" w:hanging="487"/>
        <w:spacing w:after="0"/>
        <w:tabs>
          <w:tab w:leader="none" w:pos="14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Investments consisting of the endorsement of negotiable instruments for deposit or collection or similar transactions in the ordinary course of Borrower’s business;</w:t>
      </w:r>
    </w:p>
    <w:p>
      <w:pPr>
        <w:spacing w:after="0" w:line="174" w:lineRule="exact"/>
        <w:rPr>
          <w:rFonts w:ascii="Arial" w:cs="Arial" w:eastAsia="Arial" w:hAnsi="Arial"/>
          <w:sz w:val="13"/>
          <w:szCs w:val="13"/>
          <w:color w:val="auto"/>
        </w:rPr>
      </w:pPr>
    </w:p>
    <w:p>
      <w:pPr>
        <w:ind w:firstLine="973"/>
        <w:spacing w:after="0" w:line="296" w:lineRule="auto"/>
        <w:tabs>
          <w:tab w:leader="none" w:pos="1453" w:val="left"/>
        </w:tabs>
        <w:numPr>
          <w:ilvl w:val="0"/>
          <w:numId w:val="92"/>
        </w:numPr>
        <w:rPr>
          <w:rFonts w:ascii="Arial" w:cs="Arial" w:eastAsia="Arial" w:hAnsi="Arial"/>
          <w:sz w:val="13"/>
          <w:szCs w:val="13"/>
          <w:color w:val="auto"/>
        </w:rPr>
      </w:pPr>
      <w:r>
        <w:rPr>
          <w:rFonts w:ascii="Arial" w:cs="Arial" w:eastAsia="Arial" w:hAnsi="Arial"/>
          <w:sz w:val="13"/>
          <w:szCs w:val="13"/>
          <w:color w:val="auto"/>
        </w:rPr>
        <w:t>Investments consisting of deposit and securities accounts (but only to the extent that Borrower or its Subsidiaries is permitted to maintain such accounts pursuant to Section 5.9 of this Agreement) in which Bank has a first priority perfected security interest (only if and to the extent required pursuant to Section 5.9 of this Agreement);</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Investments accepted in connection with Transfers permitted by Section 6.1;</w:t>
      </w:r>
    </w:p>
    <w:p>
      <w:pPr>
        <w:spacing w:after="0" w:line="174" w:lineRule="exact"/>
        <w:rPr>
          <w:rFonts w:ascii="Arial" w:cs="Arial" w:eastAsia="Arial" w:hAnsi="Arial"/>
          <w:sz w:val="13"/>
          <w:szCs w:val="13"/>
          <w:color w:val="auto"/>
        </w:rPr>
      </w:pPr>
    </w:p>
    <w:p>
      <w:pPr>
        <w:ind w:firstLine="973"/>
        <w:spacing w:after="0" w:line="296" w:lineRule="auto"/>
        <w:tabs>
          <w:tab w:leader="none" w:pos="1451" w:val="left"/>
        </w:tabs>
        <w:numPr>
          <w:ilvl w:val="0"/>
          <w:numId w:val="92"/>
        </w:numPr>
        <w:rPr>
          <w:rFonts w:ascii="Arial" w:cs="Arial" w:eastAsia="Arial" w:hAnsi="Arial"/>
          <w:sz w:val="13"/>
          <w:szCs w:val="13"/>
          <w:color w:val="auto"/>
        </w:rPr>
      </w:pPr>
      <w:r>
        <w:rPr>
          <w:rFonts w:ascii="Arial" w:cs="Arial" w:eastAsia="Arial" w:hAnsi="Arial"/>
          <w:sz w:val="13"/>
          <w:szCs w:val="13"/>
          <w:color w:val="auto"/>
        </w:rPr>
        <w:t>Investments consisting of the creation of a Subsidiary for the purpose of consummating a merger transactions and Permitted Acquisitions permitted by Section 6.3 of this Agreement, which is otherwise a Permitted Investment;</w:t>
      </w:r>
    </w:p>
    <w:p>
      <w:pPr>
        <w:spacing w:after="0" w:line="117" w:lineRule="exact"/>
        <w:rPr>
          <w:rFonts w:ascii="Arial" w:cs="Arial" w:eastAsia="Arial" w:hAnsi="Arial"/>
          <w:sz w:val="13"/>
          <w:szCs w:val="13"/>
          <w:color w:val="auto"/>
        </w:rPr>
      </w:pPr>
    </w:p>
    <w:p>
      <w:pPr>
        <w:jc w:val="both"/>
        <w:ind w:firstLine="973"/>
        <w:spacing w:after="0" w:line="311" w:lineRule="auto"/>
        <w:tabs>
          <w:tab w:leader="none" w:pos="1453" w:val="left"/>
        </w:tabs>
        <w:numPr>
          <w:ilvl w:val="0"/>
          <w:numId w:val="92"/>
        </w:numPr>
        <w:rPr>
          <w:rFonts w:ascii="Arial" w:cs="Arial" w:eastAsia="Arial" w:hAnsi="Arial"/>
          <w:sz w:val="12"/>
          <w:szCs w:val="12"/>
          <w:color w:val="auto"/>
        </w:rPr>
      </w:pPr>
      <w:r>
        <w:rPr>
          <w:rFonts w:ascii="Arial" w:cs="Arial" w:eastAsia="Arial" w:hAnsi="Arial"/>
          <w:sz w:val="12"/>
          <w:szCs w:val="12"/>
          <w:color w:val="auto"/>
        </w:rPr>
        <w:t>Investments by Borrower in Subsidiaries that are not borrowers hereunder (or Guarantors), not to exceed (i) (x) Seven Million Five Hundred Thousand Dollars ($7,500,000) in the aggregate in any fiscal year; and (y) Three Million Dollars ($3,000,000) in any fiscal quarter, plus (ii) the ongoing day-to-day operations of such Subsidiaries in the ordinary course of business, so long as such (part (ii)) Investments are (A) made on a cost-plus basis, or (B) otherwise in accordance with transfer pricing arrangements, or (C) are otherwise approved in advance in writing by Bank;</w:t>
      </w:r>
    </w:p>
    <w:p>
      <w:pPr>
        <w:spacing w:after="0" w:line="111" w:lineRule="exact"/>
        <w:rPr>
          <w:rFonts w:ascii="Arial" w:cs="Arial" w:eastAsia="Arial" w:hAnsi="Arial"/>
          <w:sz w:val="12"/>
          <w:szCs w:val="12"/>
          <w:color w:val="auto"/>
        </w:rPr>
      </w:pPr>
    </w:p>
    <w:p>
      <w:pPr>
        <w:ind w:left="1460" w:hanging="487"/>
        <w:spacing w:after="0"/>
        <w:tabs>
          <w:tab w:leader="none" w:pos="14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Investments by Borrower in any other co-borrower under this Agreement or Guarantor;</w:t>
      </w:r>
    </w:p>
    <w:p>
      <w:pPr>
        <w:spacing w:after="0" w:line="174"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92"/>
        </w:numPr>
        <w:rPr>
          <w:rFonts w:ascii="Arial" w:cs="Arial" w:eastAsia="Arial" w:hAnsi="Arial"/>
          <w:sz w:val="13"/>
          <w:szCs w:val="13"/>
          <w:color w:val="auto"/>
        </w:rPr>
      </w:pPr>
      <w:r>
        <w:rPr>
          <w:rFonts w:ascii="Arial" w:cs="Arial" w:eastAsia="Arial" w:hAnsi="Arial"/>
          <w:sz w:val="13"/>
          <w:szCs w:val="13"/>
          <w:color w:val="auto"/>
        </w:rPr>
        <w:t>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p>
    <w:p>
      <w:pPr>
        <w:spacing w:after="0" w:line="128" w:lineRule="exact"/>
        <w:rPr>
          <w:rFonts w:ascii="Arial" w:cs="Arial" w:eastAsia="Arial" w:hAnsi="Arial"/>
          <w:sz w:val="13"/>
          <w:szCs w:val="13"/>
          <w:color w:val="auto"/>
        </w:rPr>
      </w:pPr>
    </w:p>
    <w:p>
      <w:pPr>
        <w:ind w:firstLine="973"/>
        <w:spacing w:after="0" w:line="296" w:lineRule="auto"/>
        <w:tabs>
          <w:tab w:leader="none" w:pos="1453" w:val="left"/>
        </w:tabs>
        <w:numPr>
          <w:ilvl w:val="0"/>
          <w:numId w:val="92"/>
        </w:numPr>
        <w:rPr>
          <w:rFonts w:ascii="Arial" w:cs="Arial" w:eastAsia="Arial" w:hAnsi="Arial"/>
          <w:sz w:val="13"/>
          <w:szCs w:val="13"/>
          <w:color w:val="auto"/>
        </w:rPr>
      </w:pPr>
      <w:r>
        <w:rPr>
          <w:rFonts w:ascii="Arial" w:cs="Arial" w:eastAsia="Arial" w:hAnsi="Arial"/>
          <w:sz w:val="13"/>
          <w:szCs w:val="13"/>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17" w:lineRule="exact"/>
        <w:rPr>
          <w:rFonts w:ascii="Arial" w:cs="Arial" w:eastAsia="Arial" w:hAnsi="Arial"/>
          <w:sz w:val="13"/>
          <w:szCs w:val="13"/>
          <w:color w:val="auto"/>
        </w:rPr>
      </w:pPr>
    </w:p>
    <w:p>
      <w:pPr>
        <w:ind w:firstLine="973"/>
        <w:spacing w:after="0" w:line="296" w:lineRule="auto"/>
        <w:tabs>
          <w:tab w:leader="none" w:pos="1453" w:val="left"/>
        </w:tabs>
        <w:numPr>
          <w:ilvl w:val="0"/>
          <w:numId w:val="92"/>
        </w:numPr>
        <w:rPr>
          <w:rFonts w:ascii="Arial" w:cs="Arial" w:eastAsia="Arial" w:hAnsi="Arial"/>
          <w:sz w:val="13"/>
          <w:szCs w:val="13"/>
          <w:color w:val="auto"/>
        </w:rPr>
      </w:pPr>
      <w:r>
        <w:rPr>
          <w:rFonts w:ascii="Arial" w:cs="Arial" w:eastAsia="Arial" w:hAnsi="Arial"/>
          <w:sz w:val="13"/>
          <w:szCs w:val="13"/>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17" w:lineRule="exact"/>
        <w:rPr>
          <w:rFonts w:ascii="Arial" w:cs="Arial" w:eastAsia="Arial" w:hAnsi="Arial"/>
          <w:sz w:val="13"/>
          <w:szCs w:val="13"/>
          <w:color w:val="auto"/>
        </w:rPr>
      </w:pPr>
    </w:p>
    <w:p>
      <w:pPr>
        <w:ind w:firstLine="973"/>
        <w:spacing w:after="0" w:line="296" w:lineRule="auto"/>
        <w:tabs>
          <w:tab w:leader="none" w:pos="1453" w:val="left"/>
        </w:tabs>
        <w:numPr>
          <w:ilvl w:val="0"/>
          <w:numId w:val="92"/>
        </w:numPr>
        <w:rPr>
          <w:rFonts w:ascii="Arial" w:cs="Arial" w:eastAsia="Arial" w:hAnsi="Arial"/>
          <w:sz w:val="13"/>
          <w:szCs w:val="13"/>
          <w:color w:val="auto"/>
        </w:rPr>
      </w:pPr>
      <w:r>
        <w:rPr>
          <w:rFonts w:ascii="Arial" w:cs="Arial" w:eastAsia="Arial" w:hAnsi="Arial"/>
          <w:sz w:val="13"/>
          <w:szCs w:val="13"/>
          <w:color w:val="auto"/>
        </w:rPr>
        <w:t xml:space="preserve">Cash investments of up to One Million Dollars ($1,000,000) per fiscal year,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non-cash Investments in joint ventures or strategic alliances in the ordinary course of Borrower’s business consisting of the non-exclusive licensing of technology, the development of technology or the providing of technical support;</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any Permitted Call Spread Agreements;</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Permitted Acquisitions;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280"/>
          </w:cols>
          <w:pgMar w:left="300" w:top="1100" w:right="319" w:bottom="1440" w:gutter="0" w:footer="0" w:header="0"/>
        </w:sectPr>
      </w:pPr>
    </w:p>
    <w:bookmarkStart w:id="110" w:name="page111"/>
    <w:bookmarkEnd w:id="110"/>
    <w:p>
      <w:pPr>
        <w:ind w:firstLine="973"/>
        <w:spacing w:after="0" w:line="296" w:lineRule="auto"/>
        <w:tabs>
          <w:tab w:leader="none" w:pos="1453"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Investments not to exceed Five Million Dollars ($5,000,000) per fiscal year to fund the expansion of Borrower and/or its Subsidiaries in (i) Japan, and/or (ii) any other jurisdiction as may be agreed by Bank (in its good faith business discretion) and Borrower; and</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other Investments not otherwise enumerated in this defined term “Permitted Investments” not exceeding Five Hundred Thousand Dollars ($500,000) in the aggregate during any</w:t>
      </w:r>
    </w:p>
    <w:p>
      <w:pPr>
        <w:spacing w:after="0" w:line="3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fiscal year.</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Liens</w:t>
      </w:r>
      <w:r>
        <w:rPr>
          <w:rFonts w:ascii="Arial" w:cs="Arial" w:eastAsia="Arial" w:hAnsi="Arial"/>
          <w:sz w:val="13"/>
          <w:szCs w:val="13"/>
          <w:color w:val="auto"/>
        </w:rPr>
        <w:t>” are:</w:t>
      </w:r>
    </w:p>
    <w:p>
      <w:pPr>
        <w:spacing w:after="0" w:line="176" w:lineRule="exact"/>
        <w:rPr>
          <w:sz w:val="20"/>
          <w:szCs w:val="20"/>
          <w:color w:val="auto"/>
        </w:rPr>
      </w:pPr>
    </w:p>
    <w:p>
      <w:pPr>
        <w:ind w:left="1460" w:hanging="487"/>
        <w:spacing w:after="0"/>
        <w:tabs>
          <w:tab w:leader="none" w:pos="14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Liens existing on the Effective Date which are shown on the Perfection Certificate or arising under this Agreement or the other Loan Documents;</w:t>
      </w:r>
    </w:p>
    <w:p>
      <w:pPr>
        <w:spacing w:after="0" w:line="174" w:lineRule="exact"/>
        <w:rPr>
          <w:rFonts w:ascii="Arial" w:cs="Arial" w:eastAsia="Arial" w:hAnsi="Arial"/>
          <w:sz w:val="13"/>
          <w:szCs w:val="13"/>
          <w:color w:val="auto"/>
        </w:rPr>
      </w:pPr>
    </w:p>
    <w:p>
      <w:pPr>
        <w:ind w:firstLine="973"/>
        <w:spacing w:after="0" w:line="296" w:lineRule="auto"/>
        <w:tabs>
          <w:tab w:leader="none" w:pos="1453" w:val="left"/>
        </w:tabs>
        <w:numPr>
          <w:ilvl w:val="0"/>
          <w:numId w:val="94"/>
        </w:numPr>
        <w:rPr>
          <w:rFonts w:ascii="Arial" w:cs="Arial" w:eastAsia="Arial" w:hAnsi="Arial"/>
          <w:sz w:val="13"/>
          <w:szCs w:val="13"/>
          <w:color w:val="auto"/>
        </w:rPr>
      </w:pPr>
      <w:r>
        <w:rPr>
          <w:rFonts w:ascii="Arial" w:cs="Arial" w:eastAsia="Arial" w:hAnsi="Arial"/>
          <w:sz w:val="13"/>
          <w:szCs w:val="13"/>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spacing w:after="0" w:line="117" w:lineRule="exact"/>
        <w:rPr>
          <w:rFonts w:ascii="Arial" w:cs="Arial" w:eastAsia="Arial" w:hAnsi="Arial"/>
          <w:sz w:val="13"/>
          <w:szCs w:val="13"/>
          <w:color w:val="auto"/>
        </w:rPr>
      </w:pPr>
    </w:p>
    <w:p>
      <w:pPr>
        <w:jc w:val="both"/>
        <w:ind w:firstLine="973"/>
        <w:spacing w:after="0" w:line="278" w:lineRule="auto"/>
        <w:tabs>
          <w:tab w:leader="none" w:pos="1455" w:val="left"/>
        </w:tabs>
        <w:numPr>
          <w:ilvl w:val="0"/>
          <w:numId w:val="94"/>
        </w:numPr>
        <w:rPr>
          <w:rFonts w:ascii="Arial" w:cs="Arial" w:eastAsia="Arial" w:hAnsi="Arial"/>
          <w:sz w:val="13"/>
          <w:szCs w:val="13"/>
          <w:color w:val="auto"/>
        </w:rPr>
      </w:pPr>
      <w:r>
        <w:rPr>
          <w:rFonts w:ascii="Arial" w:cs="Arial" w:eastAsia="Arial" w:hAnsi="Arial"/>
          <w:sz w:val="13"/>
          <w:szCs w:val="13"/>
          <w:color w:val="auto"/>
        </w:rPr>
        <w:t>purchase money Liens and equipment liens (i) on Equipment or software acquired or held by Borrower incurred for financing the acquisition of the Equipment or software securing no more than One Million Dollars ($1,000,000) in the aggregate amount outstanding, or (ii) existing on Equipment or software when acquired, if the Lien is confined to the property and improvements and the proceeds of the Equipment or software;</w:t>
      </w:r>
    </w:p>
    <w:p>
      <w:pPr>
        <w:spacing w:after="0" w:line="128"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94"/>
        </w:numPr>
        <w:rPr>
          <w:rFonts w:ascii="Arial" w:cs="Arial" w:eastAsia="Arial" w:hAnsi="Arial"/>
          <w:sz w:val="13"/>
          <w:szCs w:val="13"/>
          <w:color w:val="auto"/>
        </w:rPr>
      </w:pPr>
      <w:r>
        <w:rPr>
          <w:rFonts w:ascii="Arial" w:cs="Arial" w:eastAsia="Arial" w:hAnsi="Arial"/>
          <w:sz w:val="13"/>
          <w:szCs w:val="13"/>
          <w:color w:val="auto"/>
        </w:rPr>
        <w:t>Liens of carriers, warehousemen, suppliers, or other Persons that are possessory in nature arising in the ordinary course of business so long as such Liens attach only to Inventory, securing liabilities in the aggregate amount not to exceed Two Hundred Fifty Thousand Dollars ($250,000),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28" w:lineRule="exact"/>
        <w:rPr>
          <w:rFonts w:ascii="Arial" w:cs="Arial" w:eastAsia="Arial" w:hAnsi="Arial"/>
          <w:sz w:val="13"/>
          <w:szCs w:val="13"/>
          <w:color w:val="auto"/>
        </w:rPr>
      </w:pPr>
    </w:p>
    <w:p>
      <w:pPr>
        <w:ind w:firstLine="973"/>
        <w:spacing w:after="0" w:line="296" w:lineRule="auto"/>
        <w:tabs>
          <w:tab w:leader="none" w:pos="1455" w:val="left"/>
        </w:tabs>
        <w:numPr>
          <w:ilvl w:val="0"/>
          <w:numId w:val="94"/>
        </w:numPr>
        <w:rPr>
          <w:rFonts w:ascii="Arial" w:cs="Arial" w:eastAsia="Arial" w:hAnsi="Arial"/>
          <w:sz w:val="13"/>
          <w:szCs w:val="13"/>
          <w:color w:val="auto"/>
        </w:rPr>
      </w:pPr>
      <w:r>
        <w:rPr>
          <w:rFonts w:ascii="Arial" w:cs="Arial" w:eastAsia="Arial" w:hAnsi="Arial"/>
          <w:sz w:val="13"/>
          <w:szCs w:val="13"/>
          <w:color w:val="auto"/>
        </w:rPr>
        <w:t>Liens to secure payment of workers’ compensation, employment insurance, old-age pensions, social security and other like obligations incurred in the ordinary course of business (other than Liens imposed by ERISA);</w:t>
      </w:r>
    </w:p>
    <w:p>
      <w:pPr>
        <w:spacing w:after="0" w:line="117" w:lineRule="exact"/>
        <w:rPr>
          <w:rFonts w:ascii="Arial" w:cs="Arial" w:eastAsia="Arial" w:hAnsi="Arial"/>
          <w:sz w:val="13"/>
          <w:szCs w:val="13"/>
          <w:color w:val="auto"/>
        </w:rPr>
      </w:pPr>
    </w:p>
    <w:p>
      <w:pPr>
        <w:ind w:firstLine="973"/>
        <w:spacing w:after="0" w:line="296" w:lineRule="auto"/>
        <w:tabs>
          <w:tab w:leader="none" w:pos="1451" w:val="left"/>
        </w:tabs>
        <w:numPr>
          <w:ilvl w:val="0"/>
          <w:numId w:val="94"/>
        </w:numPr>
        <w:rPr>
          <w:rFonts w:ascii="Arial" w:cs="Arial" w:eastAsia="Arial" w:hAnsi="Arial"/>
          <w:sz w:val="13"/>
          <w:szCs w:val="13"/>
          <w:color w:val="auto"/>
        </w:rPr>
      </w:pPr>
      <w:r>
        <w:rPr>
          <w:rFonts w:ascii="Arial" w:cs="Arial" w:eastAsia="Arial" w:hAnsi="Arial"/>
          <w:sz w:val="13"/>
          <w:szCs w:val="13"/>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17"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94"/>
        </w:numPr>
        <w:rPr>
          <w:rFonts w:ascii="Arial" w:cs="Arial" w:eastAsia="Arial" w:hAnsi="Arial"/>
          <w:sz w:val="13"/>
          <w:szCs w:val="13"/>
          <w:color w:val="auto"/>
        </w:rPr>
      </w:pPr>
      <w:r>
        <w:rPr>
          <w:rFonts w:ascii="Arial" w:cs="Arial" w:eastAsia="Arial" w:hAnsi="Arial"/>
          <w:sz w:val="13"/>
          <w:szCs w:val="13"/>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128"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94"/>
        </w:numPr>
        <w:rPr>
          <w:rFonts w:ascii="Arial" w:cs="Arial" w:eastAsia="Arial" w:hAnsi="Arial"/>
          <w:sz w:val="13"/>
          <w:szCs w:val="13"/>
          <w:color w:val="auto"/>
        </w:rPr>
      </w:pPr>
      <w:r>
        <w:rPr>
          <w:rFonts w:ascii="Arial" w:cs="Arial" w:eastAsia="Arial" w:hAnsi="Arial"/>
          <w:sz w:val="13"/>
          <w:szCs w:val="13"/>
          <w:color w:val="auto"/>
        </w:rPr>
        <w:t>(i) non-exclusive licenses of Intellectual Property granted to third parties in the ordinary course of business, (ii) licenses of Intellectual Property that could not reasonably be expected to result in a legal transfer of title of the licensed property that may be exclusive in respects of territory (as to discreet geographical areas inside and outside of the United States), and (iii) licenses existing on the Effective Date and disclosed on the Perfection Certificate;</w:t>
      </w:r>
    </w:p>
    <w:p>
      <w:pPr>
        <w:spacing w:after="0" w:line="128" w:lineRule="exact"/>
        <w:rPr>
          <w:rFonts w:ascii="Arial" w:cs="Arial" w:eastAsia="Arial" w:hAnsi="Arial"/>
          <w:sz w:val="13"/>
          <w:szCs w:val="13"/>
          <w:color w:val="auto"/>
        </w:rPr>
      </w:pPr>
    </w:p>
    <w:p>
      <w:pPr>
        <w:jc w:val="both"/>
        <w:ind w:firstLine="973"/>
        <w:spacing w:after="0" w:line="278" w:lineRule="auto"/>
        <w:tabs>
          <w:tab w:leader="none" w:pos="1453" w:val="left"/>
        </w:tabs>
        <w:numPr>
          <w:ilvl w:val="0"/>
          <w:numId w:val="94"/>
        </w:numPr>
        <w:rPr>
          <w:rFonts w:ascii="Arial" w:cs="Arial" w:eastAsia="Arial" w:hAnsi="Arial"/>
          <w:sz w:val="13"/>
          <w:szCs w:val="13"/>
          <w:color w:val="auto"/>
        </w:rPr>
      </w:pPr>
      <w:r>
        <w:rPr>
          <w:rFonts w:ascii="Arial" w:cs="Arial" w:eastAsia="Arial" w:hAnsi="Arial"/>
          <w:sz w:val="13"/>
          <w:szCs w:val="13"/>
          <w:color w:val="auto"/>
        </w:rPr>
        <w:t>customary Liens of any bank in connection with statutory, common law and contractual rights of setoff and recoupment with respect to any deposit account or securities account of Borrower, provided that (i) Bank has a first priority perfected security interest in such account (if perfection is required pursuant to Section 5.9 of this Agreement), and (ii) such account is permitted to be maintained pursuant to Section 5.9 of this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280"/>
          </w:cols>
          <w:pgMar w:left="300" w:top="1100" w:right="319" w:bottom="1440" w:gutter="0" w:footer="0" w:header="0"/>
        </w:sectPr>
      </w:pPr>
    </w:p>
    <w:bookmarkStart w:id="111" w:name="page112"/>
    <w:bookmarkEnd w:id="111"/>
    <w:p>
      <w:pPr>
        <w:ind w:left="1460" w:hanging="487"/>
        <w:spacing w:after="0"/>
        <w:tabs>
          <w:tab w:leader="none" w:pos="14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Liens arising from attachments or judgments, orders, or decrees in circumstances not constituting an Event of Default under Sections and 7.7;</w:t>
      </w:r>
    </w:p>
    <w:p>
      <w:pPr>
        <w:spacing w:after="0" w:line="174" w:lineRule="exact"/>
        <w:rPr>
          <w:rFonts w:ascii="Arial" w:cs="Arial" w:eastAsia="Arial" w:hAnsi="Arial"/>
          <w:sz w:val="13"/>
          <w:szCs w:val="13"/>
          <w:color w:val="auto"/>
        </w:rPr>
      </w:pPr>
    </w:p>
    <w:p>
      <w:pPr>
        <w:ind w:left="1460" w:hanging="487"/>
        <w:spacing w:after="0"/>
        <w:tabs>
          <w:tab w:leader="none" w:pos="14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deposits under real property leases that are made in the ordinary course of business not to exceed Seven Hundred Fifty Thousand Dollars ($750,000) at any time;</w:t>
      </w:r>
    </w:p>
    <w:p>
      <w:pPr>
        <w:spacing w:after="0" w:line="174" w:lineRule="exact"/>
        <w:rPr>
          <w:rFonts w:ascii="Arial" w:cs="Arial" w:eastAsia="Arial" w:hAnsi="Arial"/>
          <w:sz w:val="13"/>
          <w:szCs w:val="13"/>
          <w:color w:val="auto"/>
        </w:rPr>
      </w:pPr>
    </w:p>
    <w:p>
      <w:pPr>
        <w:ind w:firstLine="973"/>
        <w:spacing w:after="0" w:line="296" w:lineRule="auto"/>
        <w:tabs>
          <w:tab w:leader="none" w:pos="1453" w:val="left"/>
        </w:tabs>
        <w:numPr>
          <w:ilvl w:val="0"/>
          <w:numId w:val="95"/>
        </w:numPr>
        <w:rPr>
          <w:rFonts w:ascii="Arial" w:cs="Arial" w:eastAsia="Arial" w:hAnsi="Arial"/>
          <w:sz w:val="13"/>
          <w:szCs w:val="13"/>
          <w:color w:val="auto"/>
        </w:rPr>
      </w:pPr>
      <w:r>
        <w:rPr>
          <w:rFonts w:ascii="Arial" w:cs="Arial" w:eastAsia="Arial" w:hAnsi="Arial"/>
          <w:sz w:val="13"/>
          <w:szCs w:val="13"/>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other Liens (not otherwise enumerated in this defined term) not exceeding One Hundred Thousand Dollars ($100,000) in the aggregate outstanding at any time;</w:t>
      </w:r>
    </w:p>
    <w:p>
      <w:pPr>
        <w:spacing w:after="0" w:line="174" w:lineRule="exact"/>
        <w:rPr>
          <w:rFonts w:ascii="Arial" w:cs="Arial" w:eastAsia="Arial" w:hAnsi="Arial"/>
          <w:sz w:val="13"/>
          <w:szCs w:val="13"/>
          <w:color w:val="auto"/>
        </w:rPr>
      </w:pPr>
    </w:p>
    <w:p>
      <w:pPr>
        <w:ind w:firstLine="973"/>
        <w:spacing w:after="0" w:line="296" w:lineRule="auto"/>
        <w:tabs>
          <w:tab w:leader="none" w:pos="1453" w:val="left"/>
        </w:tabs>
        <w:numPr>
          <w:ilvl w:val="0"/>
          <w:numId w:val="95"/>
        </w:numPr>
        <w:rPr>
          <w:rFonts w:ascii="Arial" w:cs="Arial" w:eastAsia="Arial" w:hAnsi="Arial"/>
          <w:sz w:val="13"/>
          <w:szCs w:val="13"/>
          <w:color w:val="auto"/>
        </w:rPr>
      </w:pPr>
      <w:r>
        <w:rPr>
          <w:rFonts w:ascii="Arial" w:cs="Arial" w:eastAsia="Arial" w:hAnsi="Arial"/>
          <w:sz w:val="13"/>
          <w:szCs w:val="13"/>
          <w:color w:val="auto"/>
        </w:rPr>
        <w:t>Liens in respect of performance bonds, bid bonds, appeal bonds, surety bonds, completion guarantees and similar obligations arising in the ordinary course of business not to exceed Seven Hundred Fifty Thousand Dollars ($750,000) in the aggregate outstanding at any time; and</w:t>
      </w:r>
    </w:p>
    <w:p>
      <w:pPr>
        <w:spacing w:after="0" w:line="117" w:lineRule="exact"/>
        <w:rPr>
          <w:rFonts w:ascii="Arial" w:cs="Arial" w:eastAsia="Arial" w:hAnsi="Arial"/>
          <w:sz w:val="13"/>
          <w:szCs w:val="13"/>
          <w:color w:val="auto"/>
        </w:rPr>
      </w:pPr>
    </w:p>
    <w:p>
      <w:pPr>
        <w:ind w:left="1460" w:hanging="487"/>
        <w:spacing w:after="0"/>
        <w:tabs>
          <w:tab w:leader="none" w:pos="14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Liens on cash and Cash Equivalents securing obligations under Permitted Hedging Agreements.</w:t>
      </w:r>
    </w:p>
    <w:p>
      <w:pPr>
        <w:spacing w:after="0" w:line="172"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1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Prepayment Fee</w:t>
      </w:r>
      <w:r>
        <w:rPr>
          <w:rFonts w:ascii="Arial" w:cs="Arial" w:eastAsia="Arial" w:hAnsi="Arial"/>
          <w:sz w:val="13"/>
          <w:szCs w:val="13"/>
          <w:color w:val="auto"/>
        </w:rPr>
        <w:t>” is a fee due upon prepayment (whether voluntary or otherwise) of the Term Loan Advance in full equal to (i) one percent (1.00%) of the aggregate original principal amount of the Term Loan Advance made by Bank to Borrower hereunder, if such prepayment occurs prior to the second (2nd) anniversary of the Effective Date, (ii) zero percent (0.00%) of the aggregate original principal amount of the Term Loan Advance made by Bank to Borrower hereunder if such prepayment occurs on or at any time after the second (2nd) anniversary of the Effective Date but prior to the Term Loan Maturity Date;</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Prime Rate</w:t>
      </w:r>
      <w:r>
        <w:rPr>
          <w:rFonts w:ascii="Arial" w:cs="Arial" w:eastAsia="Arial" w:hAnsi="Arial"/>
          <w:sz w:val="13"/>
          <w:szCs w:val="13"/>
          <w:color w:val="auto"/>
        </w:rPr>
        <w:t>” is set forth on Schedule I hereto.</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Prime Rate Margin</w:t>
      </w:r>
      <w:r>
        <w:rPr>
          <w:rFonts w:ascii="Arial" w:cs="Arial" w:eastAsia="Arial" w:hAnsi="Arial"/>
          <w:sz w:val="13"/>
          <w:szCs w:val="13"/>
          <w:color w:val="auto"/>
        </w:rPr>
        <w:t>” is set forth on Schedule I hereto.</w:t>
      </w:r>
    </w:p>
    <w:p>
      <w:pPr>
        <w:spacing w:after="0" w:line="17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Qualified Cash</w:t>
      </w:r>
      <w:r>
        <w:rPr>
          <w:rFonts w:ascii="Arial" w:cs="Arial" w:eastAsia="Arial" w:hAnsi="Arial"/>
          <w:sz w:val="13"/>
          <w:szCs w:val="13"/>
          <w:color w:val="auto"/>
        </w:rPr>
        <w:t>” means the amount of the Borrower and its Subsidiaries cash and Cash Equivalents held with Bank and/or Banks’ Affiliates and/or in accounts subject to a Control Agreement in favor of Bank;</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Quarterly Financial Statements</w:t>
      </w:r>
      <w:r>
        <w:rPr>
          <w:rFonts w:ascii="Arial" w:cs="Arial" w:eastAsia="Arial" w:hAnsi="Arial"/>
          <w:sz w:val="13"/>
          <w:szCs w:val="13"/>
          <w:color w:val="auto"/>
        </w:rPr>
        <w:t>” is defined in Section 5.3(a).</w:t>
      </w:r>
    </w:p>
    <w:p>
      <w:pPr>
        <w:spacing w:after="0" w:line="17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Redemption Conditions</w:t>
      </w:r>
      <w:r>
        <w:rPr>
          <w:rFonts w:ascii="Arial" w:cs="Arial" w:eastAsia="Arial" w:hAnsi="Arial"/>
          <w:sz w:val="12"/>
          <w:szCs w:val="12"/>
          <w:color w:val="auto"/>
        </w:rPr>
        <w:t>” means, with respect to any redemption by the Borrower of any Permitted Convertible Debt, satisfaction of each of the following events: (a) no Event of Default shall exist or result therefrom, (b) both immediately before and after such redemption, Borrower’s Qualified Cash shall be no less than the amount required to prepay the outstanding Obligations in full at the time of such redemption, including all outstanding principal of the Term Loans, the accrued and unpaid interest thereon, the Final Payment, and the Prepayment Fee (provided, however, for the avoidance of doubt no such prepayment is required at such time), and (c) both immediately before and after such redemption, Borrower’s Remaining Months Liquidity shall be no less than twelve (12).</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Registered Organization</w:t>
      </w:r>
      <w:r>
        <w:rPr>
          <w:rFonts w:ascii="Arial" w:cs="Arial" w:eastAsia="Arial" w:hAnsi="Arial"/>
          <w:sz w:val="13"/>
          <w:szCs w:val="13"/>
          <w:color w:val="auto"/>
        </w:rPr>
        <w:t>” is any “registered organization” as defined in the Code with such additions to such term as may hereafter be made.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80"/>
          </w:cols>
          <w:pgMar w:left="300" w:top="1100" w:right="319" w:bottom="1440" w:gutter="0" w:footer="0" w:header="0"/>
        </w:sectPr>
      </w:pPr>
    </w:p>
    <w:bookmarkStart w:id="112" w:name="page113"/>
    <w:bookmarkEnd w:id="112"/>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Remaining Months Liquidity</w:t>
      </w:r>
      <w:r>
        <w:rPr>
          <w:rFonts w:ascii="Arial" w:cs="Arial" w:eastAsia="Arial" w:hAnsi="Arial"/>
          <w:sz w:val="13"/>
          <w:szCs w:val="13"/>
          <w:color w:val="auto"/>
        </w:rPr>
        <w:t>” means Qualified Cash divided by EBITDA (measured on a trailing twelve (12) month basis).</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Representatives</w:t>
      </w:r>
      <w:r>
        <w:rPr>
          <w:rFonts w:ascii="Arial" w:cs="Arial" w:eastAsia="Arial" w:hAnsi="Arial"/>
          <w:sz w:val="13"/>
          <w:szCs w:val="13"/>
          <w:color w:val="auto"/>
        </w:rPr>
        <w:t>” is defined in Section 11.8.</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Responsible Officer</w:t>
      </w:r>
      <w:r>
        <w:rPr>
          <w:rFonts w:ascii="Arial" w:cs="Arial" w:eastAsia="Arial" w:hAnsi="Arial"/>
          <w:sz w:val="13"/>
          <w:szCs w:val="13"/>
          <w:color w:val="auto"/>
        </w:rPr>
        <w:t>” is any of the Chief Executive Officer, President, Chief Financial Officer, Chief Legal Officer, and Controller of Borrower.</w:t>
      </w:r>
    </w:p>
    <w:p>
      <w:pPr>
        <w:spacing w:after="0" w:line="174" w:lineRule="exact"/>
        <w:rPr>
          <w:sz w:val="20"/>
          <w:szCs w:val="20"/>
          <w:color w:val="auto"/>
        </w:rPr>
      </w:pPr>
    </w:p>
    <w:p>
      <w:pPr>
        <w:jc w:val="both"/>
        <w:ind w:firstLine="486"/>
        <w:spacing w:after="0" w:line="34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Restricted License</w:t>
      </w:r>
      <w:r>
        <w:rPr>
          <w:rFonts w:ascii="Arial" w:cs="Arial" w:eastAsia="Arial" w:hAnsi="Arial"/>
          <w:sz w:val="12"/>
          <w:szCs w:val="12"/>
          <w:color w:val="auto"/>
        </w:rPr>
        <w:t>”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material Collateral.</w:t>
      </w:r>
    </w:p>
    <w:p>
      <w:pPr>
        <w:spacing w:after="0" w:line="9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Sanctioned Person</w:t>
      </w:r>
      <w:r>
        <w:rPr>
          <w:rFonts w:ascii="Arial" w:cs="Arial" w:eastAsia="Arial" w:hAnsi="Arial"/>
          <w:sz w:val="13"/>
          <w:szCs w:val="13"/>
          <w:color w:val="auto"/>
        </w:rPr>
        <w:t>”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fifty percent (50.0%) or more owned or controlled by one (1) or more Persons described in clauses (a) and (b) hereof.</w:t>
      </w:r>
    </w:p>
    <w:p>
      <w:pPr>
        <w:spacing w:after="0" w:line="126"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Sanctions</w:t>
      </w:r>
      <w:r>
        <w:rPr>
          <w:rFonts w:ascii="Arial" w:cs="Arial" w:eastAsia="Arial" w:hAnsi="Arial"/>
          <w:sz w:val="13"/>
          <w:szCs w:val="13"/>
          <w:color w:val="auto"/>
        </w:rPr>
        <w:t>”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w:t>
      </w:r>
      <w:r>
        <w:rPr>
          <w:rFonts w:ascii="Arial" w:cs="Arial" w:eastAsia="Arial" w:hAnsi="Arial"/>
          <w:sz w:val="13"/>
          <w:szCs w:val="13"/>
          <w:color w:val="auto"/>
        </w:rPr>
        <w:t>” is the Securities and Exchange Commission, any successor thereto, and any analogous Governmental Authority.</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Securities Account</w:t>
      </w:r>
      <w:r>
        <w:rPr>
          <w:rFonts w:ascii="Arial" w:cs="Arial" w:eastAsia="Arial" w:hAnsi="Arial"/>
          <w:sz w:val="13"/>
          <w:szCs w:val="13"/>
          <w:color w:val="auto"/>
        </w:rPr>
        <w:t>” is any “securities account” as defined in the Code with such additions to such term as may hereafter be made.</w:t>
      </w:r>
    </w:p>
    <w:p>
      <w:pPr>
        <w:spacing w:after="0" w:line="17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Solar Capital</w:t>
      </w:r>
      <w:r>
        <w:rPr>
          <w:rFonts w:ascii="Arial" w:cs="Arial" w:eastAsia="Arial" w:hAnsi="Arial"/>
          <w:sz w:val="13"/>
          <w:szCs w:val="13"/>
          <w:color w:val="auto"/>
        </w:rPr>
        <w:t>” means Solar Capital Ltd., as collateral agent and as a lender, and the other lenders party to that certain Loan and Security Agreement by and among such parties and Borrower, dated as of May 29, 2020, as amended and/or restated).</w:t>
      </w:r>
    </w:p>
    <w:p>
      <w:pPr>
        <w:spacing w:after="0" w:line="11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Subordinated Debt</w:t>
      </w:r>
      <w:r>
        <w:rPr>
          <w:rFonts w:ascii="Arial" w:cs="Arial" w:eastAsia="Arial" w:hAnsi="Arial"/>
          <w:sz w:val="13"/>
          <w:szCs w:val="13"/>
          <w:color w:val="auto"/>
        </w:rPr>
        <w:t>”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 For the avoidance of doubt, Permitted Convertible Debt shall not constitute Subordinated Debt.</w:t>
      </w:r>
    </w:p>
    <w:p>
      <w:pPr>
        <w:spacing w:after="0" w:line="12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Subsidiary</w:t>
      </w:r>
      <w:r>
        <w:rPr>
          <w:rFonts w:ascii="Arial" w:cs="Arial" w:eastAsia="Arial" w:hAnsi="Arial"/>
          <w:sz w:val="12"/>
          <w:szCs w:val="12"/>
          <w:color w:val="auto"/>
        </w:rPr>
        <w:t>”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15"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Taxes</w:t>
      </w:r>
      <w:r>
        <w:rPr>
          <w:rFonts w:ascii="Arial" w:cs="Arial" w:eastAsia="Arial" w:hAnsi="Arial"/>
          <w:sz w:val="13"/>
          <w:szCs w:val="13"/>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280"/>
          </w:cols>
          <w:pgMar w:left="300" w:top="1098" w:right="319" w:bottom="1440" w:gutter="0" w:footer="0" w:header="0"/>
        </w:sectPr>
      </w:pPr>
    </w:p>
    <w:bookmarkStart w:id="113" w:name="page114"/>
    <w:bookmarkEnd w:id="113"/>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 Loan Advance</w:t>
      </w:r>
      <w:r>
        <w:rPr>
          <w:rFonts w:ascii="Arial" w:cs="Arial" w:eastAsia="Arial" w:hAnsi="Arial"/>
          <w:sz w:val="13"/>
          <w:szCs w:val="13"/>
          <w:color w:val="auto"/>
        </w:rPr>
        <w:t>” is defined in Section 1.1(a) of this Agreement.</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 Loan Amortization Date</w:t>
      </w:r>
      <w:r>
        <w:rPr>
          <w:rFonts w:ascii="Arial" w:cs="Arial" w:eastAsia="Arial" w:hAnsi="Arial"/>
          <w:sz w:val="13"/>
          <w:szCs w:val="13"/>
          <w:color w:val="auto"/>
        </w:rPr>
        <w:t>” is set forth on Schedule I hereto.</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 Loan Availability Amount</w:t>
      </w:r>
      <w:r>
        <w:rPr>
          <w:rFonts w:ascii="Arial" w:cs="Arial" w:eastAsia="Arial" w:hAnsi="Arial"/>
          <w:sz w:val="13"/>
          <w:szCs w:val="13"/>
          <w:color w:val="auto"/>
        </w:rPr>
        <w:t>” is set forth on Schedule I hereto.</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 Loan Maturity Date</w:t>
      </w:r>
      <w:r>
        <w:rPr>
          <w:rFonts w:ascii="Arial" w:cs="Arial" w:eastAsia="Arial" w:hAnsi="Arial"/>
          <w:sz w:val="13"/>
          <w:szCs w:val="13"/>
          <w:color w:val="auto"/>
        </w:rPr>
        <w:t>” is set forth on Schedule I hereto.</w:t>
      </w:r>
    </w:p>
    <w:p>
      <w:pPr>
        <w:spacing w:after="0" w:line="174" w:lineRule="exact"/>
        <w:rPr>
          <w:sz w:val="20"/>
          <w:szCs w:val="20"/>
          <w:color w:val="auto"/>
        </w:rPr>
      </w:pPr>
    </w:p>
    <w:p>
      <w:pPr>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Trademarks</w:t>
      </w:r>
      <w:r>
        <w:rPr>
          <w:rFonts w:ascii="Arial" w:cs="Arial" w:eastAsia="Arial" w:hAnsi="Arial"/>
          <w:sz w:val="13"/>
          <w:szCs w:val="13"/>
          <w:color w:val="auto"/>
        </w:rPr>
        <w:t>” 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Transfer</w:t>
      </w:r>
      <w:r>
        <w:rPr>
          <w:rFonts w:ascii="Arial" w:cs="Arial" w:eastAsia="Arial" w:hAnsi="Arial"/>
          <w:sz w:val="13"/>
          <w:szCs w:val="13"/>
          <w:color w:val="auto"/>
        </w:rPr>
        <w:t>” is defined in Section 6.1.</w:t>
      </w:r>
    </w:p>
    <w:p>
      <w:pPr>
        <w:spacing w:after="0" w:line="174" w:lineRule="exact"/>
        <w:rPr>
          <w:sz w:val="20"/>
          <w:szCs w:val="20"/>
          <w:color w:val="auto"/>
        </w:rPr>
      </w:pPr>
    </w:p>
    <w:p>
      <w:pPr>
        <w:ind w:firstLine="486"/>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USA Patriot Act</w:t>
      </w:r>
      <w:r>
        <w:rPr>
          <w:rFonts w:ascii="Arial" w:cs="Arial" w:eastAsia="Arial" w:hAnsi="Arial"/>
          <w:sz w:val="13"/>
          <w:szCs w:val="13"/>
          <w:color w:val="auto"/>
        </w:rPr>
        <w:t>” means the “Uniting and Strengthening America by Providing Appropriate Tools Required to Intercept and Obstruct Terrorism Act of 2001” (Public Law 107-56, signed into law on October 26, 2001), as amended from time to time.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280"/>
          </w:cols>
          <w:pgMar w:left="300" w:top="1098" w:right="319" w:bottom="1440" w:gutter="0" w:footer="0" w:header="0"/>
        </w:sectPr>
      </w:pPr>
    </w:p>
    <w:bookmarkStart w:id="114" w:name="page115"/>
    <w:bookmarkEnd w:id="114"/>
    <w:p>
      <w:pPr>
        <w:ind w:left="480"/>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hereto have caused this Agreement to be executed as of the Effective Date.</w:t>
      </w:r>
    </w:p>
    <w:p>
      <w:pPr>
        <w:spacing w:after="0" w:line="186"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BORROWER:</w:t>
      </w:r>
    </w:p>
    <w:p>
      <w:pPr>
        <w:spacing w:after="0" w:line="174"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SI-BONE, INC.</w:t>
      </w:r>
    </w:p>
    <w:p>
      <w:pPr>
        <w:spacing w:after="0" w:line="200" w:lineRule="exact"/>
        <w:rPr>
          <w:sz w:val="20"/>
          <w:szCs w:val="20"/>
          <w:color w:val="auto"/>
        </w:rPr>
      </w:pPr>
    </w:p>
    <w:p>
      <w:pPr>
        <w:spacing w:after="0" w:line="321"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By: /s/ Anshul Maheshwari</w:t>
      </w:r>
    </w:p>
    <w:p>
      <w:pPr>
        <w:spacing w:after="0" w:line="174"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3"/>
          <w:szCs w:val="13"/>
          <w:u w:val="single" w:color="auto"/>
          <w:color w:val="auto"/>
        </w:rPr>
        <w:t>Anshul Maheshwari</w:t>
      </w:r>
    </w:p>
    <w:p>
      <w:pPr>
        <w:spacing w:after="0" w:line="174"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BANK:</w:t>
      </w:r>
    </w:p>
    <w:p>
      <w:pPr>
        <w:spacing w:after="0" w:line="174"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SILICON VALLEY BANK</w:t>
      </w:r>
    </w:p>
    <w:p>
      <w:pPr>
        <w:spacing w:after="0" w:line="200" w:lineRule="exact"/>
        <w:rPr>
          <w:sz w:val="20"/>
          <w:szCs w:val="20"/>
          <w:color w:val="auto"/>
        </w:rPr>
      </w:pPr>
    </w:p>
    <w:p>
      <w:pPr>
        <w:spacing w:after="0" w:line="321"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By: /s/ Mark Davis</w:t>
      </w:r>
    </w:p>
    <w:p>
      <w:pPr>
        <w:spacing w:after="0" w:line="174"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3"/>
          <w:szCs w:val="13"/>
          <w:u w:val="single" w:color="auto"/>
          <w:color w:val="auto"/>
        </w:rPr>
        <w:t>Mark Davis</w:t>
      </w:r>
    </w:p>
    <w:p>
      <w:pPr>
        <w:spacing w:after="0" w:line="174"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3219"/>
        <w:spacing w:after="0"/>
        <w:rPr>
          <w:sz w:val="20"/>
          <w:szCs w:val="20"/>
          <w:color w:val="auto"/>
        </w:rPr>
      </w:pPr>
      <w:r>
        <w:rPr>
          <w:rFonts w:ascii="Arial" w:cs="Arial" w:eastAsia="Arial" w:hAnsi="Arial"/>
          <w:sz w:val="13"/>
          <w:szCs w:val="13"/>
          <w:color w:val="auto"/>
        </w:rPr>
        <w:t>Signature Page to Loan and Security Agreement</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color w:val="auto"/>
        </w:rPr>
        <w:t>295054968.4</w:t>
      </w:r>
    </w:p>
    <w:p>
      <w:pPr>
        <w:spacing w:after="0" w:line="235" w:lineRule="auto"/>
        <w:rPr>
          <w:sz w:val="20"/>
          <w:szCs w:val="20"/>
          <w:color w:val="auto"/>
        </w:rPr>
      </w:pPr>
      <w:r>
        <w:rPr>
          <w:rFonts w:ascii="Arial" w:cs="Arial" w:eastAsia="Arial" w:hAnsi="Arial"/>
          <w:sz w:val="12"/>
          <w:szCs w:val="12"/>
          <w:color w:val="auto"/>
        </w:rPr>
        <w:t>354271-000499" "" 295054968.4</w:t>
      </w:r>
    </w:p>
    <w:p>
      <w:pPr>
        <w:spacing w:after="0"/>
        <w:rPr>
          <w:sz w:val="20"/>
          <w:szCs w:val="20"/>
          <w:color w:val="auto"/>
        </w:rPr>
      </w:pPr>
      <w:r>
        <w:rPr>
          <w:rFonts w:ascii="Arial" w:cs="Arial" w:eastAsia="Arial" w:hAnsi="Arial"/>
          <w:sz w:val="12"/>
          <w:szCs w:val="12"/>
          <w:color w:val="auto"/>
        </w:rPr>
        <w:t>354271-000499</w:t>
      </w:r>
    </w:p>
    <w:p>
      <w:pPr>
        <w:sectPr>
          <w:pgSz w:w="11900" w:h="16838" w:orient="portrait"/>
          <w:cols w:equalWidth="0" w:num="1">
            <w:col w:w="10159"/>
          </w:cols>
          <w:pgMar w:left="300" w:top="1098" w:right="1440" w:bottom="1440" w:gutter="0" w:footer="0" w:header="0"/>
        </w:sectPr>
      </w:pPr>
    </w:p>
    <w:bookmarkStart w:id="115" w:name="page116"/>
    <w:bookmarkEnd w:id="115"/>
    <w:tbl>
      <w:tblPr>
        <w:tblLayout w:type="fixed"/>
        <w:tblInd w:w="1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SCHEDULE I</w:t>
            </w:r>
          </w:p>
        </w:tc>
        <w:tc>
          <w:tcPr>
            <w:tcW w:w="5140" w:type="dxa"/>
            <w:vAlign w:val="bottom"/>
            <w:gridSpan w:val="5"/>
          </w:tcPr>
          <w:p>
            <w:pPr>
              <w:spacing w:after="0"/>
              <w:rPr>
                <w:sz w:val="13"/>
                <w:szCs w:val="13"/>
                <w:color w:val="auto"/>
              </w:rPr>
            </w:pPr>
          </w:p>
        </w:tc>
      </w:tr>
      <w:tr>
        <w:trPr>
          <w:trHeight w:val="304"/>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80" w:type="dxa"/>
            <w:vAlign w:val="bottom"/>
            <w:gridSpan w:val="9"/>
          </w:tcPr>
          <w:p>
            <w:pPr>
              <w:jc w:val="center"/>
              <w:ind w:right="4520"/>
              <w:spacing w:after="0"/>
              <w:rPr>
                <w:sz w:val="20"/>
                <w:szCs w:val="20"/>
                <w:color w:val="auto"/>
              </w:rPr>
            </w:pPr>
            <w:r>
              <w:rPr>
                <w:rFonts w:ascii="Arial" w:cs="Arial" w:eastAsia="Arial" w:hAnsi="Arial"/>
                <w:sz w:val="13"/>
                <w:szCs w:val="13"/>
                <w:b w:val="1"/>
                <w:bCs w:val="1"/>
                <w:color w:val="auto"/>
              </w:rPr>
              <w:t>LSA PROVISIONS</w:t>
            </w:r>
          </w:p>
        </w:tc>
      </w:tr>
      <w:tr>
        <w:trPr>
          <w:trHeight w:val="537"/>
        </w:trPr>
        <w:tc>
          <w:tcPr>
            <w:tcW w:w="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gridSpan w:val="2"/>
          </w:tcPr>
          <w:p>
            <w:pPr>
              <w:spacing w:after="0"/>
              <w:rPr>
                <w:sz w:val="24"/>
                <w:szCs w:val="24"/>
                <w:color w:val="auto"/>
              </w:rPr>
            </w:pPr>
          </w:p>
        </w:tc>
        <w:tc>
          <w:tcPr>
            <w:tcW w:w="760" w:type="dxa"/>
            <w:vAlign w:val="bottom"/>
            <w:tcBorders>
              <w:top w:val="single" w:sz="8" w:color="auto"/>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132"/>
        </w:trPr>
        <w:tc>
          <w:tcPr>
            <w:tcW w:w="3780" w:type="dxa"/>
            <w:vAlign w:val="bottom"/>
            <w:tcBorders>
              <w:left w:val="single" w:sz="8" w:color="auto"/>
              <w:right w:val="single" w:sz="8" w:color="auto"/>
            </w:tcBorders>
            <w:gridSpan w:val="2"/>
          </w:tcPr>
          <w:p>
            <w:pPr>
              <w:ind w:left="20"/>
              <w:spacing w:after="0" w:line="132" w:lineRule="exact"/>
              <w:rPr>
                <w:sz w:val="20"/>
                <w:szCs w:val="20"/>
                <w:color w:val="auto"/>
              </w:rPr>
            </w:pPr>
            <w:r>
              <w:rPr>
                <w:rFonts w:ascii="Arial" w:cs="Arial" w:eastAsia="Arial" w:hAnsi="Arial"/>
                <w:sz w:val="13"/>
                <w:szCs w:val="13"/>
                <w:b w:val="1"/>
                <w:bCs w:val="1"/>
                <w:color w:val="auto"/>
              </w:rPr>
              <w:t>LSA Section</w:t>
            </w:r>
          </w:p>
        </w:tc>
        <w:tc>
          <w:tcPr>
            <w:tcW w:w="7420" w:type="dxa"/>
            <w:vAlign w:val="bottom"/>
            <w:tcBorders>
              <w:right w:val="single" w:sz="8" w:color="auto"/>
            </w:tcBorders>
            <w:gridSpan w:val="10"/>
          </w:tcPr>
          <w:p>
            <w:pPr>
              <w:spacing w:after="0" w:line="132" w:lineRule="exact"/>
              <w:rPr>
                <w:sz w:val="20"/>
                <w:szCs w:val="20"/>
                <w:color w:val="auto"/>
              </w:rPr>
            </w:pPr>
            <w:r>
              <w:rPr>
                <w:rFonts w:ascii="Arial" w:cs="Arial" w:eastAsia="Arial" w:hAnsi="Arial"/>
                <w:sz w:val="13"/>
                <w:szCs w:val="13"/>
                <w:b w:val="1"/>
                <w:bCs w:val="1"/>
                <w:color w:val="auto"/>
              </w:rPr>
              <w:t>LSA Provision</w:t>
            </w:r>
          </w:p>
        </w:tc>
      </w:tr>
      <w:tr>
        <w:trPr>
          <w:trHeight w:val="20"/>
        </w:trPr>
        <w:tc>
          <w:tcPr>
            <w:tcW w:w="74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122"/>
        </w:trPr>
        <w:tc>
          <w:tcPr>
            <w:tcW w:w="3780" w:type="dxa"/>
            <w:vAlign w:val="bottom"/>
            <w:tcBorders>
              <w:left w:val="single" w:sz="8" w:color="auto"/>
              <w:right w:val="single" w:sz="8" w:color="auto"/>
            </w:tcBorders>
            <w:gridSpan w:val="2"/>
          </w:tcPr>
          <w:p>
            <w:pPr>
              <w:ind w:left="60"/>
              <w:spacing w:after="0" w:line="123" w:lineRule="exact"/>
              <w:rPr>
                <w:sz w:val="20"/>
                <w:szCs w:val="20"/>
                <w:color w:val="auto"/>
              </w:rPr>
            </w:pPr>
            <w:r>
              <w:rPr>
                <w:rFonts w:ascii="Arial" w:cs="Arial" w:eastAsia="Arial" w:hAnsi="Arial"/>
                <w:sz w:val="13"/>
                <w:szCs w:val="13"/>
                <w:color w:val="auto"/>
              </w:rPr>
              <w:t>1.1(a) – Term Loan – Availability</w:t>
            </w:r>
          </w:p>
        </w:tc>
        <w:tc>
          <w:tcPr>
            <w:tcW w:w="7420" w:type="dxa"/>
            <w:vAlign w:val="bottom"/>
            <w:tcBorders>
              <w:right w:val="single" w:sz="8" w:color="auto"/>
            </w:tcBorders>
            <w:gridSpan w:val="10"/>
          </w:tcPr>
          <w:p>
            <w:pPr>
              <w:spacing w:after="0" w:line="123" w:lineRule="exact"/>
              <w:rPr>
                <w:sz w:val="20"/>
                <w:szCs w:val="20"/>
                <w:color w:val="auto"/>
              </w:rPr>
            </w:pPr>
            <w:r>
              <w:rPr>
                <w:rFonts w:ascii="Arial" w:cs="Arial" w:eastAsia="Arial" w:hAnsi="Arial"/>
                <w:sz w:val="13"/>
                <w:szCs w:val="13"/>
                <w:color w:val="auto"/>
                <w:w w:val="95"/>
              </w:rPr>
              <w:t>The Term Loan Advance must be in an amount equal to the Term Loan Availability Amount. After repayment, the Term Loan Advance</w:t>
            </w:r>
          </w:p>
        </w:tc>
      </w:tr>
      <w:tr>
        <w:trPr>
          <w:trHeight w:val="172"/>
        </w:trPr>
        <w:tc>
          <w:tcPr>
            <w:tcW w:w="740" w:type="dxa"/>
            <w:vAlign w:val="bottom"/>
            <w:tcBorders>
              <w:lef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rPr>
              <w:t>(or any portion thereof) may not be reborrowed.</w:t>
            </w:r>
          </w:p>
        </w:tc>
      </w:tr>
      <w:tr>
        <w:trPr>
          <w:trHeight w:val="50"/>
        </w:trPr>
        <w:tc>
          <w:tcPr>
            <w:tcW w:w="740" w:type="dxa"/>
            <w:vAlign w:val="bottom"/>
            <w:tcBorders>
              <w:left w:val="single" w:sz="8" w:color="auto"/>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r>
      <w:tr>
        <w:trPr>
          <w:trHeight w:val="162"/>
        </w:trPr>
        <w:tc>
          <w:tcPr>
            <w:tcW w:w="37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1.1(b) – Term Loan – Repayment</w:t>
            </w: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w w:val="96"/>
              </w:rPr>
              <w:t>Commencing on the Term Loan Amortization Date, and continuing on each Payment Date thereafter until the Term Loan Advance is</w:t>
            </w:r>
          </w:p>
        </w:tc>
      </w:tr>
      <w:tr>
        <w:trPr>
          <w:trHeight w:val="162"/>
        </w:trPr>
        <w:tc>
          <w:tcPr>
            <w:tcW w:w="740" w:type="dxa"/>
            <w:vAlign w:val="bottom"/>
            <w:tcBorders>
              <w:lef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rPr>
              <w:t>paid in full, Borrower shall repay the Term Loan Advance in (i) (a) twenty-four (24) equal monthly installments of principal if the</w:t>
            </w:r>
          </w:p>
        </w:tc>
      </w:tr>
      <w:tr>
        <w:trPr>
          <w:trHeight w:val="162"/>
        </w:trPr>
        <w:tc>
          <w:tcPr>
            <w:tcW w:w="740" w:type="dxa"/>
            <w:vAlign w:val="bottom"/>
            <w:tcBorders>
              <w:lef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rPr>
              <w:t>Performance Milestone does not occur, or (b) thirty-six (36) equal monthly installments of principal if the Performance Milestone</w:t>
            </w:r>
          </w:p>
        </w:tc>
      </w:tr>
      <w:tr>
        <w:trPr>
          <w:trHeight w:val="172"/>
        </w:trPr>
        <w:tc>
          <w:tcPr>
            <w:tcW w:w="740" w:type="dxa"/>
            <w:vAlign w:val="bottom"/>
            <w:tcBorders>
              <w:lef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rPr>
              <w:t>occurs, plus (ii) monthly payments of accrued interest in accordance with Section 1.2(a) at the rate set forth in Section 1.2(b)(i).</w:t>
            </w:r>
          </w:p>
        </w:tc>
      </w:tr>
      <w:tr>
        <w:trPr>
          <w:trHeight w:val="183"/>
        </w:trPr>
        <w:tc>
          <w:tcPr>
            <w:tcW w:w="740" w:type="dxa"/>
            <w:vAlign w:val="bottom"/>
            <w:tcBorders>
              <w:left w:val="single" w:sz="8" w:color="auto"/>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spacing w:after="0"/>
              <w:rPr>
                <w:sz w:val="15"/>
                <w:szCs w:val="15"/>
                <w:color w:val="auto"/>
              </w:rPr>
            </w:pPr>
          </w:p>
        </w:tc>
        <w:tc>
          <w:tcPr>
            <w:tcW w:w="1300" w:type="dxa"/>
            <w:vAlign w:val="bottom"/>
            <w:tcBorders>
              <w:bottom w:val="single" w:sz="8" w:color="auto"/>
            </w:tcBorders>
            <w:gridSpan w:val="3"/>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r>
      <w:tr>
        <w:trPr>
          <w:trHeight w:val="122"/>
        </w:trPr>
        <w:tc>
          <w:tcPr>
            <w:tcW w:w="3780" w:type="dxa"/>
            <w:vAlign w:val="bottom"/>
            <w:tcBorders>
              <w:left w:val="single" w:sz="8" w:color="auto"/>
              <w:right w:val="single" w:sz="8" w:color="auto"/>
            </w:tcBorders>
            <w:gridSpan w:val="2"/>
          </w:tcPr>
          <w:p>
            <w:pPr>
              <w:ind w:left="60"/>
              <w:spacing w:after="0" w:line="122" w:lineRule="exact"/>
              <w:rPr>
                <w:sz w:val="20"/>
                <w:szCs w:val="20"/>
                <w:color w:val="auto"/>
              </w:rPr>
            </w:pPr>
            <w:r>
              <w:rPr>
                <w:rFonts w:ascii="Arial" w:cs="Arial" w:eastAsia="Arial" w:hAnsi="Arial"/>
                <w:sz w:val="13"/>
                <w:szCs w:val="13"/>
                <w:color w:val="auto"/>
              </w:rPr>
              <w:t>1.2(a) – Interest Payments – Term Loan Advance</w:t>
            </w:r>
          </w:p>
        </w:tc>
        <w:tc>
          <w:tcPr>
            <w:tcW w:w="7420" w:type="dxa"/>
            <w:vAlign w:val="bottom"/>
            <w:tcBorders>
              <w:right w:val="single" w:sz="8" w:color="auto"/>
            </w:tcBorders>
            <w:gridSpan w:val="10"/>
          </w:tcPr>
          <w:p>
            <w:pPr>
              <w:spacing w:after="0" w:line="122" w:lineRule="exact"/>
              <w:rPr>
                <w:sz w:val="20"/>
                <w:szCs w:val="20"/>
                <w:color w:val="auto"/>
              </w:rPr>
            </w:pPr>
            <w:r>
              <w:rPr>
                <w:rFonts w:ascii="Arial" w:cs="Arial" w:eastAsia="Arial" w:hAnsi="Arial"/>
                <w:sz w:val="13"/>
                <w:szCs w:val="13"/>
                <w:color w:val="auto"/>
              </w:rPr>
              <w:t>Interest on the outstanding principal amount of the Term Loan Advance is payable in arrears monthly (i) on each Payment Date</w:t>
            </w:r>
          </w:p>
        </w:tc>
      </w:tr>
      <w:tr>
        <w:trPr>
          <w:trHeight w:val="132"/>
        </w:trPr>
        <w:tc>
          <w:tcPr>
            <w:tcW w:w="740" w:type="dxa"/>
            <w:vAlign w:val="bottom"/>
            <w:tcBorders>
              <w:left w:val="single" w:sz="8" w:color="auto"/>
            </w:tcBorders>
          </w:tcPr>
          <w:p>
            <w:pPr>
              <w:spacing w:after="0"/>
              <w:rPr>
                <w:sz w:val="11"/>
                <w:szCs w:val="11"/>
                <w:color w:val="auto"/>
              </w:rPr>
            </w:pPr>
          </w:p>
        </w:tc>
        <w:tc>
          <w:tcPr>
            <w:tcW w:w="3040" w:type="dxa"/>
            <w:vAlign w:val="bottom"/>
            <w:tcBorders>
              <w:right w:val="single" w:sz="8" w:color="auto"/>
            </w:tcBorders>
          </w:tcPr>
          <w:p>
            <w:pPr>
              <w:spacing w:after="0"/>
              <w:rPr>
                <w:sz w:val="11"/>
                <w:szCs w:val="11"/>
                <w:color w:val="auto"/>
              </w:rPr>
            </w:pPr>
          </w:p>
        </w:tc>
        <w:tc>
          <w:tcPr>
            <w:tcW w:w="7420" w:type="dxa"/>
            <w:vAlign w:val="bottom"/>
            <w:tcBorders>
              <w:right w:val="single" w:sz="8" w:color="auto"/>
            </w:tcBorders>
            <w:gridSpan w:val="10"/>
          </w:tcPr>
          <w:p>
            <w:pPr>
              <w:spacing w:after="0" w:line="132" w:lineRule="exact"/>
              <w:rPr>
                <w:sz w:val="20"/>
                <w:szCs w:val="20"/>
                <w:color w:val="auto"/>
              </w:rPr>
            </w:pPr>
            <w:r>
              <w:rPr>
                <w:rFonts w:ascii="Arial" w:cs="Arial" w:eastAsia="Arial" w:hAnsi="Arial"/>
                <w:sz w:val="13"/>
                <w:szCs w:val="13"/>
                <w:color w:val="auto"/>
              </w:rPr>
              <w:t>commencing on the first Payment Date following the Funding Date of each such Term Loan Advance, (ii) on the date of any</w:t>
            </w:r>
          </w:p>
        </w:tc>
      </w:tr>
      <w:tr>
        <w:trPr>
          <w:trHeight w:val="172"/>
        </w:trPr>
        <w:tc>
          <w:tcPr>
            <w:tcW w:w="740" w:type="dxa"/>
            <w:vAlign w:val="bottom"/>
            <w:tcBorders>
              <w:left w:val="single" w:sz="8" w:color="auto"/>
              <w:bottom w:val="single" w:sz="8" w:color="auto"/>
            </w:tcBorders>
          </w:tcPr>
          <w:p>
            <w:pPr>
              <w:spacing w:after="0"/>
              <w:rPr>
                <w:sz w:val="14"/>
                <w:szCs w:val="14"/>
                <w:color w:val="auto"/>
              </w:rPr>
            </w:pPr>
          </w:p>
        </w:tc>
        <w:tc>
          <w:tcPr>
            <w:tcW w:w="3040" w:type="dxa"/>
            <w:vAlign w:val="bottom"/>
            <w:tcBorders>
              <w:bottom w:val="single" w:sz="8" w:color="auto"/>
              <w:right w:val="single" w:sz="8" w:color="auto"/>
            </w:tcBorders>
          </w:tcPr>
          <w:p>
            <w:pPr>
              <w:spacing w:after="0"/>
              <w:rPr>
                <w:sz w:val="14"/>
                <w:szCs w:val="14"/>
                <w:color w:val="auto"/>
              </w:rPr>
            </w:pPr>
          </w:p>
        </w:tc>
        <w:tc>
          <w:tcPr>
            <w:tcW w:w="742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3"/>
                <w:szCs w:val="13"/>
                <w:color w:val="auto"/>
              </w:rPr>
              <w:t>prepayment of the Term Loan Advance, and (iii) on the Term Loan Maturity Date.</w:t>
            </w:r>
          </w:p>
        </w:tc>
      </w:tr>
      <w:tr>
        <w:trPr>
          <w:trHeight w:val="162"/>
        </w:trPr>
        <w:tc>
          <w:tcPr>
            <w:tcW w:w="37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1.2(b)(i) – Interest Rate – Term Loan Advance</w:t>
            </w: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w w:val="96"/>
              </w:rPr>
              <w:t>The outstanding principal amount of the Term Loan Advance shall accrue interest at a floating rate per annum equal to the greater of</w:t>
            </w:r>
          </w:p>
        </w:tc>
      </w:tr>
      <w:tr>
        <w:trPr>
          <w:trHeight w:val="162"/>
        </w:trPr>
        <w:tc>
          <w:tcPr>
            <w:tcW w:w="740" w:type="dxa"/>
            <w:vAlign w:val="bottom"/>
            <w:tcBorders>
              <w:lef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w w:val="95"/>
              </w:rPr>
              <w:t>(A) five and three quarters of one percent (5.75%) and (B) the Prime Rate plus the Prime Rate Margin, which interest shall be payable</w:t>
            </w:r>
          </w:p>
        </w:tc>
      </w:tr>
      <w:tr>
        <w:trPr>
          <w:trHeight w:val="172"/>
        </w:trPr>
        <w:tc>
          <w:tcPr>
            <w:tcW w:w="740" w:type="dxa"/>
            <w:vAlign w:val="bottom"/>
            <w:tcBorders>
              <w:lef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rPr>
              <w:t>in accordance with Section 1.2(a).</w:t>
            </w:r>
          </w:p>
        </w:tc>
      </w:tr>
      <w:tr>
        <w:trPr>
          <w:trHeight w:val="183"/>
        </w:trPr>
        <w:tc>
          <w:tcPr>
            <w:tcW w:w="740" w:type="dxa"/>
            <w:vAlign w:val="bottom"/>
            <w:tcBorders>
              <w:left w:val="single" w:sz="8" w:color="auto"/>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spacing w:after="0"/>
              <w:rPr>
                <w:sz w:val="15"/>
                <w:szCs w:val="15"/>
                <w:color w:val="auto"/>
              </w:rPr>
            </w:pPr>
          </w:p>
        </w:tc>
        <w:tc>
          <w:tcPr>
            <w:tcW w:w="1300" w:type="dxa"/>
            <w:vAlign w:val="bottom"/>
            <w:tcBorders>
              <w:bottom w:val="single" w:sz="8" w:color="auto"/>
            </w:tcBorders>
            <w:gridSpan w:val="3"/>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r>
      <w:tr>
        <w:trPr>
          <w:trHeight w:val="162"/>
        </w:trPr>
        <w:tc>
          <w:tcPr>
            <w:tcW w:w="378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1.2(e) – Interest Computation</w:t>
            </w:r>
          </w:p>
        </w:tc>
        <w:tc>
          <w:tcPr>
            <w:tcW w:w="742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3"/>
                <w:szCs w:val="13"/>
                <w:color w:val="auto"/>
                <w:w w:val="95"/>
              </w:rPr>
              <w:t>Interest shall be computed on the basis of the actual number of days elapsed and a 360-day year for any Credit Extension outstanding.</w:t>
            </w:r>
          </w:p>
        </w:tc>
      </w:tr>
      <w:tr>
        <w:trPr>
          <w:trHeight w:val="172"/>
        </w:trPr>
        <w:tc>
          <w:tcPr>
            <w:tcW w:w="37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12.2 – “Borrower”</w:t>
            </w: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Borrower</w:t>
            </w:r>
            <w:r>
              <w:rPr>
                <w:rFonts w:ascii="Arial" w:cs="Arial" w:eastAsia="Arial" w:hAnsi="Arial"/>
                <w:sz w:val="13"/>
                <w:szCs w:val="13"/>
                <w:color w:val="auto"/>
              </w:rPr>
              <w:t xml:space="preserve">” means (i) </w:t>
            </w:r>
            <w:r>
              <w:rPr>
                <w:rFonts w:ascii="Arial" w:cs="Arial" w:eastAsia="Arial" w:hAnsi="Arial"/>
                <w:sz w:val="13"/>
                <w:szCs w:val="13"/>
                <w:b w:val="1"/>
                <w:bCs w:val="1"/>
                <w:color w:val="auto"/>
              </w:rPr>
              <w:t>SI-BONE, INC.</w:t>
            </w:r>
            <w:r>
              <w:rPr>
                <w:rFonts w:ascii="Arial" w:cs="Arial" w:eastAsia="Arial" w:hAnsi="Arial"/>
                <w:sz w:val="13"/>
                <w:szCs w:val="13"/>
                <w:color w:val="auto"/>
              </w:rPr>
              <w:t>, a Delaware corporation.</w:t>
            </w:r>
          </w:p>
        </w:tc>
      </w:tr>
      <w:tr>
        <w:trPr>
          <w:trHeight w:val="183"/>
        </w:trPr>
        <w:tc>
          <w:tcPr>
            <w:tcW w:w="740" w:type="dxa"/>
            <w:vAlign w:val="bottom"/>
            <w:tcBorders>
              <w:left w:val="single" w:sz="8" w:color="auto"/>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spacing w:after="0"/>
              <w:rPr>
                <w:sz w:val="15"/>
                <w:szCs w:val="15"/>
                <w:color w:val="auto"/>
              </w:rPr>
            </w:pPr>
          </w:p>
        </w:tc>
        <w:tc>
          <w:tcPr>
            <w:tcW w:w="1300" w:type="dxa"/>
            <w:vAlign w:val="bottom"/>
            <w:tcBorders>
              <w:bottom w:val="single" w:sz="8" w:color="auto"/>
            </w:tcBorders>
            <w:gridSpan w:val="3"/>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r>
      <w:tr>
        <w:trPr>
          <w:trHeight w:val="172"/>
        </w:trPr>
        <w:tc>
          <w:tcPr>
            <w:tcW w:w="37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12.2 – “Effective Date”</w:t>
            </w: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is August 12, 2021.</w:t>
            </w:r>
          </w:p>
        </w:tc>
      </w:tr>
      <w:tr>
        <w:trPr>
          <w:trHeight w:val="183"/>
        </w:trPr>
        <w:tc>
          <w:tcPr>
            <w:tcW w:w="740" w:type="dxa"/>
            <w:vAlign w:val="bottom"/>
            <w:tcBorders>
              <w:left w:val="single" w:sz="8" w:color="auto"/>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spacing w:after="0"/>
              <w:rPr>
                <w:sz w:val="15"/>
                <w:szCs w:val="15"/>
                <w:color w:val="auto"/>
              </w:rPr>
            </w:pPr>
          </w:p>
        </w:tc>
        <w:tc>
          <w:tcPr>
            <w:tcW w:w="1300" w:type="dxa"/>
            <w:vAlign w:val="bottom"/>
            <w:tcBorders>
              <w:bottom w:val="single" w:sz="8" w:color="auto"/>
            </w:tcBorders>
            <w:gridSpan w:val="3"/>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r>
      <w:tr>
        <w:trPr>
          <w:trHeight w:val="172"/>
        </w:trPr>
        <w:tc>
          <w:tcPr>
            <w:tcW w:w="37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12.2 – “Payment Date”</w:t>
            </w: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Payment Date</w:t>
            </w:r>
            <w:r>
              <w:rPr>
                <w:rFonts w:ascii="Arial" w:cs="Arial" w:eastAsia="Arial" w:hAnsi="Arial"/>
                <w:sz w:val="13"/>
                <w:szCs w:val="13"/>
                <w:color w:val="auto"/>
              </w:rPr>
              <w:t>” is the first (1st) calendar day of each month.</w:t>
            </w:r>
          </w:p>
        </w:tc>
      </w:tr>
      <w:tr>
        <w:trPr>
          <w:trHeight w:val="183"/>
        </w:trPr>
        <w:tc>
          <w:tcPr>
            <w:tcW w:w="740" w:type="dxa"/>
            <w:vAlign w:val="bottom"/>
            <w:tcBorders>
              <w:left w:val="single" w:sz="8" w:color="auto"/>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spacing w:after="0"/>
              <w:rPr>
                <w:sz w:val="15"/>
                <w:szCs w:val="15"/>
                <w:color w:val="auto"/>
              </w:rPr>
            </w:pPr>
          </w:p>
        </w:tc>
        <w:tc>
          <w:tcPr>
            <w:tcW w:w="1300" w:type="dxa"/>
            <w:vAlign w:val="bottom"/>
            <w:tcBorders>
              <w:bottom w:val="single" w:sz="8" w:color="auto"/>
            </w:tcBorders>
            <w:gridSpan w:val="3"/>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r>
      <w:tr>
        <w:trPr>
          <w:trHeight w:val="142"/>
        </w:trPr>
        <w:tc>
          <w:tcPr>
            <w:tcW w:w="3780" w:type="dxa"/>
            <w:vAlign w:val="bottom"/>
            <w:tcBorders>
              <w:left w:val="single" w:sz="8" w:color="auto"/>
              <w:right w:val="single" w:sz="8" w:color="auto"/>
            </w:tcBorders>
            <w:gridSpan w:val="2"/>
          </w:tcPr>
          <w:p>
            <w:pPr>
              <w:ind w:left="60"/>
              <w:spacing w:after="0" w:line="142" w:lineRule="exact"/>
              <w:rPr>
                <w:sz w:val="20"/>
                <w:szCs w:val="20"/>
                <w:color w:val="auto"/>
              </w:rPr>
            </w:pPr>
            <w:r>
              <w:rPr>
                <w:rFonts w:ascii="Arial" w:cs="Arial" w:eastAsia="Arial" w:hAnsi="Arial"/>
                <w:sz w:val="13"/>
                <w:szCs w:val="13"/>
                <w:color w:val="auto"/>
              </w:rPr>
              <w:t>12.2 – “Prime Rate”</w:t>
            </w:r>
          </w:p>
        </w:tc>
        <w:tc>
          <w:tcPr>
            <w:tcW w:w="7420" w:type="dxa"/>
            <w:vAlign w:val="bottom"/>
            <w:tcBorders>
              <w:right w:val="single" w:sz="8" w:color="auto"/>
            </w:tcBorders>
            <w:gridSpan w:val="10"/>
          </w:tcPr>
          <w:p>
            <w:pPr>
              <w:ind w:left="40"/>
              <w:spacing w:after="0" w:line="142" w:lineRule="exact"/>
              <w:rPr>
                <w:sz w:val="20"/>
                <w:szCs w:val="20"/>
                <w:color w:val="auto"/>
              </w:rPr>
            </w:pPr>
            <w:r>
              <w:rPr>
                <w:rFonts w:ascii="Arial" w:cs="Arial" w:eastAsia="Arial" w:hAnsi="Arial"/>
                <w:sz w:val="13"/>
                <w:szCs w:val="13"/>
                <w:color w:val="auto"/>
                <w:w w:val="98"/>
              </w:rPr>
              <w:t>“</w:t>
            </w:r>
            <w:r>
              <w:rPr>
                <w:rFonts w:ascii="Arial" w:cs="Arial" w:eastAsia="Arial" w:hAnsi="Arial"/>
                <w:sz w:val="13"/>
                <w:szCs w:val="13"/>
                <w:b w:val="1"/>
                <w:bCs w:val="1"/>
                <w:color w:val="auto"/>
                <w:w w:val="98"/>
              </w:rPr>
              <w:t>Prime Rate</w:t>
            </w:r>
            <w:r>
              <w:rPr>
                <w:rFonts w:ascii="Arial" w:cs="Arial" w:eastAsia="Arial" w:hAnsi="Arial"/>
                <w:sz w:val="13"/>
                <w:szCs w:val="13"/>
                <w:color w:val="auto"/>
                <w:w w:val="98"/>
              </w:rPr>
              <w:t>” is the rate of interest per annum from time to time published in the money rates section of The Wall Street Journal or</w:t>
            </w:r>
          </w:p>
        </w:tc>
      </w:tr>
      <w:tr>
        <w:trPr>
          <w:trHeight w:val="20"/>
        </w:trPr>
        <w:tc>
          <w:tcPr>
            <w:tcW w:w="740" w:type="dxa"/>
            <w:vAlign w:val="bottom"/>
            <w:tcBorders>
              <w:left w:val="single" w:sz="8" w:color="auto"/>
            </w:tcBorders>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162"/>
        </w:trPr>
        <w:tc>
          <w:tcPr>
            <w:tcW w:w="740" w:type="dxa"/>
            <w:vAlign w:val="bottom"/>
            <w:tcBorders>
              <w:lef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w w:val="96"/>
              </w:rPr>
              <w:t>any successor publication thereto as the “prime rate” then in effect; provided that if such rate of interest, as set forth from time to time</w:t>
            </w:r>
          </w:p>
        </w:tc>
      </w:tr>
      <w:tr>
        <w:trPr>
          <w:trHeight w:val="142"/>
        </w:trPr>
        <w:tc>
          <w:tcPr>
            <w:tcW w:w="740" w:type="dxa"/>
            <w:vAlign w:val="bottom"/>
            <w:tcBorders>
              <w:left w:val="single" w:sz="8" w:color="auto"/>
            </w:tcBorders>
          </w:tcPr>
          <w:p>
            <w:pPr>
              <w:spacing w:after="0"/>
              <w:rPr>
                <w:sz w:val="12"/>
                <w:szCs w:val="12"/>
                <w:color w:val="auto"/>
              </w:rPr>
            </w:pPr>
          </w:p>
        </w:tc>
        <w:tc>
          <w:tcPr>
            <w:tcW w:w="3040" w:type="dxa"/>
            <w:vAlign w:val="bottom"/>
            <w:tcBorders>
              <w:right w:val="single" w:sz="8" w:color="auto"/>
            </w:tcBorders>
          </w:tcPr>
          <w:p>
            <w:pPr>
              <w:spacing w:after="0"/>
              <w:rPr>
                <w:sz w:val="12"/>
                <w:szCs w:val="12"/>
                <w:color w:val="auto"/>
              </w:rPr>
            </w:pPr>
          </w:p>
        </w:tc>
        <w:tc>
          <w:tcPr>
            <w:tcW w:w="7420" w:type="dxa"/>
            <w:vAlign w:val="bottom"/>
            <w:tcBorders>
              <w:right w:val="single" w:sz="8" w:color="auto"/>
            </w:tcBorders>
            <w:gridSpan w:val="10"/>
          </w:tcPr>
          <w:p>
            <w:pPr>
              <w:ind w:left="40"/>
              <w:spacing w:after="0" w:line="143" w:lineRule="exact"/>
              <w:rPr>
                <w:sz w:val="20"/>
                <w:szCs w:val="20"/>
                <w:color w:val="auto"/>
              </w:rPr>
            </w:pPr>
            <w:r>
              <w:rPr>
                <w:rFonts w:ascii="Arial" w:cs="Arial" w:eastAsia="Arial" w:hAnsi="Arial"/>
                <w:sz w:val="13"/>
                <w:szCs w:val="13"/>
                <w:color w:val="auto"/>
                <w:w w:val="96"/>
              </w:rPr>
              <w:t>in the money rates section of The Wall Street Journal, becomes unavailable for any reason as determined by Bank, the “Prime Rate”</w:t>
            </w:r>
          </w:p>
        </w:tc>
      </w:tr>
      <w:tr>
        <w:trPr>
          <w:trHeight w:val="20"/>
        </w:trPr>
        <w:tc>
          <w:tcPr>
            <w:tcW w:w="740" w:type="dxa"/>
            <w:vAlign w:val="bottom"/>
            <w:tcBorders>
              <w:left w:val="single" w:sz="8" w:color="auto"/>
            </w:tcBorders>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4440" w:type="dxa"/>
            <w:vAlign w:val="bottom"/>
            <w:tcBorders>
              <w:right w:val="single" w:sz="8" w:color="auto"/>
            </w:tcBorders>
            <w:gridSpan w:val="3"/>
          </w:tcPr>
          <w:p>
            <w:pPr>
              <w:spacing w:after="0" w:line="20" w:lineRule="exact"/>
              <w:rPr>
                <w:sz w:val="1"/>
                <w:szCs w:val="1"/>
                <w:color w:val="auto"/>
              </w:rPr>
            </w:pPr>
          </w:p>
        </w:tc>
      </w:tr>
      <w:tr>
        <w:trPr>
          <w:trHeight w:val="162"/>
        </w:trPr>
        <w:tc>
          <w:tcPr>
            <w:tcW w:w="740" w:type="dxa"/>
            <w:vAlign w:val="bottom"/>
            <w:tcBorders>
              <w:lef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w w:val="96"/>
              </w:rPr>
              <w:t>shall mean the rate of interest per annum announced by Bank as its prime rate in effect at its principal office in the State of California</w:t>
            </w:r>
          </w:p>
        </w:tc>
      </w:tr>
      <w:tr>
        <w:trPr>
          <w:trHeight w:val="162"/>
        </w:trPr>
        <w:tc>
          <w:tcPr>
            <w:tcW w:w="740" w:type="dxa"/>
            <w:vAlign w:val="bottom"/>
            <w:tcBorders>
              <w:lef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w w:val="95"/>
              </w:rPr>
              <w:t>(such Bank announced Prime Rate not being intended to be the lowest rate of interest charged by Bank in connection with extensions</w:t>
            </w:r>
          </w:p>
        </w:tc>
      </w:tr>
      <w:tr>
        <w:trPr>
          <w:trHeight w:val="162"/>
        </w:trPr>
        <w:tc>
          <w:tcPr>
            <w:tcW w:w="740" w:type="dxa"/>
            <w:vAlign w:val="bottom"/>
            <w:tcBorders>
              <w:lef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w w:val="98"/>
              </w:rPr>
              <w:t>of credit to debtors); provided that, in the event such rate of interest is less than zero percent (0.0%) per annum, such rate shall be</w:t>
            </w:r>
          </w:p>
        </w:tc>
      </w:tr>
      <w:tr>
        <w:trPr>
          <w:trHeight w:val="172"/>
        </w:trPr>
        <w:tc>
          <w:tcPr>
            <w:tcW w:w="740" w:type="dxa"/>
            <w:vAlign w:val="bottom"/>
            <w:tcBorders>
              <w:left w:val="single" w:sz="8" w:color="auto"/>
            </w:tcBorders>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gridSpan w:val="10"/>
          </w:tcPr>
          <w:p>
            <w:pPr>
              <w:ind w:left="40"/>
              <w:spacing w:after="0"/>
              <w:rPr>
                <w:sz w:val="20"/>
                <w:szCs w:val="20"/>
                <w:color w:val="auto"/>
              </w:rPr>
            </w:pPr>
            <w:r>
              <w:rPr>
                <w:rFonts w:ascii="Arial" w:cs="Arial" w:eastAsia="Arial" w:hAnsi="Arial"/>
                <w:sz w:val="13"/>
                <w:szCs w:val="13"/>
                <w:color w:val="auto"/>
              </w:rPr>
              <w:t>deemed to be zero percent (0.0%) per annum for purposes of this Agreement.</w:t>
            </w:r>
          </w:p>
        </w:tc>
      </w:tr>
      <w:tr>
        <w:trPr>
          <w:trHeight w:val="183"/>
        </w:trPr>
        <w:tc>
          <w:tcPr>
            <w:tcW w:w="740" w:type="dxa"/>
            <w:vAlign w:val="bottom"/>
            <w:tcBorders>
              <w:left w:val="single" w:sz="8" w:color="auto"/>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r>
      <w:tr>
        <w:trPr>
          <w:trHeight w:val="627"/>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40" w:type="dxa"/>
            <w:vAlign w:val="bottom"/>
            <w:gridSpan w:val="6"/>
          </w:tcPr>
          <w:p>
            <w:pPr>
              <w:jc w:val="center"/>
              <w:ind w:right="5380"/>
              <w:spacing w:after="0"/>
              <w:rPr>
                <w:sz w:val="20"/>
                <w:szCs w:val="20"/>
                <w:color w:val="auto"/>
              </w:rPr>
            </w:pPr>
            <w:r>
              <w:rPr>
                <w:rFonts w:ascii="Arial" w:cs="Arial" w:eastAsia="Arial" w:hAnsi="Arial"/>
                <w:sz w:val="13"/>
                <w:szCs w:val="13"/>
                <w:color w:val="auto"/>
              </w:rPr>
              <w:t>I-1</w:t>
            </w:r>
          </w:p>
        </w:tc>
      </w:tr>
      <w:tr>
        <w:trPr>
          <w:trHeight w:val="297"/>
        </w:trPr>
        <w:tc>
          <w:tcPr>
            <w:tcW w:w="740" w:type="dxa"/>
            <w:vAlign w:val="bottom"/>
          </w:tcPr>
          <w:p>
            <w:pPr>
              <w:spacing w:after="0"/>
              <w:rPr>
                <w:sz w:val="20"/>
                <w:szCs w:val="20"/>
                <w:color w:val="auto"/>
              </w:rPr>
            </w:pPr>
            <w:r>
              <w:rPr>
                <w:rFonts w:ascii="Arial" w:cs="Arial" w:eastAsia="Arial" w:hAnsi="Arial"/>
                <w:sz w:val="12"/>
                <w:szCs w:val="12"/>
                <w:color w:val="auto"/>
              </w:rPr>
              <w:t>295054968.4</w:t>
            </w:r>
          </w:p>
        </w:tc>
        <w:tc>
          <w:tcPr>
            <w:tcW w:w="3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40"/>
        </w:trPr>
        <w:tc>
          <w:tcPr>
            <w:tcW w:w="3780" w:type="dxa"/>
            <w:vAlign w:val="bottom"/>
            <w:gridSpan w:val="2"/>
          </w:tcPr>
          <w:p>
            <w:pPr>
              <w:spacing w:after="0"/>
              <w:rPr>
                <w:sz w:val="20"/>
                <w:szCs w:val="20"/>
                <w:color w:val="auto"/>
              </w:rPr>
            </w:pPr>
            <w:r>
              <w:rPr>
                <w:rFonts w:ascii="Arial" w:cs="Arial" w:eastAsia="Arial" w:hAnsi="Arial"/>
                <w:sz w:val="12"/>
                <w:szCs w:val="12"/>
                <w:color w:val="auto"/>
              </w:rPr>
              <w:t>354271-000499" "" 295054968.4</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6"/>
        </w:trPr>
        <w:tc>
          <w:tcPr>
            <w:tcW w:w="3780" w:type="dxa"/>
            <w:vAlign w:val="bottom"/>
            <w:gridSpan w:val="2"/>
          </w:tcPr>
          <w:p>
            <w:pPr>
              <w:spacing w:after="0"/>
              <w:rPr>
                <w:sz w:val="20"/>
                <w:szCs w:val="20"/>
                <w:color w:val="auto"/>
              </w:rPr>
            </w:pPr>
            <w:r>
              <w:rPr>
                <w:rFonts w:ascii="Arial" w:cs="Arial" w:eastAsia="Arial" w:hAnsi="Arial"/>
                <w:sz w:val="12"/>
                <w:szCs w:val="12"/>
                <w:color w:val="auto"/>
              </w:rPr>
              <w:t>354271-000499</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r>
    </w:tbl>
    <w:p>
      <w:pPr>
        <w:sectPr>
          <w:pgSz w:w="11900" w:h="16838" w:orient="portrait"/>
          <w:cols w:equalWidth="0" w:num="1">
            <w:col w:w="11180"/>
          </w:cols>
          <w:pgMar w:left="300" w:top="1093" w:right="419" w:bottom="1440" w:gutter="0" w:footer="0" w:header="0"/>
        </w:sectPr>
      </w:pPr>
    </w:p>
    <w:bookmarkStart w:id="116" w:name="page117"/>
    <w:bookmarkEnd w:id="1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3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3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“Prime Rate Margin”</w:t>
            </w:r>
          </w:p>
        </w:tc>
        <w:tc>
          <w:tcPr>
            <w:tcW w:w="7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Prime Rate Margin</w:t>
            </w:r>
            <w:r>
              <w:rPr>
                <w:rFonts w:ascii="Arial" w:cs="Arial" w:eastAsia="Arial" w:hAnsi="Arial"/>
                <w:sz w:val="13"/>
                <w:szCs w:val="13"/>
                <w:color w:val="auto"/>
              </w:rPr>
              <w:t>” is two and one half of one percent (2.50%).</w:t>
            </w:r>
          </w:p>
        </w:tc>
      </w:tr>
      <w:tr>
        <w:trPr>
          <w:trHeight w:val="183"/>
        </w:trPr>
        <w:tc>
          <w:tcPr>
            <w:tcW w:w="320" w:type="dxa"/>
            <w:vAlign w:val="bottom"/>
            <w:tcBorders>
              <w:left w:val="single" w:sz="8" w:color="auto"/>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tcPr>
          <w:p>
            <w:pPr>
              <w:spacing w:after="0"/>
              <w:rPr>
                <w:sz w:val="15"/>
                <w:szCs w:val="15"/>
                <w:color w:val="auto"/>
              </w:rPr>
            </w:pPr>
          </w:p>
        </w:tc>
        <w:tc>
          <w:tcPr>
            <w:tcW w:w="7420" w:type="dxa"/>
            <w:vAlign w:val="bottom"/>
            <w:tcBorders>
              <w:bottom w:val="single" w:sz="8" w:color="auto"/>
              <w:right w:val="single" w:sz="8" w:color="auto"/>
            </w:tcBorders>
          </w:tcPr>
          <w:p>
            <w:pPr>
              <w:spacing w:after="0"/>
              <w:rPr>
                <w:sz w:val="15"/>
                <w:szCs w:val="15"/>
                <w:color w:val="auto"/>
              </w:rPr>
            </w:pPr>
          </w:p>
        </w:tc>
      </w:tr>
      <w:tr>
        <w:trPr>
          <w:trHeight w:val="17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“Term Loan Amortization Date”</w:t>
            </w:r>
          </w:p>
        </w:tc>
        <w:tc>
          <w:tcPr>
            <w:tcW w:w="74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 Loan Amortization Date</w:t>
            </w:r>
            <w:r>
              <w:rPr>
                <w:rFonts w:ascii="Arial" w:cs="Arial" w:eastAsia="Arial" w:hAnsi="Arial"/>
                <w:sz w:val="13"/>
                <w:szCs w:val="13"/>
                <w:color w:val="auto"/>
              </w:rPr>
              <w:t>” is September 1, 2023.</w:t>
            </w:r>
          </w:p>
        </w:tc>
      </w:tr>
      <w:tr>
        <w:trPr>
          <w:trHeight w:val="183"/>
        </w:trPr>
        <w:tc>
          <w:tcPr>
            <w:tcW w:w="320" w:type="dxa"/>
            <w:vAlign w:val="bottom"/>
            <w:tcBorders>
              <w:left w:val="single" w:sz="8" w:color="auto"/>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tcPr>
          <w:p>
            <w:pPr>
              <w:spacing w:after="0"/>
              <w:rPr>
                <w:sz w:val="15"/>
                <w:szCs w:val="15"/>
                <w:color w:val="auto"/>
              </w:rPr>
            </w:pPr>
          </w:p>
        </w:tc>
        <w:tc>
          <w:tcPr>
            <w:tcW w:w="7420" w:type="dxa"/>
            <w:vAlign w:val="bottom"/>
            <w:tcBorders>
              <w:bottom w:val="single" w:sz="8" w:color="auto"/>
              <w:right w:val="single" w:sz="8" w:color="auto"/>
            </w:tcBorders>
          </w:tcPr>
          <w:p>
            <w:pPr>
              <w:spacing w:after="0"/>
              <w:rPr>
                <w:sz w:val="15"/>
                <w:szCs w:val="15"/>
                <w:color w:val="auto"/>
              </w:rPr>
            </w:pPr>
          </w:p>
        </w:tc>
      </w:tr>
      <w:tr>
        <w:trPr>
          <w:trHeight w:val="17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“Term Loan Availability Amount”</w:t>
            </w:r>
          </w:p>
        </w:tc>
        <w:tc>
          <w:tcPr>
            <w:tcW w:w="74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 Loan Availability Amount</w:t>
            </w:r>
            <w:r>
              <w:rPr>
                <w:rFonts w:ascii="Arial" w:cs="Arial" w:eastAsia="Arial" w:hAnsi="Arial"/>
                <w:sz w:val="13"/>
                <w:szCs w:val="13"/>
                <w:color w:val="auto"/>
              </w:rPr>
              <w:t>” is Thirty-Five Million Dollars ($35,000,000).</w:t>
            </w:r>
          </w:p>
        </w:tc>
      </w:tr>
      <w:tr>
        <w:trPr>
          <w:trHeight w:val="183"/>
        </w:trPr>
        <w:tc>
          <w:tcPr>
            <w:tcW w:w="320" w:type="dxa"/>
            <w:vAlign w:val="bottom"/>
            <w:tcBorders>
              <w:left w:val="single" w:sz="8" w:color="auto"/>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tcPr>
          <w:p>
            <w:pPr>
              <w:spacing w:after="0"/>
              <w:rPr>
                <w:sz w:val="15"/>
                <w:szCs w:val="15"/>
                <w:color w:val="auto"/>
              </w:rPr>
            </w:pPr>
          </w:p>
        </w:tc>
        <w:tc>
          <w:tcPr>
            <w:tcW w:w="7420" w:type="dxa"/>
            <w:vAlign w:val="bottom"/>
            <w:tcBorders>
              <w:bottom w:val="single" w:sz="8" w:color="auto"/>
              <w:right w:val="single" w:sz="8" w:color="auto"/>
            </w:tcBorders>
          </w:tcPr>
          <w:p>
            <w:pPr>
              <w:spacing w:after="0"/>
              <w:rPr>
                <w:sz w:val="15"/>
                <w:szCs w:val="15"/>
                <w:color w:val="auto"/>
              </w:rPr>
            </w:pPr>
          </w:p>
        </w:tc>
      </w:tr>
      <w:tr>
        <w:trPr>
          <w:trHeight w:val="16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“Term Loan Maturity Date”</w:t>
            </w:r>
          </w:p>
        </w:tc>
        <w:tc>
          <w:tcPr>
            <w:tcW w:w="74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7"/>
              </w:rPr>
              <w:t>“</w:t>
            </w:r>
            <w:r>
              <w:rPr>
                <w:rFonts w:ascii="Arial" w:cs="Arial" w:eastAsia="Arial" w:hAnsi="Arial"/>
                <w:sz w:val="13"/>
                <w:szCs w:val="13"/>
                <w:b w:val="1"/>
                <w:bCs w:val="1"/>
                <w:color w:val="auto"/>
                <w:w w:val="97"/>
              </w:rPr>
              <w:t>Term Loan Maturity Date</w:t>
            </w:r>
            <w:r>
              <w:rPr>
                <w:rFonts w:ascii="Arial" w:cs="Arial" w:eastAsia="Arial" w:hAnsi="Arial"/>
                <w:sz w:val="13"/>
                <w:szCs w:val="13"/>
                <w:color w:val="auto"/>
                <w:w w:val="97"/>
              </w:rPr>
              <w:t>” is August 1, 2025; provided, however, if Borrower achieves the Performance Milestone, then the Term</w:t>
            </w:r>
          </w:p>
        </w:tc>
      </w:tr>
      <w:tr>
        <w:trPr>
          <w:trHeight w:val="172"/>
        </w:trPr>
        <w:tc>
          <w:tcPr>
            <w:tcW w:w="320" w:type="dxa"/>
            <w:vAlign w:val="bottom"/>
            <w:tcBorders>
              <w:left w:val="single" w:sz="8" w:color="auto"/>
            </w:tcBorders>
          </w:tcPr>
          <w:p>
            <w:pPr>
              <w:spacing w:after="0"/>
              <w:rPr>
                <w:sz w:val="14"/>
                <w:szCs w:val="14"/>
                <w:color w:val="auto"/>
              </w:rPr>
            </w:pPr>
          </w:p>
        </w:tc>
        <w:tc>
          <w:tcPr>
            <w:tcW w:w="3460" w:type="dxa"/>
            <w:vAlign w:val="bottom"/>
            <w:tcBorders>
              <w:right w:val="single" w:sz="8" w:color="auto"/>
            </w:tcBorders>
          </w:tcPr>
          <w:p>
            <w:pPr>
              <w:spacing w:after="0"/>
              <w:rPr>
                <w:sz w:val="14"/>
                <w:szCs w:val="14"/>
                <w:color w:val="auto"/>
              </w:rPr>
            </w:pPr>
          </w:p>
        </w:tc>
        <w:tc>
          <w:tcPr>
            <w:tcW w:w="74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8"/>
              </w:rPr>
              <w:t>Loan Maturity Date shall automatically, with no further action required by the parties hereto, be extended through August 1, 2026.</w:t>
            </w:r>
          </w:p>
        </w:tc>
      </w:tr>
      <w:tr>
        <w:trPr>
          <w:trHeight w:val="183"/>
        </w:trPr>
        <w:tc>
          <w:tcPr>
            <w:tcW w:w="320" w:type="dxa"/>
            <w:vAlign w:val="bottom"/>
            <w:tcBorders>
              <w:left w:val="single" w:sz="8" w:color="auto"/>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tcPr>
          <w:p>
            <w:pPr>
              <w:spacing w:after="0"/>
              <w:rPr>
                <w:sz w:val="15"/>
                <w:szCs w:val="15"/>
                <w:color w:val="auto"/>
              </w:rPr>
            </w:pPr>
          </w:p>
        </w:tc>
        <w:tc>
          <w:tcPr>
            <w:tcW w:w="742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I-2</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295054968.4</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354271-000499" "" 295054968.4</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354271-000499</w:t>
      </w:r>
    </w:p>
    <w:p>
      <w:pPr>
        <w:sectPr>
          <w:pgSz w:w="11900" w:h="16838" w:orient="portrait"/>
          <w:cols w:equalWidth="0" w:num="1">
            <w:col w:w="11180"/>
          </w:cols>
          <w:pgMar w:left="300" w:top="1111" w:right="41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3"/>
          <w:szCs w:val="13"/>
          <w:b w:val="1"/>
          <w:bCs w:val="1"/>
          <w:color w:val="auto"/>
        </w:rPr>
        <w:t>EXHIBIT A</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COMPLIANCE STATEMENT</w:t>
      </w:r>
    </w:p>
    <w:p>
      <w:pPr>
        <w:spacing w:after="0" w:line="174" w:lineRule="exact"/>
        <w:rPr>
          <w:sz w:val="20"/>
          <w:szCs w:val="20"/>
          <w:color w:val="auto"/>
        </w:rPr>
      </w:pPr>
    </w:p>
    <w:p>
      <w:pPr>
        <w:spacing w:after="0"/>
        <w:tabs>
          <w:tab w:leader="none" w:pos="340" w:val="left"/>
          <w:tab w:leader="none" w:pos="1960" w:val="left"/>
        </w:tabs>
        <w:rPr>
          <w:sz w:val="20"/>
          <w:szCs w:val="20"/>
          <w:color w:val="auto"/>
        </w:rPr>
      </w:pPr>
      <w:r>
        <w:rPr>
          <w:rFonts w:ascii="Arial" w:cs="Arial" w:eastAsia="Arial" w:hAnsi="Arial"/>
          <w:sz w:val="13"/>
          <w:szCs w:val="13"/>
          <w:color w:val="auto"/>
        </w:rPr>
        <w:t>TO:</w:t>
        <w:tab/>
        <w:t>SILICON VALLEY BANK</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-3810</wp:posOffset>
            </wp:positionV>
            <wp:extent cx="17145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71450" cy="6350"/>
                    </a:xfrm>
                    <a:prstGeom prst="rect">
                      <a:avLst/>
                    </a:prstGeom>
                    <a:noFill/>
                  </pic:spPr>
                </pic:pic>
              </a:graphicData>
            </a:graphic>
          </wp:anchor>
        </w:drawing>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13"/>
          <w:szCs w:val="13"/>
          <w:color w:val="auto"/>
        </w:rPr>
        <w:t>FROM:</w:t>
      </w:r>
      <w:r>
        <w:rPr>
          <w:sz w:val="20"/>
          <w:szCs w:val="20"/>
          <w:color w:val="auto"/>
        </w:rPr>
        <w:tab/>
      </w:r>
      <w:r>
        <w:rPr>
          <w:rFonts w:ascii="Arial" w:cs="Arial" w:eastAsia="Arial" w:hAnsi="Arial"/>
          <w:sz w:val="12"/>
          <w:szCs w:val="12"/>
          <w:color w:val="auto"/>
        </w:rPr>
        <w:t>SI-BONE, INC.</w:t>
      </w:r>
    </w:p>
    <w:p>
      <w:pPr>
        <w:spacing w:after="0" w:line="162" w:lineRule="exact"/>
        <w:rPr>
          <w:sz w:val="20"/>
          <w:szCs w:val="20"/>
          <w:color w:val="auto"/>
        </w:rPr>
      </w:pPr>
    </w:p>
    <w:p>
      <w:pPr>
        <w:ind w:right="20" w:firstLine="486"/>
        <w:spacing w:after="0" w:line="292" w:lineRule="auto"/>
        <w:rPr>
          <w:sz w:val="20"/>
          <w:szCs w:val="20"/>
          <w:color w:val="auto"/>
        </w:rPr>
      </w:pPr>
      <w:r>
        <w:rPr>
          <w:rFonts w:ascii="Arial" w:cs="Arial" w:eastAsia="Arial" w:hAnsi="Arial"/>
          <w:sz w:val="12"/>
          <w:szCs w:val="12"/>
          <w:color w:val="auto"/>
        </w:rPr>
        <w:t>Under the terms and conditions of the Loan and Security Agreement between Borrower and Bank (as amended, modified, supplemented and/or restated from time to time, the “</w:t>
      </w:r>
      <w:r>
        <w:rPr>
          <w:rFonts w:ascii="Arial" w:cs="Arial" w:eastAsia="Arial" w:hAnsi="Arial"/>
          <w:sz w:val="12"/>
          <w:szCs w:val="12"/>
          <w:b w:val="1"/>
          <w:bCs w:val="1"/>
          <w:color w:val="auto"/>
        </w:rPr>
        <w:t>Agreement</w:t>
      </w:r>
      <w:r>
        <w:rPr>
          <w:rFonts w:ascii="Arial" w:cs="Arial" w:eastAsia="Arial" w:hAnsi="Arial"/>
          <w:sz w:val="12"/>
          <w:szCs w:val="12"/>
          <w:color w:val="auto"/>
        </w:rPr>
        <w:t>”), Borrower is in complete compliance for the period ending _______________ with all required covenants except as noted below. Attached are the required documents evidencing such compliance, setting forth</w:t>
      </w:r>
    </w:p>
    <w:p>
      <w:pPr>
        <w:ind w:right="20"/>
        <w:spacing w:after="0" w:line="323" w:lineRule="auto"/>
        <w:rPr>
          <w:sz w:val="20"/>
          <w:szCs w:val="20"/>
          <w:color w:val="auto"/>
        </w:rPr>
      </w:pPr>
      <w:r>
        <w:rPr>
          <w:rFonts w:ascii="Arial" w:cs="Arial" w:eastAsia="Arial" w:hAnsi="Arial"/>
          <w:sz w:val="12"/>
          <w:szCs w:val="12"/>
          <w:color w:val="auto"/>
        </w:rPr>
        <w:t>calculations prepared in accordance with GAAP consistently applied from one period to the next except as explained in an accompanying letter or footnotes (and except for with respect to unaudited financial statements for the absence of footnotes and subject to year-end audit adjustments). Capitalized terms used but not otherwise defined herein shall have the meanings given them in the Agreement.</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Please indicate compliance status by circling Yes/No under “Complies” column.</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132"/>
        </w:trPr>
        <w:tc>
          <w:tcPr>
            <w:tcW w:w="60" w:type="dxa"/>
            <w:vAlign w:val="bottom"/>
            <w:tcBorders>
              <w:top w:val="single" w:sz="8" w:color="auto"/>
              <w:left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020" w:type="dxa"/>
            <w:vAlign w:val="bottom"/>
            <w:tcBorders>
              <w:top w:val="single" w:sz="8" w:color="auto"/>
              <w:right w:val="single" w:sz="8" w:color="auto"/>
            </w:tcBorders>
            <w:gridSpan w:val="2"/>
          </w:tcPr>
          <w:p>
            <w:pPr>
              <w:spacing w:after="0" w:line="133" w:lineRule="exact"/>
              <w:rPr>
                <w:sz w:val="20"/>
                <w:szCs w:val="20"/>
                <w:color w:val="auto"/>
              </w:rPr>
            </w:pPr>
            <w:r>
              <w:rPr>
                <w:rFonts w:ascii="Arial" w:cs="Arial" w:eastAsia="Arial" w:hAnsi="Arial"/>
                <w:sz w:val="13"/>
                <w:szCs w:val="13"/>
                <w:b w:val="1"/>
                <w:bCs w:val="1"/>
                <w:color w:val="auto"/>
              </w:rPr>
              <w:t>Reporting Covenants</w:t>
            </w:r>
          </w:p>
        </w:tc>
        <w:tc>
          <w:tcPr>
            <w:tcW w:w="3120" w:type="dxa"/>
            <w:vAlign w:val="bottom"/>
            <w:tcBorders>
              <w:top w:val="single" w:sz="8" w:color="auto"/>
              <w:right w:val="single" w:sz="8" w:color="auto"/>
            </w:tcBorders>
            <w:gridSpan w:val="3"/>
          </w:tcPr>
          <w:p>
            <w:pPr>
              <w:ind w:left="1280"/>
              <w:spacing w:after="0" w:line="133" w:lineRule="exact"/>
              <w:rPr>
                <w:sz w:val="20"/>
                <w:szCs w:val="20"/>
                <w:color w:val="auto"/>
              </w:rPr>
            </w:pPr>
            <w:r>
              <w:rPr>
                <w:rFonts w:ascii="Arial" w:cs="Arial" w:eastAsia="Arial" w:hAnsi="Arial"/>
                <w:sz w:val="13"/>
                <w:szCs w:val="13"/>
                <w:b w:val="1"/>
                <w:bCs w:val="1"/>
                <w:color w:val="auto"/>
              </w:rPr>
              <w:t>Required</w:t>
            </w: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140" w:type="dxa"/>
            <w:vAlign w:val="bottom"/>
            <w:tcBorders>
              <w:top w:val="single" w:sz="8" w:color="auto"/>
              <w:right w:val="single" w:sz="8" w:color="auto"/>
            </w:tcBorders>
            <w:gridSpan w:val="3"/>
          </w:tcPr>
          <w:p>
            <w:pPr>
              <w:jc w:val="center"/>
              <w:ind w:right="1173"/>
              <w:spacing w:after="0" w:line="133" w:lineRule="exact"/>
              <w:rPr>
                <w:sz w:val="20"/>
                <w:szCs w:val="20"/>
                <w:color w:val="auto"/>
              </w:rPr>
            </w:pPr>
            <w:r>
              <w:rPr>
                <w:rFonts w:ascii="Arial" w:cs="Arial" w:eastAsia="Arial" w:hAnsi="Arial"/>
                <w:sz w:val="13"/>
                <w:szCs w:val="13"/>
                <w:b w:val="1"/>
                <w:bCs w:val="1"/>
                <w:color w:val="auto"/>
                <w:w w:val="92"/>
              </w:rPr>
              <w:t>Complies</w:t>
            </w: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153"/>
        </w:trPr>
        <w:tc>
          <w:tcPr>
            <w:tcW w:w="60" w:type="dxa"/>
            <w:vAlign w:val="bottom"/>
            <w:tcBorders>
              <w:left w:val="single" w:sz="8" w:color="auto"/>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3"/>
                <w:szCs w:val="13"/>
                <w:color w:val="auto"/>
              </w:rPr>
              <w:t>Quarterly Financial Statements with Compliance Statement</w:t>
            </w:r>
          </w:p>
        </w:tc>
        <w:tc>
          <w:tcPr>
            <w:tcW w:w="312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Quarterly within 45 days and FYE within 90 days</w:t>
            </w: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right w:val="single" w:sz="8" w:color="auto"/>
            </w:tcBorders>
            <w:gridSpan w:val="2"/>
          </w:tcPr>
          <w:p>
            <w:pPr>
              <w:jc w:val="center"/>
              <w:ind w:right="1353"/>
              <w:spacing w:after="0"/>
              <w:rPr>
                <w:sz w:val="20"/>
                <w:szCs w:val="20"/>
                <w:color w:val="auto"/>
              </w:rPr>
            </w:pPr>
            <w:r>
              <w:rPr>
                <w:rFonts w:ascii="Arial" w:cs="Arial" w:eastAsia="Arial" w:hAnsi="Arial"/>
                <w:sz w:val="13"/>
                <w:szCs w:val="13"/>
                <w:color w:val="auto"/>
                <w:w w:val="89"/>
              </w:rPr>
              <w:t>Yes No</w:t>
            </w:r>
          </w:p>
        </w:tc>
      </w:tr>
      <w:tr>
        <w:trPr>
          <w:trHeight w:val="162"/>
        </w:trPr>
        <w:tc>
          <w:tcPr>
            <w:tcW w:w="60" w:type="dxa"/>
            <w:vAlign w:val="bottom"/>
            <w:tcBorders>
              <w:left w:val="single" w:sz="8" w:color="auto"/>
              <w:bottom w:val="single" w:sz="8" w:color="auto"/>
            </w:tcBorders>
          </w:tcPr>
          <w:p>
            <w:pPr>
              <w:spacing w:after="0"/>
              <w:rPr>
                <w:sz w:val="14"/>
                <w:szCs w:val="14"/>
                <w:color w:val="auto"/>
              </w:rPr>
            </w:pPr>
          </w:p>
        </w:tc>
        <w:tc>
          <w:tcPr>
            <w:tcW w:w="47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3"/>
                <w:szCs w:val="13"/>
                <w:color w:val="auto"/>
              </w:rPr>
              <w:t>Annual financial statements (CPA Audited)</w:t>
            </w:r>
          </w:p>
        </w:tc>
        <w:tc>
          <w:tcPr>
            <w:tcW w:w="312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FYE within 180 days</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right w:val="single" w:sz="8" w:color="auto"/>
            </w:tcBorders>
            <w:gridSpan w:val="2"/>
          </w:tcPr>
          <w:p>
            <w:pPr>
              <w:jc w:val="center"/>
              <w:ind w:right="1353"/>
              <w:spacing w:after="0"/>
              <w:rPr>
                <w:sz w:val="20"/>
                <w:szCs w:val="20"/>
                <w:color w:val="auto"/>
              </w:rPr>
            </w:pPr>
            <w:r>
              <w:rPr>
                <w:rFonts w:ascii="Arial" w:cs="Arial" w:eastAsia="Arial" w:hAnsi="Arial"/>
                <w:sz w:val="13"/>
                <w:szCs w:val="13"/>
                <w:color w:val="auto"/>
                <w:w w:val="89"/>
              </w:rPr>
              <w:t>Yes No</w:t>
            </w:r>
          </w:p>
        </w:tc>
      </w:tr>
      <w:tr>
        <w:trPr>
          <w:trHeight w:val="162"/>
        </w:trPr>
        <w:tc>
          <w:tcPr>
            <w:tcW w:w="60" w:type="dxa"/>
            <w:vAlign w:val="bottom"/>
            <w:tcBorders>
              <w:left w:val="single" w:sz="8" w:color="auto"/>
              <w:bottom w:val="single" w:sz="8" w:color="auto"/>
            </w:tcBorders>
          </w:tcPr>
          <w:p>
            <w:pPr>
              <w:spacing w:after="0"/>
              <w:rPr>
                <w:sz w:val="14"/>
                <w:szCs w:val="14"/>
                <w:color w:val="auto"/>
              </w:rPr>
            </w:pPr>
          </w:p>
        </w:tc>
        <w:tc>
          <w:tcPr>
            <w:tcW w:w="47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3"/>
                <w:szCs w:val="13"/>
                <w:color w:val="auto"/>
              </w:rPr>
              <w:t>10-Q, 10-K and 8-K</w:t>
            </w:r>
          </w:p>
        </w:tc>
        <w:tc>
          <w:tcPr>
            <w:tcW w:w="312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Within 5 Business Days after filing with SEC</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40" w:type="dxa"/>
            <w:vAlign w:val="bottom"/>
            <w:tcBorders>
              <w:bottom w:val="single" w:sz="8" w:color="auto"/>
              <w:right w:val="single" w:sz="8" w:color="auto"/>
            </w:tcBorders>
            <w:gridSpan w:val="3"/>
          </w:tcPr>
          <w:p>
            <w:pPr>
              <w:jc w:val="center"/>
              <w:ind w:right="1173"/>
              <w:spacing w:after="0"/>
              <w:rPr>
                <w:sz w:val="20"/>
                <w:szCs w:val="20"/>
                <w:color w:val="auto"/>
              </w:rPr>
            </w:pPr>
            <w:r>
              <w:rPr>
                <w:rFonts w:ascii="Arial" w:cs="Arial" w:eastAsia="Arial" w:hAnsi="Arial"/>
                <w:sz w:val="13"/>
                <w:szCs w:val="13"/>
                <w:color w:val="auto"/>
                <w:w w:val="97"/>
              </w:rPr>
              <w:t>Yes No N/A</w:t>
            </w:r>
          </w:p>
        </w:tc>
      </w:tr>
      <w:tr>
        <w:trPr>
          <w:trHeight w:val="122"/>
        </w:trPr>
        <w:tc>
          <w:tcPr>
            <w:tcW w:w="60" w:type="dxa"/>
            <w:vAlign w:val="bottom"/>
            <w:tcBorders>
              <w:left w:val="single" w:sz="8" w:color="auto"/>
            </w:tcBorders>
          </w:tcPr>
          <w:p>
            <w:pPr>
              <w:spacing w:after="0"/>
              <w:rPr>
                <w:sz w:val="10"/>
                <w:szCs w:val="10"/>
                <w:color w:val="auto"/>
              </w:rPr>
            </w:pPr>
          </w:p>
        </w:tc>
        <w:tc>
          <w:tcPr>
            <w:tcW w:w="4760" w:type="dxa"/>
            <w:vAlign w:val="bottom"/>
            <w:tcBorders>
              <w:right w:val="single" w:sz="8" w:color="auto"/>
            </w:tcBorders>
            <w:gridSpan w:val="4"/>
          </w:tcPr>
          <w:p>
            <w:pPr>
              <w:spacing w:after="0" w:line="122" w:lineRule="exact"/>
              <w:rPr>
                <w:sz w:val="20"/>
                <w:szCs w:val="20"/>
                <w:color w:val="auto"/>
              </w:rPr>
            </w:pPr>
            <w:r>
              <w:rPr>
                <w:rFonts w:ascii="Arial" w:cs="Arial" w:eastAsia="Arial" w:hAnsi="Arial"/>
                <w:sz w:val="13"/>
                <w:szCs w:val="13"/>
                <w:color w:val="auto"/>
              </w:rPr>
              <w:t>Board approved projections</w:t>
            </w:r>
          </w:p>
        </w:tc>
        <w:tc>
          <w:tcPr>
            <w:tcW w:w="3120" w:type="dxa"/>
            <w:vAlign w:val="bottom"/>
            <w:tcBorders>
              <w:right w:val="single" w:sz="8" w:color="auto"/>
            </w:tcBorders>
            <w:gridSpan w:val="3"/>
          </w:tcPr>
          <w:p>
            <w:pPr>
              <w:ind w:left="40"/>
              <w:spacing w:after="0" w:line="122" w:lineRule="exact"/>
              <w:rPr>
                <w:sz w:val="20"/>
                <w:szCs w:val="20"/>
                <w:color w:val="auto"/>
              </w:rPr>
            </w:pPr>
            <w:r>
              <w:rPr>
                <w:rFonts w:ascii="Arial" w:cs="Arial" w:eastAsia="Arial" w:hAnsi="Arial"/>
                <w:sz w:val="13"/>
                <w:szCs w:val="13"/>
                <w:color w:val="auto"/>
              </w:rPr>
              <w:t>FYE within 30 days and within 30 days, as</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tcBorders>
              <w:right w:val="single" w:sz="8" w:color="auto"/>
            </w:tcBorders>
            <w:gridSpan w:val="2"/>
          </w:tcPr>
          <w:p>
            <w:pPr>
              <w:jc w:val="center"/>
              <w:ind w:right="1353"/>
              <w:spacing w:after="0" w:line="122" w:lineRule="exact"/>
              <w:rPr>
                <w:sz w:val="20"/>
                <w:szCs w:val="20"/>
                <w:color w:val="auto"/>
              </w:rPr>
            </w:pPr>
            <w:r>
              <w:rPr>
                <w:rFonts w:ascii="Arial" w:cs="Arial" w:eastAsia="Arial" w:hAnsi="Arial"/>
                <w:sz w:val="13"/>
                <w:szCs w:val="13"/>
                <w:color w:val="auto"/>
                <w:w w:val="89"/>
              </w:rPr>
              <w:t>Yes No</w:t>
            </w:r>
          </w:p>
        </w:tc>
      </w:tr>
      <w:tr>
        <w:trPr>
          <w:trHeight w:val="132"/>
        </w:trPr>
        <w:tc>
          <w:tcPr>
            <w:tcW w:w="6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3120" w:type="dxa"/>
            <w:vAlign w:val="bottom"/>
            <w:tcBorders>
              <w:right w:val="single" w:sz="8" w:color="auto"/>
            </w:tcBorders>
            <w:gridSpan w:val="3"/>
          </w:tcPr>
          <w:p>
            <w:pPr>
              <w:ind w:left="40"/>
              <w:spacing w:after="0" w:line="132" w:lineRule="exact"/>
              <w:rPr>
                <w:sz w:val="20"/>
                <w:szCs w:val="20"/>
                <w:color w:val="auto"/>
              </w:rPr>
            </w:pPr>
            <w:r>
              <w:rPr>
                <w:rFonts w:ascii="Arial" w:cs="Arial" w:eastAsia="Arial" w:hAnsi="Arial"/>
                <w:sz w:val="13"/>
                <w:szCs w:val="13"/>
                <w:color w:val="auto"/>
              </w:rPr>
              <w:t>amended/updated, in each case as approved by the</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r>
      <w:tr>
        <w:trPr>
          <w:trHeight w:val="172"/>
        </w:trPr>
        <w:tc>
          <w:tcPr>
            <w:tcW w:w="6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312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3"/>
                <w:szCs w:val="13"/>
                <w:color w:val="auto"/>
              </w:rPr>
              <w:t>Board</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r>
      <w:tr>
        <w:trPr>
          <w:trHeight w:val="324"/>
        </w:trPr>
        <w:tc>
          <w:tcPr>
            <w:tcW w:w="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Other Matters</w:t>
            </w:r>
          </w:p>
        </w:tc>
        <w:tc>
          <w:tcPr>
            <w:tcW w:w="3920" w:type="dxa"/>
            <w:vAlign w:val="bottom"/>
            <w:gridSpan w:val="3"/>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2"/>
        </w:trPr>
        <w:tc>
          <w:tcPr>
            <w:tcW w:w="60" w:type="dxa"/>
            <w:vAlign w:val="bottom"/>
          </w:tcPr>
          <w:p>
            <w:pPr>
              <w:spacing w:after="0"/>
              <w:rPr>
                <w:sz w:val="14"/>
                <w:szCs w:val="14"/>
                <w:color w:val="auto"/>
              </w:rPr>
            </w:pPr>
          </w:p>
        </w:tc>
        <w:tc>
          <w:tcPr>
            <w:tcW w:w="8420" w:type="dxa"/>
            <w:vAlign w:val="bottom"/>
            <w:gridSpan w:val="8"/>
          </w:tcPr>
          <w:p>
            <w:pPr>
              <w:spacing w:after="0"/>
              <w:rPr>
                <w:sz w:val="20"/>
                <w:szCs w:val="20"/>
                <w:color w:val="auto"/>
              </w:rPr>
            </w:pPr>
            <w:r>
              <w:rPr>
                <w:rFonts w:ascii="Arial" w:cs="Arial" w:eastAsia="Arial" w:hAnsi="Arial"/>
                <w:sz w:val="13"/>
                <w:szCs w:val="13"/>
                <w:color w:val="auto"/>
                <w:w w:val="97"/>
              </w:rPr>
              <w:t>Have there been any material amendments to the Operating Documents of Borrower? If yes, provide copies of any such amendments or changes with</w:t>
            </w:r>
          </w:p>
        </w:tc>
        <w:tc>
          <w:tcPr>
            <w:tcW w:w="680" w:type="dxa"/>
            <w:vAlign w:val="bottom"/>
          </w:tcPr>
          <w:p>
            <w:pPr>
              <w:ind w:left="360"/>
              <w:spacing w:after="0"/>
              <w:rPr>
                <w:sz w:val="20"/>
                <w:szCs w:val="20"/>
                <w:color w:val="auto"/>
              </w:rPr>
            </w:pPr>
            <w:r>
              <w:rPr>
                <w:rFonts w:ascii="Arial" w:cs="Arial" w:eastAsia="Arial" w:hAnsi="Arial"/>
                <w:sz w:val="13"/>
                <w:szCs w:val="13"/>
                <w:color w:val="auto"/>
              </w:rPr>
              <w:t>Yes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ind w:left="480"/>
              <w:spacing w:after="0"/>
              <w:rPr>
                <w:sz w:val="20"/>
                <w:szCs w:val="20"/>
                <w:color w:val="auto"/>
              </w:rPr>
            </w:pPr>
            <w:r>
              <w:rPr>
                <w:rFonts w:ascii="Arial" w:cs="Arial" w:eastAsia="Arial" w:hAnsi="Arial"/>
                <w:sz w:val="13"/>
                <w:szCs w:val="13"/>
                <w:color w:val="auto"/>
              </w:rPr>
              <w:t>No</w:t>
            </w:r>
          </w:p>
        </w:tc>
      </w:tr>
      <w:tr>
        <w:trPr>
          <w:trHeight w:val="172"/>
        </w:trPr>
        <w:tc>
          <w:tcPr>
            <w:tcW w:w="60" w:type="dxa"/>
            <w:vAlign w:val="bottom"/>
          </w:tcPr>
          <w:p>
            <w:pPr>
              <w:spacing w:after="0"/>
              <w:rPr>
                <w:sz w:val="14"/>
                <w:szCs w:val="14"/>
                <w:color w:val="auto"/>
              </w:rPr>
            </w:pPr>
          </w:p>
        </w:tc>
        <w:tc>
          <w:tcPr>
            <w:tcW w:w="4760" w:type="dxa"/>
            <w:vAlign w:val="bottom"/>
            <w:gridSpan w:val="4"/>
          </w:tcPr>
          <w:p>
            <w:pPr>
              <w:spacing w:after="0"/>
              <w:rPr>
                <w:sz w:val="20"/>
                <w:szCs w:val="20"/>
                <w:color w:val="auto"/>
              </w:rPr>
            </w:pPr>
            <w:r>
              <w:rPr>
                <w:rFonts w:ascii="Arial" w:cs="Arial" w:eastAsia="Arial" w:hAnsi="Arial"/>
                <w:sz w:val="13"/>
                <w:szCs w:val="13"/>
                <w:color w:val="auto"/>
              </w:rPr>
              <w:t>this Compliance Statement.</w:t>
            </w: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200" w:lineRule="exact"/>
        <w:rPr>
          <w:sz w:val="20"/>
          <w:szCs w:val="20"/>
          <w:color w:val="auto"/>
        </w:rPr>
      </w:pPr>
    </w:p>
    <w:p>
      <w:pPr>
        <w:spacing w:after="0" w:line="34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are the exceptions with respect to the statements above: (If no exceptions exist, state “No exceptions to note.”)</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A-1</w:t>
      </w:r>
    </w:p>
    <w:p>
      <w:pPr>
        <w:spacing w:after="0" w:line="228" w:lineRule="auto"/>
        <w:rPr>
          <w:sz w:val="20"/>
          <w:szCs w:val="20"/>
          <w:color w:val="auto"/>
        </w:rPr>
      </w:pPr>
      <w:r>
        <w:rPr>
          <w:rFonts w:ascii="Arial" w:cs="Arial" w:eastAsia="Arial" w:hAnsi="Arial"/>
          <w:sz w:val="12"/>
          <w:szCs w:val="12"/>
          <w:color w:val="auto"/>
        </w:rPr>
        <w:t>295054968.4</w:t>
      </w:r>
    </w:p>
    <w:p>
      <w:pPr>
        <w:spacing w:after="0" w:line="229" w:lineRule="auto"/>
        <w:rPr>
          <w:sz w:val="20"/>
          <w:szCs w:val="20"/>
          <w:color w:val="auto"/>
        </w:rPr>
      </w:pPr>
      <w:r>
        <w:rPr>
          <w:rFonts w:ascii="Arial" w:cs="Arial" w:eastAsia="Arial" w:hAnsi="Arial"/>
          <w:sz w:val="12"/>
          <w:szCs w:val="12"/>
          <w:color w:val="auto"/>
        </w:rPr>
        <w:t>354271-000499" "" 295054968.4</w:t>
      </w:r>
    </w:p>
    <w:p>
      <w:pPr>
        <w:spacing w:after="0"/>
        <w:rPr>
          <w:sz w:val="20"/>
          <w:szCs w:val="20"/>
          <w:color w:val="auto"/>
        </w:rPr>
      </w:pPr>
      <w:r>
        <w:rPr>
          <w:rFonts w:ascii="Arial" w:cs="Arial" w:eastAsia="Arial" w:hAnsi="Arial"/>
          <w:sz w:val="12"/>
          <w:szCs w:val="12"/>
          <w:color w:val="auto"/>
        </w:rPr>
        <w:t>354271-000499</w:t>
      </w:r>
    </w:p>
    <w:p>
      <w:pPr>
        <w:sectPr>
          <w:pgSz w:w="11900" w:h="16838" w:orient="portrait"/>
          <w:cols w:equalWidth="0" w:num="1">
            <w:col w:w="11300"/>
          </w:cols>
          <w:pgMar w:left="300" w:top="774" w:right="299" w:bottom="1440" w:gutter="0" w:footer="0" w:header="0"/>
        </w:sectPr>
      </w:pPr>
    </w:p>
    <w:bookmarkStart w:id="118" w:name="page119"/>
    <w:bookmarkEnd w:id="118"/>
    <w:tbl>
      <w:tblPr>
        <w:tblLayout w:type="fixed"/>
        <w:tblInd w:w="5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EXHIBIT B</w:t>
            </w:r>
          </w:p>
        </w:tc>
        <w:tc>
          <w:tcPr>
            <w:tcW w:w="49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LOAN PAYMENT/ADVANCE REQUEST FORM</w:t>
            </w:r>
          </w:p>
        </w:tc>
        <w:tc>
          <w:tcPr>
            <w:tcW w:w="38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6"/>
          </w:tcPr>
          <w:p>
            <w:pPr>
              <w:jc w:val="center"/>
              <w:ind w:right="3700"/>
              <w:spacing w:after="0"/>
              <w:rPr>
                <w:sz w:val="20"/>
                <w:szCs w:val="20"/>
                <w:color w:val="auto"/>
              </w:rPr>
            </w:pPr>
            <w:r>
              <w:rPr>
                <w:rFonts w:ascii="Arial" w:cs="Arial" w:eastAsia="Arial" w:hAnsi="Arial"/>
                <w:sz w:val="13"/>
                <w:szCs w:val="13"/>
                <w:b w:val="1"/>
                <w:bCs w:val="1"/>
                <w:color w:val="auto"/>
                <w:w w:val="91"/>
              </w:rPr>
              <w:t>Deadline for same day processing is Noon Pacific Time</w:t>
            </w:r>
          </w:p>
        </w:tc>
        <w:tc>
          <w:tcPr>
            <w:tcW w:w="0" w:type="dxa"/>
            <w:vAlign w:val="bottom"/>
          </w:tcPr>
          <w:p>
            <w:pPr>
              <w:spacing w:after="0"/>
              <w:rPr>
                <w:sz w:val="1"/>
                <w:szCs w:val="1"/>
                <w:color w:val="auto"/>
              </w:rPr>
            </w:pPr>
          </w:p>
        </w:tc>
      </w:tr>
      <w:tr>
        <w:trPr>
          <w:trHeight w:val="253"/>
        </w:trPr>
        <w:tc>
          <w:tcPr>
            <w:tcW w:w="3160" w:type="dxa"/>
            <w:vAlign w:val="bottom"/>
            <w:gridSpan w:val="7"/>
          </w:tcPr>
          <w:p>
            <w:pPr>
              <w:ind w:left="500"/>
              <w:spacing w:after="0"/>
              <w:rPr>
                <w:sz w:val="20"/>
                <w:szCs w:val="20"/>
                <w:color w:val="auto"/>
              </w:rPr>
            </w:pPr>
            <w:r>
              <w:rPr>
                <w:rFonts w:ascii="Arial" w:cs="Arial" w:eastAsia="Arial" w:hAnsi="Arial"/>
                <w:sz w:val="13"/>
                <w:szCs w:val="13"/>
                <w:color w:val="auto"/>
              </w:rPr>
              <w:t>fax to:  Date: _____________________</w:t>
            </w:r>
          </w:p>
        </w:tc>
        <w:tc>
          <w:tcPr>
            <w:tcW w:w="8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400" w:type="dxa"/>
            <w:vAlign w:val="bottom"/>
            <w:tcBorders>
              <w:left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Loan Payment:</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20" w:type="dxa"/>
            <w:vAlign w:val="bottom"/>
            <w:tcBorders>
              <w:right w:val="single" w:sz="8" w:color="auto"/>
            </w:tcBorders>
            <w:gridSpan w:val="5"/>
            <w:vMerge w:val="restart"/>
          </w:tcPr>
          <w:p>
            <w:pPr>
              <w:ind w:left="840"/>
              <w:spacing w:after="0"/>
              <w:rPr>
                <w:sz w:val="20"/>
                <w:szCs w:val="20"/>
                <w:color w:val="auto"/>
              </w:rPr>
            </w:pPr>
            <w:r>
              <w:rPr>
                <w:rFonts w:ascii="Arial" w:cs="Arial" w:eastAsia="Arial" w:hAnsi="Arial"/>
                <w:sz w:val="13"/>
                <w:szCs w:val="13"/>
                <w:color w:val="auto"/>
              </w:rPr>
              <w:t>SI-BONE, INC.</w:t>
            </w:r>
          </w:p>
        </w:tc>
        <w:tc>
          <w:tcPr>
            <w:tcW w:w="0" w:type="dxa"/>
            <w:vAlign w:val="bottom"/>
          </w:tcPr>
          <w:p>
            <w:pPr>
              <w:spacing w:after="0"/>
              <w:rPr>
                <w:sz w:val="1"/>
                <w:szCs w:val="1"/>
                <w:color w:val="auto"/>
              </w:rPr>
            </w:pPr>
          </w:p>
        </w:tc>
      </w:tr>
      <w:tr>
        <w:trPr>
          <w:trHeight w:val="162"/>
        </w:trPr>
        <w:tc>
          <w:tcPr>
            <w:tcW w:w="10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20" w:type="dxa"/>
            <w:vAlign w:val="bottom"/>
            <w:tcBorders>
              <w:right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60" w:type="dxa"/>
            <w:vAlign w:val="bottom"/>
            <w:tcBorders>
              <w:left w:val="single" w:sz="8" w:color="auto"/>
            </w:tcBorders>
            <w:gridSpan w:val="7"/>
          </w:tcPr>
          <w:p>
            <w:pPr>
              <w:ind w:left="60"/>
              <w:spacing w:after="0"/>
              <w:rPr>
                <w:sz w:val="20"/>
                <w:szCs w:val="20"/>
                <w:color w:val="auto"/>
              </w:rPr>
            </w:pPr>
            <w:r>
              <w:rPr>
                <w:rFonts w:ascii="Arial" w:cs="Arial" w:eastAsia="Arial" w:hAnsi="Arial"/>
                <w:sz w:val="13"/>
                <w:szCs w:val="13"/>
                <w:color w:val="auto"/>
                <w:w w:val="95"/>
              </w:rPr>
              <w:t>From Account #________________________________</w:t>
            </w:r>
          </w:p>
        </w:tc>
        <w:tc>
          <w:tcPr>
            <w:tcW w:w="7720" w:type="dxa"/>
            <w:vAlign w:val="bottom"/>
            <w:tcBorders>
              <w:right w:val="single" w:sz="8" w:color="auto"/>
            </w:tcBorders>
            <w:gridSpan w:val="7"/>
          </w:tcPr>
          <w:p>
            <w:pPr>
              <w:jc w:val="right"/>
              <w:ind w:right="4820"/>
              <w:spacing w:after="0"/>
              <w:rPr>
                <w:sz w:val="20"/>
                <w:szCs w:val="20"/>
                <w:color w:val="auto"/>
              </w:rPr>
            </w:pPr>
            <w:r>
              <w:rPr>
                <w:rFonts w:ascii="Arial" w:cs="Arial" w:eastAsia="Arial" w:hAnsi="Arial"/>
                <w:sz w:val="13"/>
                <w:szCs w:val="13"/>
                <w:color w:val="auto"/>
                <w:w w:val="95"/>
              </w:rPr>
              <w:t>To Account ________________________________</w:t>
            </w:r>
          </w:p>
        </w:tc>
        <w:tc>
          <w:tcPr>
            <w:tcW w:w="0" w:type="dxa"/>
            <w:vAlign w:val="bottom"/>
          </w:tcPr>
          <w:p>
            <w:pPr>
              <w:spacing w:after="0"/>
              <w:rPr>
                <w:sz w:val="1"/>
                <w:szCs w:val="1"/>
                <w:color w:val="auto"/>
              </w:rPr>
            </w:pPr>
          </w:p>
        </w:tc>
      </w:tr>
      <w:tr>
        <w:trPr>
          <w:trHeight w:val="172"/>
        </w:trPr>
        <w:tc>
          <w:tcPr>
            <w:tcW w:w="1040" w:type="dxa"/>
            <w:vAlign w:val="bottom"/>
            <w:tcBorders>
              <w:left w:val="single" w:sz="8" w:color="auto"/>
            </w:tcBorders>
          </w:tcPr>
          <w:p>
            <w:pPr>
              <w:spacing w:after="0"/>
              <w:rPr>
                <w:sz w:val="14"/>
                <w:szCs w:val="14"/>
                <w:color w:val="auto"/>
              </w:rPr>
            </w:pPr>
          </w:p>
        </w:tc>
        <w:tc>
          <w:tcPr>
            <w:tcW w:w="9840" w:type="dxa"/>
            <w:vAlign w:val="bottom"/>
            <w:tcBorders>
              <w:right w:val="single" w:sz="8" w:color="auto"/>
            </w:tcBorders>
            <w:gridSpan w:val="13"/>
          </w:tcPr>
          <w:p>
            <w:pPr>
              <w:ind w:left="40"/>
              <w:spacing w:after="0"/>
              <w:rPr>
                <w:sz w:val="20"/>
                <w:szCs w:val="20"/>
                <w:color w:val="auto"/>
              </w:rPr>
            </w:pPr>
            <w:r>
              <w:rPr>
                <w:rFonts w:ascii="Arial" w:cs="Arial" w:eastAsia="Arial" w:hAnsi="Arial"/>
                <w:sz w:val="13"/>
                <w:szCs w:val="13"/>
                <w:color w:val="auto"/>
              </w:rPr>
              <w:t>(Deposit Account #)  (Loan Account #)</w:t>
            </w:r>
          </w:p>
        </w:tc>
        <w:tc>
          <w:tcPr>
            <w:tcW w:w="0" w:type="dxa"/>
            <w:vAlign w:val="bottom"/>
          </w:tcPr>
          <w:p>
            <w:pPr>
              <w:spacing w:after="0"/>
              <w:rPr>
                <w:sz w:val="1"/>
                <w:szCs w:val="1"/>
                <w:color w:val="auto"/>
              </w:rPr>
            </w:pPr>
          </w:p>
        </w:tc>
      </w:tr>
      <w:tr>
        <w:trPr>
          <w:trHeight w:val="243"/>
        </w:trPr>
        <w:tc>
          <w:tcPr>
            <w:tcW w:w="3160" w:type="dxa"/>
            <w:vAlign w:val="bottom"/>
            <w:tcBorders>
              <w:left w:val="single" w:sz="8" w:color="auto"/>
            </w:tcBorders>
            <w:gridSpan w:val="7"/>
          </w:tcPr>
          <w:p>
            <w:pPr>
              <w:ind w:left="60"/>
              <w:spacing w:after="0"/>
              <w:rPr>
                <w:sz w:val="20"/>
                <w:szCs w:val="20"/>
                <w:color w:val="auto"/>
              </w:rPr>
            </w:pPr>
            <w:r>
              <w:rPr>
                <w:rFonts w:ascii="Arial" w:cs="Arial" w:eastAsia="Arial" w:hAnsi="Arial"/>
                <w:sz w:val="13"/>
                <w:szCs w:val="13"/>
                <w:color w:val="auto"/>
                <w:w w:val="95"/>
              </w:rPr>
              <w:t>Principal $____________________________________</w:t>
            </w:r>
          </w:p>
        </w:tc>
        <w:tc>
          <w:tcPr>
            <w:tcW w:w="7720" w:type="dxa"/>
            <w:vAlign w:val="bottom"/>
            <w:tcBorders>
              <w:right w:val="single" w:sz="8" w:color="auto"/>
            </w:tcBorders>
            <w:gridSpan w:val="7"/>
          </w:tcPr>
          <w:p>
            <w:pPr>
              <w:jc w:val="right"/>
              <w:ind w:right="4820"/>
              <w:spacing w:after="0"/>
              <w:rPr>
                <w:sz w:val="20"/>
                <w:szCs w:val="20"/>
                <w:color w:val="auto"/>
              </w:rPr>
            </w:pPr>
            <w:r>
              <w:rPr>
                <w:rFonts w:ascii="Arial" w:cs="Arial" w:eastAsia="Arial" w:hAnsi="Arial"/>
                <w:sz w:val="13"/>
                <w:szCs w:val="13"/>
                <w:color w:val="auto"/>
                <w:w w:val="94"/>
              </w:rPr>
              <w:t>and/or Interest $_____________________________</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tcBorders>
            <w:gridSpan w:val="4"/>
          </w:tcPr>
          <w:p>
            <w:pPr>
              <w:ind w:left="60"/>
              <w:spacing w:after="0"/>
              <w:rPr>
                <w:sz w:val="20"/>
                <w:szCs w:val="20"/>
                <w:color w:val="auto"/>
              </w:rPr>
            </w:pPr>
            <w:r>
              <w:rPr>
                <w:rFonts w:ascii="Arial" w:cs="Arial" w:eastAsia="Arial" w:hAnsi="Arial"/>
                <w:sz w:val="13"/>
                <w:szCs w:val="13"/>
                <w:color w:val="auto"/>
              </w:rPr>
              <w:t>Authorized Signature:</w:t>
            </w:r>
          </w:p>
        </w:tc>
        <w:tc>
          <w:tcPr>
            <w:tcW w:w="1760" w:type="dxa"/>
            <w:vAlign w:val="bottom"/>
            <w:gridSpan w:val="3"/>
          </w:tcPr>
          <w:p>
            <w:pPr>
              <w:ind w:left="140"/>
              <w:spacing w:after="0"/>
              <w:rPr>
                <w:sz w:val="20"/>
                <w:szCs w:val="20"/>
                <w:color w:val="auto"/>
              </w:rPr>
            </w:pPr>
            <w:r>
              <w:rPr>
                <w:rFonts w:ascii="Arial" w:cs="Arial" w:eastAsia="Arial" w:hAnsi="Arial"/>
                <w:sz w:val="13"/>
                <w:szCs w:val="13"/>
                <w:color w:val="auto"/>
              </w:rPr>
              <w:t>Phone Number: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260" w:type="dxa"/>
            <w:vAlign w:val="bottom"/>
            <w:tcBorders>
              <w:left w:val="single" w:sz="8" w:color="auto"/>
            </w:tcBorders>
            <w:gridSpan w:val="3"/>
          </w:tcPr>
          <w:p>
            <w:pPr>
              <w:ind w:left="60"/>
              <w:spacing w:after="0" w:line="142" w:lineRule="exact"/>
              <w:rPr>
                <w:sz w:val="20"/>
                <w:szCs w:val="20"/>
                <w:color w:val="auto"/>
              </w:rPr>
            </w:pPr>
            <w:r>
              <w:rPr>
                <w:rFonts w:ascii="Arial" w:cs="Arial" w:eastAsia="Arial" w:hAnsi="Arial"/>
                <w:sz w:val="13"/>
                <w:szCs w:val="13"/>
                <w:color w:val="auto"/>
              </w:rPr>
              <w:t>Print Name/Title:</w:t>
            </w:r>
          </w:p>
        </w:tc>
        <w:tc>
          <w:tcPr>
            <w:tcW w:w="14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40" w:type="dxa"/>
            <w:vAlign w:val="bottom"/>
            <w:tcBorders>
              <w:left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218440</wp:posOffset>
            </wp:positionV>
            <wp:extent cx="6858000" cy="1529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858000" cy="1529715"/>
                    </a:xfrm>
                    <a:prstGeom prst="rect">
                      <a:avLst/>
                    </a:prstGeom>
                    <a:noFill/>
                  </pic:spPr>
                </pic:pic>
              </a:graphicData>
            </a:graphic>
          </wp:anchor>
        </w:drawing>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Loan Advance:</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Complete </w:t>
      </w:r>
      <w:r>
        <w:rPr>
          <w:rFonts w:ascii="Arial" w:cs="Arial" w:eastAsia="Arial" w:hAnsi="Arial"/>
          <w:sz w:val="13"/>
          <w:szCs w:val="13"/>
          <w:i w:val="1"/>
          <w:iCs w:val="1"/>
          <w:color w:val="auto"/>
        </w:rPr>
        <w:t>Outgoing Wire Request</w:t>
      </w:r>
      <w:r>
        <w:rPr>
          <w:rFonts w:ascii="Arial" w:cs="Arial" w:eastAsia="Arial" w:hAnsi="Arial"/>
          <w:sz w:val="13"/>
          <w:szCs w:val="13"/>
          <w:color w:val="auto"/>
        </w:rPr>
        <w:t xml:space="preserve"> section below if all or a portion of the funds from this loan advance are for an outgoing wire.</w:t>
      </w:r>
    </w:p>
    <w:p>
      <w:pPr>
        <w:spacing w:after="0" w:line="93" w:lineRule="exact"/>
        <w:rPr>
          <w:sz w:val="20"/>
          <w:szCs w:val="20"/>
          <w:color w:val="auto"/>
        </w:rPr>
      </w:pPr>
    </w:p>
    <w:p>
      <w:pPr>
        <w:ind w:left="180"/>
        <w:spacing w:after="0"/>
        <w:tabs>
          <w:tab w:leader="none" w:pos="3340" w:val="left"/>
        </w:tabs>
        <w:rPr>
          <w:sz w:val="20"/>
          <w:szCs w:val="20"/>
          <w:color w:val="auto"/>
        </w:rPr>
      </w:pPr>
      <w:r>
        <w:rPr>
          <w:rFonts w:ascii="Arial" w:cs="Arial" w:eastAsia="Arial" w:hAnsi="Arial"/>
          <w:sz w:val="13"/>
          <w:szCs w:val="13"/>
          <w:color w:val="auto"/>
        </w:rPr>
        <w:t>From Account #________________________________</w:t>
      </w:r>
      <w:r>
        <w:rPr>
          <w:sz w:val="20"/>
          <w:szCs w:val="20"/>
          <w:color w:val="auto"/>
        </w:rPr>
        <w:tab/>
      </w:r>
      <w:r>
        <w:rPr>
          <w:rFonts w:ascii="Arial" w:cs="Arial" w:eastAsia="Arial" w:hAnsi="Arial"/>
          <w:sz w:val="12"/>
          <w:szCs w:val="12"/>
          <w:color w:val="auto"/>
        </w:rPr>
        <w:t>To Account #__________________________________________</w:t>
      </w:r>
    </w:p>
    <w:p>
      <w:pPr>
        <w:spacing w:after="0" w:line="23" w:lineRule="exact"/>
        <w:rPr>
          <w:sz w:val="20"/>
          <w:szCs w:val="20"/>
          <w:color w:val="auto"/>
        </w:rPr>
      </w:pPr>
    </w:p>
    <w:p>
      <w:pPr>
        <w:ind w:left="1140"/>
        <w:spacing w:after="0"/>
        <w:tabs>
          <w:tab w:leader="none" w:pos="2620" w:val="left"/>
        </w:tabs>
        <w:rPr>
          <w:sz w:val="20"/>
          <w:szCs w:val="20"/>
          <w:color w:val="auto"/>
        </w:rPr>
      </w:pPr>
      <w:r>
        <w:rPr>
          <w:rFonts w:ascii="Arial" w:cs="Arial" w:eastAsia="Arial" w:hAnsi="Arial"/>
          <w:sz w:val="13"/>
          <w:szCs w:val="13"/>
          <w:color w:val="auto"/>
        </w:rPr>
        <w:t>(Loan Account #)</w:t>
      </w:r>
      <w:r>
        <w:rPr>
          <w:sz w:val="20"/>
          <w:szCs w:val="20"/>
          <w:color w:val="auto"/>
        </w:rPr>
        <w:tab/>
      </w:r>
      <w:r>
        <w:rPr>
          <w:rFonts w:ascii="Arial" w:cs="Arial" w:eastAsia="Arial" w:hAnsi="Arial"/>
          <w:sz w:val="12"/>
          <w:szCs w:val="12"/>
          <w:color w:val="auto"/>
        </w:rPr>
        <w:t>(Deposit Account #)</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Amount of Term Loan Advance $___________________________</w:t>
      </w:r>
    </w:p>
    <w:p>
      <w:pPr>
        <w:spacing w:after="0" w:line="93" w:lineRule="exact"/>
        <w:rPr>
          <w:sz w:val="20"/>
          <w:szCs w:val="20"/>
          <w:color w:val="auto"/>
        </w:rPr>
      </w:pPr>
    </w:p>
    <w:p>
      <w:pPr>
        <w:jc w:val="both"/>
        <w:ind w:left="180" w:right="40"/>
        <w:spacing w:after="0" w:line="278" w:lineRule="auto"/>
        <w:rPr>
          <w:sz w:val="20"/>
          <w:szCs w:val="20"/>
          <w:color w:val="auto"/>
        </w:rPr>
      </w:pPr>
      <w:r>
        <w:rPr>
          <w:rFonts w:ascii="Arial" w:cs="Arial" w:eastAsia="Arial" w:hAnsi="Arial"/>
          <w:sz w:val="13"/>
          <w:szCs w:val="13"/>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p>
      <w:pPr>
        <w:spacing w:after="0" w:line="128"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13"/>
          <w:szCs w:val="13"/>
          <w:color w:val="auto"/>
        </w:rPr>
        <w:t>Authorized Signature:</w:t>
      </w:r>
      <w:r>
        <w:rPr>
          <w:sz w:val="20"/>
          <w:szCs w:val="20"/>
          <w:color w:val="auto"/>
        </w:rPr>
        <w:tab/>
      </w:r>
      <w:r>
        <w:rPr>
          <w:rFonts w:ascii="Arial" w:cs="Arial" w:eastAsia="Arial" w:hAnsi="Arial"/>
          <w:sz w:val="12"/>
          <w:szCs w:val="12"/>
          <w:color w:val="auto"/>
        </w:rPr>
        <w:t>Phone Number:</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Print 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295054968.4</w:t>
      </w:r>
    </w:p>
    <w:p>
      <w:pPr>
        <w:spacing w:after="0" w:line="235" w:lineRule="auto"/>
        <w:rPr>
          <w:sz w:val="20"/>
          <w:szCs w:val="20"/>
          <w:color w:val="auto"/>
        </w:rPr>
      </w:pPr>
      <w:r>
        <w:rPr>
          <w:rFonts w:ascii="Arial" w:cs="Arial" w:eastAsia="Arial" w:hAnsi="Arial"/>
          <w:sz w:val="12"/>
          <w:szCs w:val="12"/>
          <w:color w:val="auto"/>
        </w:rPr>
        <w:t>354271-000499" "" 295054968.4</w:t>
      </w:r>
    </w:p>
    <w:p>
      <w:pPr>
        <w:spacing w:after="0"/>
        <w:rPr>
          <w:sz w:val="20"/>
          <w:szCs w:val="20"/>
          <w:color w:val="auto"/>
        </w:rPr>
      </w:pPr>
      <w:r>
        <w:rPr>
          <w:rFonts w:ascii="Arial" w:cs="Arial" w:eastAsia="Arial" w:hAnsi="Arial"/>
          <w:sz w:val="12"/>
          <w:szCs w:val="12"/>
          <w:color w:val="auto"/>
        </w:rPr>
        <w:t>354271-000499</w:t>
      </w:r>
    </w:p>
    <w:p>
      <w:pPr>
        <w:sectPr>
          <w:pgSz w:w="11900" w:h="16838" w:orient="portrait"/>
          <w:cols w:equalWidth="0" w:num="1">
            <w:col w:w="10920"/>
          </w:cols>
          <w:pgMar w:left="300" w:top="769" w:right="679" w:bottom="1440" w:gutter="0" w:footer="0" w:header="0"/>
        </w:sectPr>
      </w:pPr>
    </w:p>
    <w:bookmarkStart w:id="119" w:name="page120"/>
    <w:bookmarkEnd w:id="119"/>
    <w:p>
      <w:pPr>
        <w:ind w:left="1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513080</wp:posOffset>
            </wp:positionV>
            <wp:extent cx="6903085" cy="2044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903085" cy="2044065"/>
                    </a:xfrm>
                    <a:prstGeom prst="rect">
                      <a:avLst/>
                    </a:prstGeom>
                    <a:noFill/>
                  </pic:spPr>
                </pic:pic>
              </a:graphicData>
            </a:graphic>
          </wp:anchor>
        </w:drawing>
        <w:t>outgoing wire request:</w:t>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Complete only if all or a portion of funds from the loan advance above is to be wired.</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3"/>
          <w:szCs w:val="13"/>
          <w:color w:val="auto"/>
        </w:rPr>
        <w:t>Deadline for same day processing is noon, Pacific Time</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3040" w:type="dxa"/>
            <w:vAlign w:val="bottom"/>
            <w:gridSpan w:val="11"/>
          </w:tcPr>
          <w:p>
            <w:pPr>
              <w:spacing w:after="0"/>
              <w:rPr>
                <w:sz w:val="20"/>
                <w:szCs w:val="20"/>
                <w:color w:val="auto"/>
              </w:rPr>
            </w:pPr>
            <w:r>
              <w:rPr>
                <w:rFonts w:ascii="Arial" w:cs="Arial" w:eastAsia="Arial" w:hAnsi="Arial"/>
                <w:sz w:val="13"/>
                <w:szCs w:val="13"/>
                <w:color w:val="auto"/>
                <w:w w:val="96"/>
              </w:rPr>
              <w:t>Beneficiary Name: ____________________________</w:t>
            </w:r>
          </w:p>
        </w:tc>
        <w:tc>
          <w:tcPr>
            <w:tcW w:w="2160" w:type="dxa"/>
            <w:vAlign w:val="bottom"/>
            <w:gridSpan w:val="6"/>
          </w:tcPr>
          <w:p>
            <w:pPr>
              <w:jc w:val="center"/>
              <w:ind w:right="1060"/>
              <w:spacing w:after="0"/>
              <w:rPr>
                <w:sz w:val="20"/>
                <w:szCs w:val="20"/>
                <w:color w:val="auto"/>
              </w:rPr>
            </w:pPr>
            <w:r>
              <w:rPr>
                <w:rFonts w:ascii="Arial" w:cs="Arial" w:eastAsia="Arial" w:hAnsi="Arial"/>
                <w:sz w:val="13"/>
                <w:szCs w:val="13"/>
                <w:color w:val="auto"/>
                <w:w w:val="97"/>
              </w:rPr>
              <w:t>Amount of Wire: $</w:t>
            </w:r>
          </w:p>
        </w:tc>
      </w:tr>
      <w:tr>
        <w:trPr>
          <w:trHeight w:val="142"/>
        </w:trPr>
        <w:tc>
          <w:tcPr>
            <w:tcW w:w="3040" w:type="dxa"/>
            <w:vAlign w:val="bottom"/>
            <w:gridSpan w:val="11"/>
          </w:tcPr>
          <w:p>
            <w:pPr>
              <w:spacing w:after="0" w:line="142" w:lineRule="exact"/>
              <w:rPr>
                <w:sz w:val="20"/>
                <w:szCs w:val="20"/>
                <w:color w:val="auto"/>
              </w:rPr>
            </w:pPr>
            <w:r>
              <w:rPr>
                <w:rFonts w:ascii="Arial" w:cs="Arial" w:eastAsia="Arial" w:hAnsi="Arial"/>
                <w:sz w:val="13"/>
                <w:szCs w:val="13"/>
                <w:color w:val="auto"/>
                <w:w w:val="96"/>
              </w:rPr>
              <w:t>Beneficiary Bank: _____________________________</w:t>
            </w:r>
          </w:p>
        </w:tc>
        <w:tc>
          <w:tcPr>
            <w:tcW w:w="1060" w:type="dxa"/>
            <w:vAlign w:val="bottom"/>
          </w:tcPr>
          <w:p>
            <w:pPr>
              <w:jc w:val="center"/>
              <w:spacing w:after="0" w:line="142" w:lineRule="exact"/>
              <w:rPr>
                <w:sz w:val="20"/>
                <w:szCs w:val="20"/>
                <w:color w:val="auto"/>
              </w:rPr>
            </w:pPr>
            <w:r>
              <w:rPr>
                <w:rFonts w:ascii="Arial" w:cs="Arial" w:eastAsia="Arial" w:hAnsi="Arial"/>
                <w:sz w:val="13"/>
                <w:szCs w:val="13"/>
                <w:color w:val="auto"/>
                <w:w w:val="97"/>
              </w:rPr>
              <w:t>Account Number:</w:t>
            </w:r>
          </w:p>
        </w:tc>
        <w:tc>
          <w:tcPr>
            <w:tcW w:w="140" w:type="dxa"/>
            <w:vAlign w:val="bottom"/>
            <w:tcBorders>
              <w:top w:val="single" w:sz="8" w:color="auto"/>
            </w:tcBorders>
            <w:gridSpan w:val="2"/>
          </w:tcPr>
          <w:p>
            <w:pPr>
              <w:spacing w:after="0"/>
              <w:rPr>
                <w:sz w:val="12"/>
                <w:szCs w:val="12"/>
                <w:color w:val="auto"/>
              </w:rPr>
            </w:pPr>
          </w:p>
        </w:tc>
        <w:tc>
          <w:tcPr>
            <w:tcW w:w="960" w:type="dxa"/>
            <w:vAlign w:val="bottom"/>
            <w:gridSpan w:val="3"/>
          </w:tcPr>
          <w:p>
            <w:pPr>
              <w:spacing w:after="0"/>
              <w:rPr>
                <w:sz w:val="12"/>
                <w:szCs w:val="12"/>
                <w:color w:val="auto"/>
              </w:rPr>
            </w:pPr>
          </w:p>
        </w:tc>
      </w:tr>
      <w:tr>
        <w:trPr>
          <w:trHeight w:val="142"/>
        </w:trPr>
        <w:tc>
          <w:tcPr>
            <w:tcW w:w="840" w:type="dxa"/>
            <w:vAlign w:val="bottom"/>
          </w:tcPr>
          <w:p>
            <w:pPr>
              <w:spacing w:after="0" w:line="142" w:lineRule="exact"/>
              <w:rPr>
                <w:sz w:val="20"/>
                <w:szCs w:val="20"/>
                <w:color w:val="auto"/>
              </w:rPr>
            </w:pPr>
            <w:r>
              <w:rPr>
                <w:rFonts w:ascii="Arial" w:cs="Arial" w:eastAsia="Arial" w:hAnsi="Arial"/>
                <w:sz w:val="13"/>
                <w:szCs w:val="13"/>
                <w:color w:val="auto"/>
                <w:w w:val="96"/>
              </w:rPr>
              <w:t>City and State:</w:t>
            </w:r>
          </w:p>
        </w:tc>
        <w:tc>
          <w:tcPr>
            <w:tcW w:w="140" w:type="dxa"/>
            <w:vAlign w:val="bottom"/>
            <w:tcBorders>
              <w:bottom w:val="single" w:sz="8" w:color="auto"/>
            </w:tcBorders>
          </w:tcPr>
          <w:p>
            <w:pPr>
              <w:spacing w:after="0"/>
              <w:rPr>
                <w:sz w:val="12"/>
                <w:szCs w:val="12"/>
                <w:color w:val="auto"/>
              </w:rPr>
            </w:pPr>
          </w:p>
        </w:tc>
        <w:tc>
          <w:tcPr>
            <w:tcW w:w="2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23"/>
        </w:trPr>
        <w:tc>
          <w:tcPr>
            <w:tcW w:w="1940" w:type="dxa"/>
            <w:vAlign w:val="bottom"/>
            <w:gridSpan w:val="7"/>
          </w:tcPr>
          <w:p>
            <w:pPr>
              <w:spacing w:after="0"/>
              <w:rPr>
                <w:sz w:val="20"/>
                <w:szCs w:val="20"/>
                <w:color w:val="auto"/>
              </w:rPr>
            </w:pPr>
            <w:r>
              <w:rPr>
                <w:rFonts w:ascii="Arial" w:cs="Arial" w:eastAsia="Arial" w:hAnsi="Arial"/>
                <w:sz w:val="13"/>
                <w:szCs w:val="13"/>
                <w:color w:val="auto"/>
                <w:w w:val="99"/>
              </w:rPr>
              <w:t>Beneficiary Bank Transit (ABA) #:</w:t>
            </w:r>
          </w:p>
        </w:tc>
        <w:tc>
          <w:tcPr>
            <w:tcW w:w="140" w:type="dxa"/>
            <w:vAlign w:val="bottom"/>
            <w:tcBorders>
              <w:bottom w:val="single" w:sz="8" w:color="auto"/>
            </w:tcBorders>
          </w:tcPr>
          <w:p>
            <w:pPr>
              <w:spacing w:after="0"/>
              <w:rPr>
                <w:sz w:val="19"/>
                <w:szCs w:val="19"/>
                <w:color w:val="auto"/>
              </w:rPr>
            </w:pPr>
          </w:p>
        </w:tc>
        <w:tc>
          <w:tcPr>
            <w:tcW w:w="2760" w:type="dxa"/>
            <w:vAlign w:val="bottom"/>
            <w:gridSpan w:val="7"/>
          </w:tcPr>
          <w:p>
            <w:pPr>
              <w:ind w:left="140"/>
              <w:spacing w:after="0"/>
              <w:rPr>
                <w:sz w:val="20"/>
                <w:szCs w:val="20"/>
                <w:color w:val="auto"/>
              </w:rPr>
            </w:pPr>
            <w:r>
              <w:rPr>
                <w:rFonts w:ascii="Arial" w:cs="Arial" w:eastAsia="Arial" w:hAnsi="Arial"/>
                <w:sz w:val="13"/>
                <w:szCs w:val="13"/>
                <w:color w:val="auto"/>
                <w:w w:val="96"/>
              </w:rPr>
              <w:t>Beneficiary Bank Code (Swift, Sort, Chip, etc.):</w:t>
            </w: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172"/>
        </w:trPr>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6"/>
          </w:tcPr>
          <w:p>
            <w:pPr>
              <w:ind w:left="420"/>
              <w:spacing w:after="0"/>
              <w:rPr>
                <w:sz w:val="20"/>
                <w:szCs w:val="20"/>
                <w:color w:val="auto"/>
              </w:rPr>
            </w:pPr>
            <w:r>
              <w:rPr>
                <w:rFonts w:ascii="Arial" w:cs="Arial" w:eastAsia="Arial" w:hAnsi="Arial"/>
                <w:sz w:val="13"/>
                <w:szCs w:val="13"/>
                <w:b w:val="1"/>
                <w:bCs w:val="1"/>
                <w:color w:val="auto"/>
                <w:w w:val="97"/>
              </w:rPr>
              <w:t>(For International Wire Only)</w:t>
            </w:r>
          </w:p>
        </w:tc>
      </w:tr>
      <w:tr>
        <w:trPr>
          <w:trHeight w:val="213"/>
        </w:trPr>
        <w:tc>
          <w:tcPr>
            <w:tcW w:w="1100" w:type="dxa"/>
            <w:vAlign w:val="bottom"/>
            <w:gridSpan w:val="3"/>
          </w:tcPr>
          <w:p>
            <w:pPr>
              <w:spacing w:after="0"/>
              <w:rPr>
                <w:sz w:val="20"/>
                <w:szCs w:val="20"/>
                <w:color w:val="auto"/>
              </w:rPr>
            </w:pPr>
            <w:r>
              <w:rPr>
                <w:rFonts w:ascii="Arial" w:cs="Arial" w:eastAsia="Arial" w:hAnsi="Arial"/>
                <w:sz w:val="13"/>
                <w:szCs w:val="13"/>
                <w:color w:val="auto"/>
                <w:w w:val="98"/>
              </w:rPr>
              <w:t>Intermediary Bank:</w:t>
            </w:r>
          </w:p>
        </w:tc>
        <w:tc>
          <w:tcPr>
            <w:tcW w:w="120" w:type="dxa"/>
            <w:vAlign w:val="bottom"/>
            <w:tcBorders>
              <w:bottom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color w:val="auto"/>
              </w:rPr>
              <w:t>Transit (ABA) #:</w:t>
            </w:r>
          </w:p>
        </w:tc>
        <w:tc>
          <w:tcPr>
            <w:tcW w:w="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42"/>
        </w:trPr>
        <w:tc>
          <w:tcPr>
            <w:tcW w:w="1200" w:type="dxa"/>
            <w:vAlign w:val="bottom"/>
            <w:gridSpan w:val="4"/>
          </w:tcPr>
          <w:p>
            <w:pPr>
              <w:spacing w:after="0" w:line="142" w:lineRule="exact"/>
              <w:rPr>
                <w:sz w:val="20"/>
                <w:szCs w:val="20"/>
                <w:color w:val="auto"/>
              </w:rPr>
            </w:pPr>
            <w:r>
              <w:rPr>
                <w:rFonts w:ascii="Arial" w:cs="Arial" w:eastAsia="Arial" w:hAnsi="Arial"/>
                <w:sz w:val="13"/>
                <w:szCs w:val="13"/>
                <w:color w:val="auto"/>
                <w:w w:val="97"/>
              </w:rPr>
              <w:t>For Further Credit to:</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23"/>
        </w:trPr>
        <w:tc>
          <w:tcPr>
            <w:tcW w:w="1100" w:type="dxa"/>
            <w:vAlign w:val="bottom"/>
            <w:gridSpan w:val="3"/>
          </w:tcPr>
          <w:p>
            <w:pPr>
              <w:spacing w:after="0"/>
              <w:rPr>
                <w:sz w:val="20"/>
                <w:szCs w:val="20"/>
                <w:color w:val="auto"/>
              </w:rPr>
            </w:pPr>
            <w:r>
              <w:rPr>
                <w:rFonts w:ascii="Arial" w:cs="Arial" w:eastAsia="Arial" w:hAnsi="Arial"/>
                <w:sz w:val="13"/>
                <w:szCs w:val="13"/>
                <w:color w:val="auto"/>
                <w:w w:val="98"/>
              </w:rPr>
              <w:t>Special Instruction:</w:t>
            </w:r>
          </w:p>
        </w:tc>
        <w:tc>
          <w:tcPr>
            <w:tcW w:w="120" w:type="dxa"/>
            <w:vAlign w:val="bottom"/>
            <w:tcBorders>
              <w:bottom w:val="single" w:sz="8" w:color="auto"/>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90" w:lineRule="exact"/>
        <w:rPr>
          <w:sz w:val="20"/>
          <w:szCs w:val="20"/>
          <w:color w:val="auto"/>
        </w:rPr>
      </w:pPr>
    </w:p>
    <w:p>
      <w:pPr>
        <w:ind w:left="100"/>
        <w:spacing w:after="0" w:line="296" w:lineRule="auto"/>
        <w:rPr>
          <w:sz w:val="20"/>
          <w:szCs w:val="20"/>
          <w:color w:val="auto"/>
        </w:rPr>
      </w:pPr>
      <w:r>
        <w:rPr>
          <w:rFonts w:ascii="Arial" w:cs="Arial" w:eastAsia="Arial" w:hAnsi="Arial"/>
          <w:sz w:val="13"/>
          <w:szCs w:val="13"/>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tbl>
      <w:tblPr>
        <w:tblLayout w:type="fixed"/>
        <w:tblInd w:w="100" w:type="dxa"/>
        <w:tblCellMar>
          <w:top w:w="0" w:type="dxa"/>
          <w:left w:w="0" w:type="dxa"/>
          <w:bottom w:w="0" w:type="dxa"/>
          <w:right w:w="0" w:type="dxa"/>
        </w:tblCellMar>
      </w:tblPr>
      <w:tr>
        <w:trPr>
          <w:trHeight w:val="178"/>
        </w:trPr>
        <w:tc>
          <w:tcPr>
            <w:tcW w:w="1220" w:type="dxa"/>
            <w:vAlign w:val="bottom"/>
            <w:gridSpan w:val="5"/>
          </w:tcPr>
          <w:p>
            <w:pPr>
              <w:spacing w:after="0"/>
              <w:rPr>
                <w:sz w:val="20"/>
                <w:szCs w:val="20"/>
                <w:color w:val="auto"/>
              </w:rPr>
            </w:pPr>
            <w:r>
              <w:rPr>
                <w:rFonts w:ascii="Arial" w:cs="Arial" w:eastAsia="Arial" w:hAnsi="Arial"/>
                <w:sz w:val="13"/>
                <w:szCs w:val="13"/>
                <w:color w:val="auto"/>
                <w:w w:val="94"/>
              </w:rPr>
              <w:t>Authorized Signature:</w:t>
            </w:r>
          </w:p>
        </w:tc>
        <w:tc>
          <w:tcPr>
            <w:tcW w:w="120" w:type="dxa"/>
            <w:vAlign w:val="bottom"/>
          </w:tcPr>
          <w:p>
            <w:pPr>
              <w:spacing w:after="0"/>
              <w:rPr>
                <w:sz w:val="15"/>
                <w:szCs w:val="15"/>
                <w:color w:val="auto"/>
              </w:rPr>
            </w:pPr>
          </w:p>
        </w:tc>
        <w:tc>
          <w:tcPr>
            <w:tcW w:w="1700" w:type="dxa"/>
            <w:vAlign w:val="bottom"/>
            <w:gridSpan w:val="6"/>
          </w:tcPr>
          <w:p>
            <w:pPr>
              <w:ind w:left="140"/>
              <w:spacing w:after="0" w:line="179" w:lineRule="exact"/>
              <w:rPr>
                <w:sz w:val="20"/>
                <w:szCs w:val="20"/>
                <w:color w:val="auto"/>
              </w:rPr>
            </w:pPr>
            <w:r>
              <w:rPr>
                <w:rFonts w:ascii="Arial" w:cs="Arial" w:eastAsia="Arial" w:hAnsi="Arial"/>
                <w:sz w:val="13"/>
                <w:szCs w:val="13"/>
                <w:color w:val="auto"/>
              </w:rPr>
              <w:t>2</w:t>
            </w:r>
            <w:r>
              <w:rPr>
                <w:rFonts w:ascii="Arial" w:cs="Arial" w:eastAsia="Arial" w:hAnsi="Arial"/>
                <w:sz w:val="17"/>
                <w:szCs w:val="17"/>
                <w:color w:val="auto"/>
                <w:vertAlign w:val="superscript"/>
              </w:rPr>
              <w:t>nd</w:t>
            </w:r>
            <w:r>
              <w:rPr>
                <w:rFonts w:ascii="Arial" w:cs="Arial" w:eastAsia="Arial" w:hAnsi="Arial"/>
                <w:sz w:val="13"/>
                <w:szCs w:val="13"/>
                <w:color w:val="auto"/>
              </w:rPr>
              <w:t xml:space="preserve"> Signature (if required):</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42"/>
        </w:trPr>
        <w:tc>
          <w:tcPr>
            <w:tcW w:w="960" w:type="dxa"/>
            <w:vAlign w:val="bottom"/>
            <w:gridSpan w:val="3"/>
          </w:tcPr>
          <w:p>
            <w:pPr>
              <w:spacing w:after="0" w:line="142" w:lineRule="exact"/>
              <w:rPr>
                <w:sz w:val="20"/>
                <w:szCs w:val="20"/>
                <w:color w:val="auto"/>
              </w:rPr>
            </w:pPr>
            <w:r>
              <w:rPr>
                <w:rFonts w:ascii="Arial" w:cs="Arial" w:eastAsia="Arial" w:hAnsi="Arial"/>
                <w:sz w:val="13"/>
                <w:szCs w:val="13"/>
                <w:color w:val="auto"/>
                <w:w w:val="94"/>
              </w:rPr>
              <w:t>Print Name/Title: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7"/>
          </w:tcPr>
          <w:p>
            <w:pPr>
              <w:spacing w:after="0" w:line="142" w:lineRule="exact"/>
              <w:rPr>
                <w:sz w:val="20"/>
                <w:szCs w:val="20"/>
                <w:color w:val="auto"/>
              </w:rPr>
            </w:pPr>
            <w:r>
              <w:rPr>
                <w:rFonts w:ascii="Arial" w:cs="Arial" w:eastAsia="Arial" w:hAnsi="Arial"/>
                <w:sz w:val="13"/>
                <w:szCs w:val="13"/>
                <w:color w:val="auto"/>
              </w:rPr>
              <w:t>Print Name/Title:</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42"/>
        </w:trPr>
        <w:tc>
          <w:tcPr>
            <w:tcW w:w="960" w:type="dxa"/>
            <w:vAlign w:val="bottom"/>
            <w:gridSpan w:val="3"/>
          </w:tcPr>
          <w:p>
            <w:pPr>
              <w:spacing w:after="0" w:line="142" w:lineRule="exact"/>
              <w:rPr>
                <w:sz w:val="20"/>
                <w:szCs w:val="20"/>
                <w:color w:val="auto"/>
              </w:rPr>
            </w:pPr>
            <w:r>
              <w:rPr>
                <w:rFonts w:ascii="Arial" w:cs="Arial" w:eastAsia="Arial" w:hAnsi="Arial"/>
                <w:sz w:val="13"/>
                <w:szCs w:val="13"/>
                <w:color w:val="auto"/>
              </w:rPr>
              <w:t>Telephone #:</w:t>
            </w:r>
          </w:p>
        </w:tc>
        <w:tc>
          <w:tcPr>
            <w:tcW w:w="2080" w:type="dxa"/>
            <w:vAlign w:val="bottom"/>
            <w:gridSpan w:val="9"/>
          </w:tcPr>
          <w:p>
            <w:pPr>
              <w:ind w:left="20"/>
              <w:spacing w:after="0" w:line="142" w:lineRule="exact"/>
              <w:rPr>
                <w:sz w:val="20"/>
                <w:szCs w:val="20"/>
                <w:color w:val="auto"/>
              </w:rPr>
            </w:pPr>
            <w:r>
              <w:rPr>
                <w:rFonts w:ascii="Arial" w:cs="Arial" w:eastAsia="Arial" w:hAnsi="Arial"/>
                <w:sz w:val="13"/>
                <w:szCs w:val="13"/>
                <w:color w:val="auto"/>
              </w:rPr>
              <w:t>Telephone #:</w:t>
            </w:r>
          </w:p>
        </w:tc>
      </w:tr>
      <w:tr>
        <w:trPr>
          <w:trHeight w:val="20"/>
        </w:trPr>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39"/>
        <w:spacing w:after="0"/>
        <w:rPr>
          <w:sz w:val="20"/>
          <w:szCs w:val="20"/>
          <w:color w:val="auto"/>
        </w:rPr>
      </w:pPr>
      <w:r>
        <w:rPr>
          <w:rFonts w:ascii="Arial" w:cs="Arial" w:eastAsia="Arial" w:hAnsi="Arial"/>
          <w:sz w:val="13"/>
          <w:szCs w:val="13"/>
          <w:color w:val="auto"/>
        </w:rPr>
        <w:t>A-2</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295054968.4</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354271-000499" "" 295054968.4</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354271-000499</w:t>
      </w:r>
    </w:p>
    <w:p>
      <w:pPr>
        <w:sectPr>
          <w:pgSz w:w="11900" w:h="16838" w:orient="portrait"/>
          <w:cols w:equalWidth="0" w:num="1">
            <w:col w:w="10840"/>
          </w:cols>
          <w:pgMar w:left="300" w:top="825" w:right="759" w:bottom="1440" w:gutter="0" w:footer="0" w:header="0"/>
        </w:sectPr>
      </w:pPr>
    </w:p>
    <w:bookmarkStart w:id="120" w:name="page121"/>
    <w:bookmarkEnd w:id="120"/>
    <w:p>
      <w:pPr>
        <w:jc w:val="right"/>
        <w:spacing w:after="0"/>
        <w:rPr>
          <w:sz w:val="20"/>
          <w:szCs w:val="20"/>
          <w:color w:val="auto"/>
        </w:rPr>
      </w:pPr>
      <w:r>
        <w:rPr>
          <w:rFonts w:ascii="Arial" w:cs="Arial" w:eastAsia="Arial" w:hAnsi="Arial"/>
          <w:sz w:val="13"/>
          <w:szCs w:val="13"/>
          <w:b w:val="1"/>
          <w:bCs w:val="1"/>
          <w:color w:val="auto"/>
        </w:rPr>
        <w:t>EXHIBIT 10.2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SECOND AMENDMENT</w:t>
      </w:r>
    </w:p>
    <w:p>
      <w:pPr>
        <w:jc w:val="center"/>
        <w:spacing w:after="0" w:line="232" w:lineRule="auto"/>
        <w:rPr>
          <w:sz w:val="20"/>
          <w:szCs w:val="20"/>
          <w:color w:val="auto"/>
        </w:rPr>
      </w:pPr>
      <w:r>
        <w:rPr>
          <w:rFonts w:ascii="Arial" w:cs="Arial" w:eastAsia="Arial" w:hAnsi="Arial"/>
          <w:sz w:val="16"/>
          <w:szCs w:val="16"/>
          <w:b w:val="1"/>
          <w:bCs w:val="1"/>
          <w:color w:val="auto"/>
        </w:rPr>
        <w:t>TO</w:t>
      </w:r>
    </w:p>
    <w:p>
      <w:pPr>
        <w:jc w:val="center"/>
        <w:spacing w:after="0" w:line="224" w:lineRule="auto"/>
        <w:rPr>
          <w:sz w:val="20"/>
          <w:szCs w:val="20"/>
          <w:color w:val="auto"/>
        </w:rPr>
      </w:pPr>
      <w:r>
        <w:rPr>
          <w:rFonts w:ascii="Arial" w:cs="Arial" w:eastAsia="Arial" w:hAnsi="Arial"/>
          <w:sz w:val="16"/>
          <w:szCs w:val="16"/>
          <w:b w:val="1"/>
          <w:bCs w:val="1"/>
          <w:color w:val="auto"/>
        </w:rPr>
        <w:t>OFFER LETTER AGREEMENT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SEVERANCE PLAN PARTICIPATION AGREEMENT</w:t>
      </w:r>
    </w:p>
    <w:p>
      <w:pPr>
        <w:spacing w:after="0" w:line="156"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This Second Amendment (this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to the Offer Letter Agreement by and between SI-BONE,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Jeffrey Dunn (the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dated as of the 15th day of December, 2009 (the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and the Participation Agreement (the “</w:t>
      </w:r>
      <w:r>
        <w:rPr>
          <w:rFonts w:ascii="Arial" w:cs="Arial" w:eastAsia="Arial" w:hAnsi="Arial"/>
          <w:sz w:val="16"/>
          <w:szCs w:val="16"/>
          <w:b w:val="1"/>
          <w:bCs w:val="1"/>
          <w:i w:val="1"/>
          <w:iCs w:val="1"/>
          <w:color w:val="auto"/>
        </w:rPr>
        <w:t>Participation Agreement</w:t>
      </w:r>
      <w:r>
        <w:rPr>
          <w:rFonts w:ascii="Arial" w:cs="Arial" w:eastAsia="Arial" w:hAnsi="Arial"/>
          <w:sz w:val="16"/>
          <w:szCs w:val="16"/>
          <w:color w:val="auto"/>
        </w:rPr>
        <w:t>”) under the SI-BONE, Inc. Severance Benefit Plan (the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as amended by the Amendment to Offer Letter and Severance Plan Participation Agreement, effective April 19, 2021 (the “</w:t>
      </w:r>
      <w:r>
        <w:rPr>
          <w:rFonts w:ascii="Arial" w:cs="Arial" w:eastAsia="Arial" w:hAnsi="Arial"/>
          <w:sz w:val="16"/>
          <w:szCs w:val="16"/>
          <w:b w:val="1"/>
          <w:bCs w:val="1"/>
          <w:i w:val="1"/>
          <w:iCs w:val="1"/>
          <w:color w:val="auto"/>
        </w:rPr>
        <w:t>First Amendment</w:t>
      </w:r>
      <w:r>
        <w:rPr>
          <w:rFonts w:ascii="Arial" w:cs="Arial" w:eastAsia="Arial" w:hAnsi="Arial"/>
          <w:sz w:val="16"/>
          <w:szCs w:val="16"/>
          <w:color w:val="auto"/>
        </w:rPr>
        <w:t>”), is entered into as of this 20th day of October, 2021, by and between the Company and the Executive, effective and contingent upon the earlier of May 1, 2021 and the date on which a new Chief Financial Officer is appointed and begins employment at the Company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The Company and Executive are referred to herein as the “parties.”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7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WHEREAS, the Company and the Executive are parties to the Letter Agreement and to the Participation Agreement, as amended by the First Amendment;</w:t>
      </w:r>
    </w:p>
    <w:p>
      <w:pPr>
        <w:spacing w:after="0" w:line="17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WHEREAS, Section 9 of the Letter Agreement provides that the Letter Agreement may not be amended or modified, except by an express written agreement signed by both Executive and a duly authorized officer of the Company;</w:t>
      </w:r>
    </w:p>
    <w:p>
      <w:pPr>
        <w:spacing w:after="0" w:line="138"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6"/>
          <w:szCs w:val="16"/>
          <w:color w:val="auto"/>
        </w:rPr>
        <w:t>WHEREAS, Section 9(b) of the Severance Benefit Plan permits amendments to such plan provided that any such amendment will not be effective as to a particular employee who is or may be adversely impacted by such amendment or termination and has an effective Participation Agreement without the written consent of such employee; and</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WHEREAS, the parties desire to amend each of the Letter Agreement and Participation Agreement to provide for the modifications set forth herein.</w:t>
      </w:r>
    </w:p>
    <w:p>
      <w:pPr>
        <w:spacing w:after="0" w:line="17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NOW, THEREFORE, the parties agree that each of the Letter Agreement and the Participation Agreement, as amended, is hereby amended, automatically effective upon the Effective Date to reflect the following:</w:t>
      </w:r>
    </w:p>
    <w:p>
      <w:pPr>
        <w:spacing w:after="0" w:line="138" w:lineRule="exact"/>
        <w:rPr>
          <w:sz w:val="20"/>
          <w:szCs w:val="20"/>
          <w:color w:val="auto"/>
        </w:rPr>
      </w:pPr>
    </w:p>
    <w:p>
      <w:pPr>
        <w:jc w:val="both"/>
        <w:ind w:left="480" w:hanging="236"/>
        <w:spacing w:after="0" w:line="239" w:lineRule="auto"/>
        <w:tabs>
          <w:tab w:leader="none" w:pos="473"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Executive will be entitled to receive the severance benefit set forth in Section 2 of the Participation Agreement only upon the occurrence of a Covered Termination occurring during the Change in Control Period. Executive will not be entitled to receive the severance benefits set forth in Section 2 of the Participation Agreement upon the Closing of a Change in Control absent a Covered Termination within the Change in Control Period.</w:t>
      </w:r>
    </w:p>
    <w:p>
      <w:pPr>
        <w:spacing w:after="0" w:line="148" w:lineRule="exact"/>
        <w:rPr>
          <w:rFonts w:ascii="Arial" w:cs="Arial" w:eastAsia="Arial" w:hAnsi="Arial"/>
          <w:sz w:val="16"/>
          <w:szCs w:val="16"/>
          <w:color w:val="auto"/>
        </w:rPr>
      </w:pPr>
    </w:p>
    <w:p>
      <w:pPr>
        <w:ind w:left="480" w:hanging="236"/>
        <w:spacing w:after="0" w:line="253" w:lineRule="auto"/>
        <w:tabs>
          <w:tab w:leader="none" w:pos="473"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second prong of the “Good Reason” definition will be triggered if Executive ceases to be, at any point during the Change in Control Period, the Chairman of the Board or,</w:t>
      </w:r>
    </w:p>
    <w:p>
      <w:pPr>
        <w:sectPr>
          <w:pgSz w:w="11900" w:h="16838" w:orient="portrait"/>
          <w:cols w:equalWidth="0" w:num="1">
            <w:col w:w="11280"/>
          </w:cols>
          <w:pgMar w:left="300" w:top="1094" w:right="319" w:bottom="1440" w:gutter="0" w:footer="0" w:header="0"/>
        </w:sectPr>
      </w:pPr>
    </w:p>
    <w:bookmarkStart w:id="121" w:name="page122"/>
    <w:bookmarkEnd w:id="121"/>
    <w:p>
      <w:pPr>
        <w:ind w:left="480"/>
        <w:spacing w:after="0"/>
        <w:rPr>
          <w:sz w:val="20"/>
          <w:szCs w:val="20"/>
          <w:color w:val="auto"/>
        </w:rPr>
      </w:pPr>
      <w:r>
        <w:rPr>
          <w:rFonts w:ascii="Arial" w:cs="Arial" w:eastAsia="Arial" w:hAnsi="Arial"/>
          <w:sz w:val="16"/>
          <w:szCs w:val="16"/>
          <w:color w:val="auto"/>
        </w:rPr>
        <w:t>following a Change in Control, the Chairman of the board of the successor entity or its ultimate parent entity, if any.</w:t>
      </w:r>
    </w:p>
    <w:p>
      <w:pPr>
        <w:spacing w:after="0" w:line="170" w:lineRule="exact"/>
        <w:rPr>
          <w:sz w:val="20"/>
          <w:szCs w:val="20"/>
          <w:color w:val="auto"/>
        </w:rPr>
      </w:pPr>
    </w:p>
    <w:p>
      <w:pPr>
        <w:ind w:left="480" w:hanging="236"/>
        <w:spacing w:after="0" w:line="253" w:lineRule="auto"/>
        <w:tabs>
          <w:tab w:leader="none" w:pos="473"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Except to the extent expressly amended hereby, the Letter Agreement, the Severance Plan and the Participation Agreement, as amended, shall remain in full force and effect in all respects.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WITNESS WHEREOF, this Amendment has been duly executed by the parties hereto as of the day and year first written above.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SI-BONE, Inc.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xml:space="preserve">By: </w:t>
      </w:r>
      <w:r>
        <w:rPr>
          <w:rFonts w:ascii="Arial" w:cs="Arial" w:eastAsia="Arial" w:hAnsi="Arial"/>
          <w:sz w:val="13"/>
          <w:szCs w:val="13"/>
          <w:u w:val="single" w:color="auto"/>
          <w:color w:val="auto"/>
        </w:rPr>
        <w:t>/s/</w:t>
      </w:r>
      <w:r>
        <w:rPr>
          <w:rFonts w:ascii="Arial" w:cs="Arial" w:eastAsia="Arial" w:hAnsi="Arial"/>
          <w:sz w:val="16"/>
          <w:szCs w:val="16"/>
          <w:u w:val="single" w:color="auto"/>
          <w:color w:val="auto"/>
        </w:rPr>
        <w:t xml:space="preserve"> Timothy E. Davis, Jr.</w:t>
      </w:r>
    </w:p>
    <w:p>
      <w:pPr>
        <w:spacing w:after="0" w:line="227" w:lineRule="auto"/>
        <w:rPr>
          <w:sz w:val="20"/>
          <w:szCs w:val="20"/>
          <w:color w:val="auto"/>
        </w:rPr>
      </w:pPr>
      <w:r>
        <w:rPr>
          <w:rFonts w:ascii="Arial" w:cs="Arial" w:eastAsia="Arial" w:hAnsi="Arial"/>
          <w:sz w:val="16"/>
          <w:szCs w:val="16"/>
          <w:color w:val="auto"/>
        </w:rPr>
        <w:t>Name: Timothy E. Davis, Jr.</w:t>
      </w:r>
    </w:p>
    <w:p>
      <w:pPr>
        <w:ind w:left="2920"/>
        <w:spacing w:after="0"/>
        <w:rPr>
          <w:sz w:val="20"/>
          <w:szCs w:val="20"/>
          <w:color w:val="auto"/>
        </w:rPr>
      </w:pPr>
      <w:r>
        <w:rPr>
          <w:rFonts w:ascii="Arial" w:cs="Arial" w:eastAsia="Arial" w:hAnsi="Arial"/>
          <w:sz w:val="16"/>
          <w:szCs w:val="16"/>
          <w:color w:val="auto"/>
        </w:rPr>
        <w:t>Title: Chairman of the Compensation Committee</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EXECUTIVE</w:t>
      </w:r>
    </w:p>
    <w:p>
      <w:pPr>
        <w:spacing w:after="0" w:line="170" w:lineRule="exact"/>
        <w:rPr>
          <w:sz w:val="20"/>
          <w:szCs w:val="20"/>
          <w:color w:val="auto"/>
        </w:rPr>
      </w:pPr>
    </w:p>
    <w:p>
      <w:pPr>
        <w:ind w:left="2920"/>
        <w:spacing w:after="0"/>
        <w:rPr>
          <w:sz w:val="20"/>
          <w:szCs w:val="20"/>
          <w:color w:val="auto"/>
        </w:rPr>
      </w:pPr>
      <w:r>
        <w:rPr>
          <w:rFonts w:ascii="Arial" w:cs="Arial" w:eastAsia="Arial" w:hAnsi="Arial"/>
          <w:sz w:val="16"/>
          <w:szCs w:val="16"/>
          <w:u w:val="single" w:color="auto"/>
          <w:color w:val="auto"/>
        </w:rPr>
        <w:t>/s/ Jeffrey W. Dunn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Jeffrey W. Dunn</w:t>
      </w:r>
    </w:p>
    <w:p>
      <w:pPr>
        <w:sectPr>
          <w:pgSz w:w="11900" w:h="16838" w:orient="portrait"/>
          <w:cols w:equalWidth="0" w:num="1">
            <w:col w:w="11280"/>
          </w:cols>
          <w:pgMar w:left="300" w:top="1095" w:right="3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3"/>
          <w:szCs w:val="13"/>
          <w:b w:val="1"/>
          <w:bCs w:val="1"/>
          <w:color w:val="auto"/>
        </w:rPr>
        <w:t>Exhibit 31.1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I, Laura A. Francis, certify that:</w:t>
      </w:r>
    </w:p>
    <w:p>
      <w:pPr>
        <w:spacing w:after="0" w:line="195" w:lineRule="exact"/>
        <w:rPr>
          <w:sz w:val="20"/>
          <w:szCs w:val="20"/>
          <w:color w:val="auto"/>
        </w:rPr>
      </w:pPr>
    </w:p>
    <w:p>
      <w:pPr>
        <w:ind w:left="480" w:hanging="236"/>
        <w:spacing w:after="0"/>
        <w:tabs>
          <w:tab w:leader="none" w:pos="4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 have reviewed this Form 10-Q of SI-BONE, Inc.;</w:t>
      </w:r>
    </w:p>
    <w:p>
      <w:pPr>
        <w:spacing w:after="0" w:line="194" w:lineRule="exact"/>
        <w:rPr>
          <w:rFonts w:ascii="Arial" w:cs="Arial" w:eastAsia="Arial" w:hAnsi="Arial"/>
          <w:sz w:val="13"/>
          <w:szCs w:val="13"/>
          <w:color w:val="auto"/>
        </w:rPr>
      </w:pPr>
    </w:p>
    <w:p>
      <w:pPr>
        <w:ind w:left="480" w:hanging="236"/>
        <w:spacing w:after="0" w:line="296" w:lineRule="auto"/>
        <w:tabs>
          <w:tab w:leader="none" w:pos="4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3"/>
          <w:szCs w:val="13"/>
          <w:color w:val="auto"/>
        </w:rPr>
      </w:pPr>
    </w:p>
    <w:p>
      <w:pPr>
        <w:ind w:left="480" w:hanging="236"/>
        <w:spacing w:after="0" w:line="296" w:lineRule="auto"/>
        <w:tabs>
          <w:tab w:leader="none" w:pos="4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3"/>
          <w:szCs w:val="13"/>
          <w:color w:val="auto"/>
        </w:rPr>
      </w:pPr>
    </w:p>
    <w:p>
      <w:pPr>
        <w:ind w:left="480" w:hanging="236"/>
        <w:spacing w:after="0" w:line="296" w:lineRule="auto"/>
        <w:tabs>
          <w:tab w:leader="none" w:pos="4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3"/>
          <w:szCs w:val="13"/>
          <w:color w:val="auto"/>
        </w:rPr>
      </w:pPr>
    </w:p>
    <w:p>
      <w:pPr>
        <w:ind w:left="800" w:hanging="313"/>
        <w:spacing w:after="0" w:line="341" w:lineRule="auto"/>
        <w:tabs>
          <w:tab w:leader="none" w:pos="793" w:val="left"/>
        </w:tabs>
        <w:numPr>
          <w:ilvl w:val="1"/>
          <w:numId w:val="9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2"/>
          <w:szCs w:val="12"/>
          <w:color w:val="auto"/>
        </w:rPr>
      </w:pPr>
    </w:p>
    <w:p>
      <w:pPr>
        <w:ind w:left="800" w:hanging="313"/>
        <w:spacing w:after="0" w:line="296" w:lineRule="auto"/>
        <w:tabs>
          <w:tab w:leader="none" w:pos="791" w:val="left"/>
        </w:tabs>
        <w:numPr>
          <w:ilvl w:val="1"/>
          <w:numId w:val="9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3"/>
          <w:szCs w:val="13"/>
          <w:color w:val="auto"/>
        </w:rPr>
      </w:pPr>
    </w:p>
    <w:p>
      <w:pPr>
        <w:ind w:left="800" w:hanging="313"/>
        <w:spacing w:after="0" w:line="296" w:lineRule="auto"/>
        <w:tabs>
          <w:tab w:leader="none" w:pos="793" w:val="left"/>
        </w:tabs>
        <w:numPr>
          <w:ilvl w:val="1"/>
          <w:numId w:val="9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3"/>
          <w:szCs w:val="13"/>
          <w:color w:val="auto"/>
        </w:rPr>
      </w:pPr>
    </w:p>
    <w:p>
      <w:pPr>
        <w:ind w:left="800" w:hanging="313"/>
        <w:spacing w:after="0" w:line="296" w:lineRule="auto"/>
        <w:tabs>
          <w:tab w:leader="none" w:pos="791" w:val="left"/>
        </w:tabs>
        <w:numPr>
          <w:ilvl w:val="1"/>
          <w:numId w:val="9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7" w:lineRule="exact"/>
        <w:rPr>
          <w:rFonts w:ascii="Arial" w:cs="Arial" w:eastAsia="Arial" w:hAnsi="Arial"/>
          <w:sz w:val="13"/>
          <w:szCs w:val="13"/>
          <w:color w:val="auto"/>
        </w:rPr>
      </w:pPr>
    </w:p>
    <w:p>
      <w:pPr>
        <w:ind w:left="480" w:hanging="236"/>
        <w:spacing w:after="0" w:line="296" w:lineRule="auto"/>
        <w:tabs>
          <w:tab w:leader="none" w:pos="4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3"/>
          <w:szCs w:val="13"/>
          <w:color w:val="auto"/>
        </w:rPr>
      </w:pPr>
    </w:p>
    <w:p>
      <w:pPr>
        <w:ind w:left="800" w:hanging="313"/>
        <w:spacing w:after="0" w:line="296" w:lineRule="auto"/>
        <w:tabs>
          <w:tab w:leader="none" w:pos="793" w:val="left"/>
        </w:tabs>
        <w:numPr>
          <w:ilvl w:val="1"/>
          <w:numId w:val="9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3"/>
          <w:szCs w:val="13"/>
          <w:color w:val="auto"/>
        </w:rPr>
      </w:pPr>
    </w:p>
    <w:p>
      <w:pPr>
        <w:ind w:left="780" w:hanging="293"/>
        <w:spacing w:after="0"/>
        <w:tabs>
          <w:tab w:leader="none" w:pos="7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43"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Laura A. Francis</w:t>
            </w:r>
          </w:p>
        </w:tc>
      </w:tr>
      <w:tr>
        <w:trPr>
          <w:trHeight w:val="162"/>
        </w:trPr>
        <w:tc>
          <w:tcPr>
            <w:tcW w:w="420" w:type="dxa"/>
            <w:vAlign w:val="bottom"/>
          </w:tcPr>
          <w:p>
            <w:pPr>
              <w:spacing w:after="0"/>
              <w:rPr>
                <w:sz w:val="20"/>
                <w:szCs w:val="20"/>
                <w:color w:val="auto"/>
              </w:rPr>
            </w:pPr>
            <w:r>
              <w:rPr>
                <w:rFonts w:ascii="Arial" w:cs="Arial" w:eastAsia="Arial" w:hAnsi="Arial"/>
                <w:sz w:val="13"/>
                <w:szCs w:val="13"/>
                <w:color w:val="auto"/>
              </w:rPr>
              <w:t>Date:</w:t>
            </w:r>
          </w:p>
        </w:tc>
        <w:tc>
          <w:tcPr>
            <w:tcW w:w="4220" w:type="dxa"/>
            <w:vAlign w:val="bottom"/>
          </w:tcPr>
          <w:p>
            <w:pPr>
              <w:ind w:left="140"/>
              <w:spacing w:after="0"/>
              <w:rPr>
                <w:sz w:val="20"/>
                <w:szCs w:val="20"/>
                <w:color w:val="auto"/>
              </w:rPr>
            </w:pPr>
            <w:r>
              <w:rPr>
                <w:rFonts w:ascii="Arial" w:cs="Arial" w:eastAsia="Arial" w:hAnsi="Arial"/>
                <w:sz w:val="13"/>
                <w:szCs w:val="13"/>
                <w:color w:val="auto"/>
              </w:rPr>
              <w:t>November 9, 2021</w:t>
            </w:r>
          </w:p>
        </w:tc>
        <w:tc>
          <w:tcPr>
            <w:tcW w:w="4740" w:type="dxa"/>
            <w:vAlign w:val="bottom"/>
          </w:tcPr>
          <w:p>
            <w:pPr>
              <w:jc w:val="center"/>
              <w:spacing w:after="0"/>
              <w:rPr>
                <w:sz w:val="20"/>
                <w:szCs w:val="20"/>
                <w:color w:val="auto"/>
              </w:rPr>
            </w:pPr>
            <w:r>
              <w:rPr>
                <w:rFonts w:ascii="Arial" w:cs="Arial" w:eastAsia="Arial" w:hAnsi="Arial"/>
                <w:sz w:val="13"/>
                <w:szCs w:val="13"/>
                <w:color w:val="auto"/>
                <w:w w:val="94"/>
              </w:rPr>
              <w:t>Laura A. Francis</w:t>
            </w:r>
          </w:p>
        </w:tc>
      </w:tr>
      <w:tr>
        <w:trPr>
          <w:trHeight w:val="172"/>
        </w:trPr>
        <w:tc>
          <w:tcPr>
            <w:tcW w:w="4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40" w:type="dxa"/>
            <w:vAlign w:val="bottom"/>
          </w:tcPr>
          <w:p>
            <w:pPr>
              <w:jc w:val="center"/>
              <w:spacing w:after="0"/>
              <w:rPr>
                <w:sz w:val="20"/>
                <w:szCs w:val="20"/>
                <w:color w:val="auto"/>
              </w:rPr>
            </w:pPr>
            <w:r>
              <w:rPr>
                <w:rFonts w:ascii="Arial" w:cs="Arial" w:eastAsia="Arial" w:hAnsi="Arial"/>
                <w:sz w:val="13"/>
                <w:szCs w:val="13"/>
                <w:color w:val="auto"/>
                <w:w w:val="98"/>
              </w:rPr>
              <w:t>Chief Executive Officer</w:t>
            </w:r>
          </w:p>
        </w:tc>
      </w:tr>
      <w:tr>
        <w:trPr>
          <w:trHeight w:val="172"/>
        </w:trPr>
        <w:tc>
          <w:tcPr>
            <w:tcW w:w="4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40" w:type="dxa"/>
            <w:vAlign w:val="bottom"/>
          </w:tcPr>
          <w:p>
            <w:pPr>
              <w:jc w:val="center"/>
              <w:spacing w:after="0"/>
              <w:rPr>
                <w:sz w:val="20"/>
                <w:szCs w:val="20"/>
                <w:color w:val="auto"/>
              </w:rPr>
            </w:pPr>
            <w:r>
              <w:rPr>
                <w:rFonts w:ascii="Arial" w:cs="Arial" w:eastAsia="Arial" w:hAnsi="Arial"/>
                <w:sz w:val="13"/>
                <w:szCs w:val="13"/>
                <w:color w:val="auto"/>
                <w:w w:val="98"/>
              </w:rPr>
              <w:t>(Principal Executive Officer)</w:t>
            </w:r>
          </w:p>
        </w:tc>
      </w:tr>
    </w:tbl>
    <w:p>
      <w:pPr>
        <w:sectPr>
          <w:pgSz w:w="11900" w:h="16838" w:orient="portrait"/>
          <w:cols w:equalWidth="0" w:num="1">
            <w:col w:w="11280"/>
          </w:cols>
          <w:pgMar w:left="300" w:top="612" w:right="3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b w:val="1"/>
          <w:bCs w:val="1"/>
          <w:color w:val="auto"/>
        </w:rPr>
        <w:t>Exhibit 31.2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I, Anshul Maheshwari, certify that:</w:t>
      </w:r>
    </w:p>
    <w:p>
      <w:pPr>
        <w:spacing w:after="0" w:line="286" w:lineRule="exact"/>
        <w:rPr>
          <w:sz w:val="20"/>
          <w:szCs w:val="20"/>
          <w:color w:val="auto"/>
        </w:rPr>
      </w:pPr>
    </w:p>
    <w:p>
      <w:pPr>
        <w:ind w:left="480" w:hanging="236"/>
        <w:spacing w:after="0"/>
        <w:tabs>
          <w:tab w:leader="none" w:pos="4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 have reviewed this Form 10-Q of SI-BONE, Inc.;</w:t>
      </w:r>
    </w:p>
    <w:p>
      <w:pPr>
        <w:spacing w:after="0" w:line="194" w:lineRule="exact"/>
        <w:rPr>
          <w:rFonts w:ascii="Arial" w:cs="Arial" w:eastAsia="Arial" w:hAnsi="Arial"/>
          <w:sz w:val="13"/>
          <w:szCs w:val="13"/>
          <w:color w:val="auto"/>
        </w:rPr>
      </w:pPr>
    </w:p>
    <w:p>
      <w:pPr>
        <w:ind w:left="480" w:hanging="236"/>
        <w:spacing w:after="0" w:line="296" w:lineRule="auto"/>
        <w:tabs>
          <w:tab w:leader="none" w:pos="4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3"/>
          <w:szCs w:val="13"/>
          <w:color w:val="auto"/>
        </w:rPr>
      </w:pPr>
    </w:p>
    <w:p>
      <w:pPr>
        <w:ind w:left="480" w:hanging="236"/>
        <w:spacing w:after="0" w:line="296" w:lineRule="auto"/>
        <w:tabs>
          <w:tab w:leader="none" w:pos="4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3"/>
          <w:szCs w:val="13"/>
          <w:color w:val="auto"/>
        </w:rPr>
      </w:pPr>
    </w:p>
    <w:p>
      <w:pPr>
        <w:ind w:left="480" w:hanging="236"/>
        <w:spacing w:after="0" w:line="296" w:lineRule="auto"/>
        <w:tabs>
          <w:tab w:leader="none" w:pos="4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3"/>
          <w:szCs w:val="13"/>
          <w:color w:val="auto"/>
        </w:rPr>
      </w:pPr>
    </w:p>
    <w:p>
      <w:pPr>
        <w:ind w:left="800" w:hanging="313"/>
        <w:spacing w:after="0" w:line="341" w:lineRule="auto"/>
        <w:tabs>
          <w:tab w:leader="none" w:pos="793" w:val="left"/>
        </w:tabs>
        <w:numPr>
          <w:ilvl w:val="1"/>
          <w:numId w:val="9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2"/>
          <w:szCs w:val="12"/>
          <w:color w:val="auto"/>
        </w:rPr>
      </w:pPr>
    </w:p>
    <w:p>
      <w:pPr>
        <w:ind w:left="800" w:hanging="313"/>
        <w:spacing w:after="0" w:line="296" w:lineRule="auto"/>
        <w:tabs>
          <w:tab w:leader="none" w:pos="791" w:val="left"/>
        </w:tabs>
        <w:numPr>
          <w:ilvl w:val="1"/>
          <w:numId w:val="9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3"/>
          <w:szCs w:val="13"/>
          <w:color w:val="auto"/>
        </w:rPr>
      </w:pPr>
    </w:p>
    <w:p>
      <w:pPr>
        <w:ind w:left="800" w:hanging="313"/>
        <w:spacing w:after="0" w:line="296" w:lineRule="auto"/>
        <w:tabs>
          <w:tab w:leader="none" w:pos="793" w:val="left"/>
        </w:tabs>
        <w:numPr>
          <w:ilvl w:val="1"/>
          <w:numId w:val="9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3"/>
          <w:szCs w:val="13"/>
          <w:color w:val="auto"/>
        </w:rPr>
      </w:pPr>
    </w:p>
    <w:p>
      <w:pPr>
        <w:ind w:left="800" w:hanging="313"/>
        <w:spacing w:after="0" w:line="296" w:lineRule="auto"/>
        <w:tabs>
          <w:tab w:leader="none" w:pos="791" w:val="left"/>
        </w:tabs>
        <w:numPr>
          <w:ilvl w:val="1"/>
          <w:numId w:val="9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3"/>
          <w:szCs w:val="13"/>
          <w:color w:val="auto"/>
        </w:rPr>
      </w:pPr>
    </w:p>
    <w:p>
      <w:pPr>
        <w:ind w:left="480" w:hanging="236"/>
        <w:spacing w:after="0" w:line="296" w:lineRule="auto"/>
        <w:tabs>
          <w:tab w:leader="none" w:pos="4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3"/>
          <w:szCs w:val="13"/>
          <w:color w:val="auto"/>
        </w:rPr>
      </w:pPr>
    </w:p>
    <w:p>
      <w:pPr>
        <w:ind w:left="800" w:hanging="313"/>
        <w:spacing w:after="0" w:line="296" w:lineRule="auto"/>
        <w:tabs>
          <w:tab w:leader="none" w:pos="793" w:val="left"/>
        </w:tabs>
        <w:numPr>
          <w:ilvl w:val="1"/>
          <w:numId w:val="9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3"/>
          <w:szCs w:val="13"/>
          <w:color w:val="auto"/>
        </w:rPr>
      </w:pPr>
    </w:p>
    <w:p>
      <w:pPr>
        <w:ind w:left="780" w:hanging="293"/>
        <w:spacing w:after="0"/>
        <w:tabs>
          <w:tab w:leader="none" w:pos="780" w:val="left"/>
        </w:tabs>
        <w:numPr>
          <w:ilvl w:val="1"/>
          <w:numId w:val="9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Anshul Maheshwari</w:t>
            </w:r>
          </w:p>
        </w:tc>
      </w:tr>
      <w:tr>
        <w:trPr>
          <w:trHeight w:val="162"/>
        </w:trPr>
        <w:tc>
          <w:tcPr>
            <w:tcW w:w="440" w:type="dxa"/>
            <w:vAlign w:val="bottom"/>
          </w:tcPr>
          <w:p>
            <w:pPr>
              <w:spacing w:after="0"/>
              <w:rPr>
                <w:sz w:val="20"/>
                <w:szCs w:val="20"/>
                <w:color w:val="auto"/>
              </w:rPr>
            </w:pPr>
            <w:r>
              <w:rPr>
                <w:rFonts w:ascii="Arial" w:cs="Arial" w:eastAsia="Arial" w:hAnsi="Arial"/>
                <w:sz w:val="13"/>
                <w:szCs w:val="13"/>
                <w:color w:val="auto"/>
              </w:rPr>
              <w:t>Date:</w:t>
            </w:r>
          </w:p>
        </w:tc>
        <w:tc>
          <w:tcPr>
            <w:tcW w:w="4460" w:type="dxa"/>
            <w:vAlign w:val="bottom"/>
          </w:tcPr>
          <w:p>
            <w:pPr>
              <w:ind w:left="180"/>
              <w:spacing w:after="0"/>
              <w:rPr>
                <w:sz w:val="20"/>
                <w:szCs w:val="20"/>
                <w:color w:val="auto"/>
              </w:rPr>
            </w:pPr>
            <w:r>
              <w:rPr>
                <w:rFonts w:ascii="Arial" w:cs="Arial" w:eastAsia="Arial" w:hAnsi="Arial"/>
                <w:sz w:val="13"/>
                <w:szCs w:val="13"/>
                <w:color w:val="auto"/>
              </w:rPr>
              <w:t>November 9, 2021</w:t>
            </w:r>
          </w:p>
        </w:tc>
        <w:tc>
          <w:tcPr>
            <w:tcW w:w="4840" w:type="dxa"/>
            <w:vAlign w:val="bottom"/>
          </w:tcPr>
          <w:p>
            <w:pPr>
              <w:jc w:val="center"/>
              <w:spacing w:after="0"/>
              <w:rPr>
                <w:sz w:val="20"/>
                <w:szCs w:val="20"/>
                <w:color w:val="auto"/>
              </w:rPr>
            </w:pPr>
            <w:r>
              <w:rPr>
                <w:rFonts w:ascii="Arial" w:cs="Arial" w:eastAsia="Arial" w:hAnsi="Arial"/>
                <w:sz w:val="13"/>
                <w:szCs w:val="13"/>
                <w:color w:val="auto"/>
                <w:w w:val="96"/>
              </w:rPr>
              <w:t>Anshul Maheshwari</w:t>
            </w:r>
          </w:p>
        </w:tc>
      </w:tr>
      <w:tr>
        <w:trPr>
          <w:trHeight w:val="172"/>
        </w:trPr>
        <w:tc>
          <w:tcPr>
            <w:tcW w:w="4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840" w:type="dxa"/>
            <w:vAlign w:val="bottom"/>
          </w:tcPr>
          <w:p>
            <w:pPr>
              <w:jc w:val="center"/>
              <w:spacing w:after="0"/>
              <w:rPr>
                <w:sz w:val="20"/>
                <w:szCs w:val="20"/>
                <w:color w:val="auto"/>
              </w:rPr>
            </w:pPr>
            <w:r>
              <w:rPr>
                <w:rFonts w:ascii="Arial" w:cs="Arial" w:eastAsia="Arial" w:hAnsi="Arial"/>
                <w:sz w:val="13"/>
                <w:szCs w:val="13"/>
                <w:color w:val="auto"/>
                <w:w w:val="98"/>
              </w:rPr>
              <w:t>Chief Financial Officer</w:t>
            </w:r>
          </w:p>
        </w:tc>
      </w:tr>
      <w:tr>
        <w:trPr>
          <w:trHeight w:val="172"/>
        </w:trPr>
        <w:tc>
          <w:tcPr>
            <w:tcW w:w="4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840" w:type="dxa"/>
            <w:vAlign w:val="bottom"/>
          </w:tcPr>
          <w:p>
            <w:pPr>
              <w:jc w:val="center"/>
              <w:spacing w:after="0"/>
              <w:rPr>
                <w:sz w:val="20"/>
                <w:szCs w:val="20"/>
                <w:color w:val="auto"/>
              </w:rPr>
            </w:pPr>
            <w:r>
              <w:rPr>
                <w:rFonts w:ascii="Arial" w:cs="Arial" w:eastAsia="Arial" w:hAnsi="Arial"/>
                <w:sz w:val="13"/>
                <w:szCs w:val="13"/>
                <w:color w:val="auto"/>
                <w:w w:val="98"/>
              </w:rPr>
              <w:t>(Principal Financial Officer)</w:t>
            </w:r>
          </w:p>
        </w:tc>
      </w:tr>
    </w:tbl>
    <w:p>
      <w:pPr>
        <w:sectPr>
          <w:pgSz w:w="11900" w:h="16838" w:orient="portrait"/>
          <w:cols w:equalWidth="0" w:num="1">
            <w:col w:w="11280"/>
          </w:cols>
          <w:pgMar w:left="300" w:top="612" w:right="3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3"/>
          <w:szCs w:val="13"/>
          <w:b w:val="1"/>
          <w:bCs w:val="1"/>
          <w:color w:val="auto"/>
        </w:rPr>
        <w:t>Exhibit 32.1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 AND PRINCIPAL FINANCIAL OFFICER</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certify that, to the best of his or her knowledge:</w:t>
      </w:r>
    </w:p>
    <w:p>
      <w:pPr>
        <w:spacing w:after="0" w:line="128" w:lineRule="exact"/>
        <w:rPr>
          <w:sz w:val="20"/>
          <w:szCs w:val="20"/>
          <w:color w:val="auto"/>
        </w:rPr>
      </w:pPr>
    </w:p>
    <w:p>
      <w:pPr>
        <w:ind w:firstLine="1"/>
        <w:spacing w:after="0" w:line="296" w:lineRule="auto"/>
        <w:tabs>
          <w:tab w:leader="none" w:pos="135"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Company’s Quarterly Report on Form 10-Q for the period ended September 30, 2021, to which this Certification is attached as Exhibit 32.1 (the “Periodic Report”), fully complies with the requirements of Section 13(a) or Section 15(d) of the Exchange Act; and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Arial" w:cs="Arial" w:eastAsia="Arial" w:hAnsi="Arial"/>
                <w:sz w:val="13"/>
                <w:szCs w:val="13"/>
                <w:color w:val="auto"/>
              </w:rPr>
              <w:t>2.   The</w:t>
            </w:r>
          </w:p>
        </w:tc>
        <w:tc>
          <w:tcPr>
            <w:tcW w:w="1480" w:type="dxa"/>
            <w:vAlign w:val="bottom"/>
          </w:tcPr>
          <w:p>
            <w:pPr>
              <w:ind w:left="80"/>
              <w:spacing w:after="0"/>
              <w:rPr>
                <w:sz w:val="20"/>
                <w:szCs w:val="20"/>
                <w:color w:val="auto"/>
              </w:rPr>
            </w:pPr>
            <w:r>
              <w:rPr>
                <w:rFonts w:ascii="Arial" w:cs="Arial" w:eastAsia="Arial" w:hAnsi="Arial"/>
                <w:sz w:val="13"/>
                <w:szCs w:val="13"/>
                <w:color w:val="auto"/>
              </w:rPr>
              <w:t>information   contained</w:t>
            </w:r>
          </w:p>
        </w:tc>
        <w:tc>
          <w:tcPr>
            <w:tcW w:w="9260" w:type="dxa"/>
            <w:vAlign w:val="bottom"/>
            <w:gridSpan w:val="3"/>
          </w:tcPr>
          <w:p>
            <w:pPr>
              <w:ind w:left="80"/>
              <w:spacing w:after="0"/>
              <w:rPr>
                <w:sz w:val="20"/>
                <w:szCs w:val="20"/>
                <w:color w:val="auto"/>
              </w:rPr>
            </w:pPr>
            <w:r>
              <w:rPr>
                <w:rFonts w:ascii="Arial" w:cs="Arial" w:eastAsia="Arial" w:hAnsi="Arial"/>
                <w:sz w:val="13"/>
                <w:szCs w:val="13"/>
                <w:color w:val="auto"/>
              </w:rPr>
              <w:t>in   the   Periodic   Report   fairly   presents,   in   all   material   respects,   the   financial   condition   and   results   of   operations   of   the   Company.</w:t>
            </w:r>
          </w:p>
        </w:tc>
      </w:tr>
      <w:tr>
        <w:trPr>
          <w:trHeight w:val="719"/>
        </w:trPr>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60" w:type="dxa"/>
            <w:vAlign w:val="bottom"/>
            <w:gridSpan w:val="2"/>
          </w:tcPr>
          <w:p>
            <w:pPr>
              <w:jc w:val="center"/>
              <w:ind w:right="820"/>
              <w:spacing w:after="0"/>
              <w:rPr>
                <w:sz w:val="20"/>
                <w:szCs w:val="20"/>
                <w:color w:val="auto"/>
              </w:rPr>
            </w:pPr>
            <w:r>
              <w:rPr>
                <w:rFonts w:ascii="Arial" w:cs="Arial" w:eastAsia="Arial" w:hAnsi="Arial"/>
                <w:sz w:val="13"/>
                <w:szCs w:val="13"/>
                <w:color w:val="auto"/>
                <w:w w:val="95"/>
              </w:rPr>
              <w:t>/s/ Laura A. Francis</w:t>
            </w:r>
          </w:p>
        </w:tc>
      </w:tr>
      <w:tr>
        <w:trPr>
          <w:trHeight w:val="162"/>
        </w:trPr>
        <w:tc>
          <w:tcPr>
            <w:tcW w:w="540" w:type="dxa"/>
            <w:vAlign w:val="bottom"/>
          </w:tcPr>
          <w:p>
            <w:pPr>
              <w:ind w:left="20"/>
              <w:spacing w:after="0"/>
              <w:rPr>
                <w:sz w:val="20"/>
                <w:szCs w:val="20"/>
                <w:color w:val="auto"/>
              </w:rPr>
            </w:pPr>
            <w:r>
              <w:rPr>
                <w:rFonts w:ascii="Arial" w:cs="Arial" w:eastAsia="Arial" w:hAnsi="Arial"/>
                <w:sz w:val="13"/>
                <w:szCs w:val="13"/>
                <w:color w:val="auto"/>
              </w:rPr>
              <w:t>Date:</w:t>
            </w:r>
          </w:p>
        </w:tc>
        <w:tc>
          <w:tcPr>
            <w:tcW w:w="1480" w:type="dxa"/>
            <w:vAlign w:val="bottom"/>
          </w:tcPr>
          <w:p>
            <w:pPr>
              <w:ind w:left="80"/>
              <w:spacing w:after="0"/>
              <w:rPr>
                <w:sz w:val="20"/>
                <w:szCs w:val="20"/>
                <w:color w:val="auto"/>
              </w:rPr>
            </w:pPr>
            <w:r>
              <w:rPr>
                <w:rFonts w:ascii="Arial" w:cs="Arial" w:eastAsia="Arial" w:hAnsi="Arial"/>
                <w:sz w:val="13"/>
                <w:szCs w:val="13"/>
                <w:color w:val="auto"/>
              </w:rPr>
              <w:t>November 9, 2021</w:t>
            </w:r>
          </w:p>
        </w:tc>
        <w:tc>
          <w:tcPr>
            <w:tcW w:w="3200" w:type="dxa"/>
            <w:vAlign w:val="bottom"/>
          </w:tcPr>
          <w:p>
            <w:pPr>
              <w:spacing w:after="0"/>
              <w:rPr>
                <w:sz w:val="14"/>
                <w:szCs w:val="14"/>
                <w:color w:val="auto"/>
              </w:rPr>
            </w:pPr>
          </w:p>
        </w:tc>
        <w:tc>
          <w:tcPr>
            <w:tcW w:w="52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4"/>
              </w:rPr>
              <w:t>Laura A. Francis</w:t>
            </w:r>
          </w:p>
        </w:tc>
        <w:tc>
          <w:tcPr>
            <w:tcW w:w="800" w:type="dxa"/>
            <w:vAlign w:val="bottom"/>
          </w:tcPr>
          <w:p>
            <w:pPr>
              <w:spacing w:after="0"/>
              <w:rPr>
                <w:sz w:val="14"/>
                <w:szCs w:val="14"/>
                <w:color w:val="auto"/>
              </w:rPr>
            </w:pPr>
          </w:p>
        </w:tc>
      </w:tr>
      <w:tr>
        <w:trPr>
          <w:trHeight w:val="172"/>
        </w:trPr>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060" w:type="dxa"/>
            <w:vAlign w:val="bottom"/>
            <w:gridSpan w:val="2"/>
          </w:tcPr>
          <w:p>
            <w:pPr>
              <w:jc w:val="center"/>
              <w:ind w:right="800"/>
              <w:spacing w:after="0"/>
              <w:rPr>
                <w:sz w:val="20"/>
                <w:szCs w:val="20"/>
                <w:color w:val="auto"/>
              </w:rPr>
            </w:pPr>
            <w:r>
              <w:rPr>
                <w:rFonts w:ascii="Arial" w:cs="Arial" w:eastAsia="Arial" w:hAnsi="Arial"/>
                <w:sz w:val="13"/>
                <w:szCs w:val="13"/>
                <w:color w:val="auto"/>
                <w:w w:val="98"/>
              </w:rPr>
              <w:t>Chief Executive Officer</w:t>
            </w:r>
          </w:p>
        </w:tc>
      </w:tr>
      <w:tr>
        <w:trPr>
          <w:trHeight w:val="172"/>
        </w:trPr>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060" w:type="dxa"/>
            <w:vAlign w:val="bottom"/>
            <w:gridSpan w:val="2"/>
          </w:tcPr>
          <w:p>
            <w:pPr>
              <w:ind w:left="1920"/>
              <w:spacing w:after="0"/>
              <w:rPr>
                <w:sz w:val="20"/>
                <w:szCs w:val="20"/>
                <w:color w:val="auto"/>
              </w:rPr>
            </w:pPr>
            <w:r>
              <w:rPr>
                <w:rFonts w:ascii="Arial" w:cs="Arial" w:eastAsia="Arial" w:hAnsi="Arial"/>
                <w:sz w:val="13"/>
                <w:szCs w:val="13"/>
                <w:color w:val="auto"/>
              </w:rPr>
              <w:t>(Principal Executive Officer)</w:t>
            </w:r>
          </w:p>
        </w:tc>
      </w:tr>
      <w:tr>
        <w:trPr>
          <w:trHeight w:val="334"/>
        </w:trPr>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60" w:type="dxa"/>
            <w:vAlign w:val="bottom"/>
            <w:gridSpan w:val="2"/>
          </w:tcPr>
          <w:p>
            <w:pPr>
              <w:jc w:val="center"/>
              <w:ind w:right="800"/>
              <w:spacing w:after="0"/>
              <w:rPr>
                <w:sz w:val="20"/>
                <w:szCs w:val="20"/>
                <w:color w:val="auto"/>
              </w:rPr>
            </w:pPr>
            <w:r>
              <w:rPr>
                <w:rFonts w:ascii="Arial" w:cs="Arial" w:eastAsia="Arial" w:hAnsi="Arial"/>
                <w:sz w:val="13"/>
                <w:szCs w:val="13"/>
                <w:color w:val="auto"/>
                <w:w w:val="96"/>
              </w:rPr>
              <w:t>/s/ Anshul Maheshwari</w:t>
            </w:r>
          </w:p>
        </w:tc>
      </w:tr>
      <w:tr>
        <w:trPr>
          <w:trHeight w:val="162"/>
        </w:trPr>
        <w:tc>
          <w:tcPr>
            <w:tcW w:w="540" w:type="dxa"/>
            <w:vAlign w:val="bottom"/>
          </w:tcPr>
          <w:p>
            <w:pPr>
              <w:ind w:left="20"/>
              <w:spacing w:after="0"/>
              <w:rPr>
                <w:sz w:val="20"/>
                <w:szCs w:val="20"/>
                <w:color w:val="auto"/>
              </w:rPr>
            </w:pPr>
            <w:r>
              <w:rPr>
                <w:rFonts w:ascii="Arial" w:cs="Arial" w:eastAsia="Arial" w:hAnsi="Arial"/>
                <w:sz w:val="13"/>
                <w:szCs w:val="13"/>
                <w:color w:val="auto"/>
              </w:rPr>
              <w:t>Date:</w:t>
            </w:r>
          </w:p>
        </w:tc>
        <w:tc>
          <w:tcPr>
            <w:tcW w:w="1480" w:type="dxa"/>
            <w:vAlign w:val="bottom"/>
          </w:tcPr>
          <w:p>
            <w:pPr>
              <w:ind w:left="80"/>
              <w:spacing w:after="0"/>
              <w:rPr>
                <w:sz w:val="20"/>
                <w:szCs w:val="20"/>
                <w:color w:val="auto"/>
              </w:rPr>
            </w:pPr>
            <w:r>
              <w:rPr>
                <w:rFonts w:ascii="Arial" w:cs="Arial" w:eastAsia="Arial" w:hAnsi="Arial"/>
                <w:sz w:val="13"/>
                <w:szCs w:val="13"/>
                <w:color w:val="auto"/>
              </w:rPr>
              <w:t>November 9, 2021</w:t>
            </w:r>
          </w:p>
        </w:tc>
        <w:tc>
          <w:tcPr>
            <w:tcW w:w="3200" w:type="dxa"/>
            <w:vAlign w:val="bottom"/>
          </w:tcPr>
          <w:p>
            <w:pPr>
              <w:spacing w:after="0"/>
              <w:rPr>
                <w:sz w:val="14"/>
                <w:szCs w:val="14"/>
                <w:color w:val="auto"/>
              </w:rPr>
            </w:pPr>
          </w:p>
        </w:tc>
        <w:tc>
          <w:tcPr>
            <w:tcW w:w="52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Anshul Maheshwari</w:t>
            </w:r>
          </w:p>
        </w:tc>
        <w:tc>
          <w:tcPr>
            <w:tcW w:w="800" w:type="dxa"/>
            <w:vAlign w:val="bottom"/>
          </w:tcPr>
          <w:p>
            <w:pPr>
              <w:spacing w:after="0"/>
              <w:rPr>
                <w:sz w:val="14"/>
                <w:szCs w:val="14"/>
                <w:color w:val="auto"/>
              </w:rPr>
            </w:pPr>
          </w:p>
        </w:tc>
      </w:tr>
      <w:tr>
        <w:trPr>
          <w:trHeight w:val="172"/>
        </w:trPr>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060" w:type="dxa"/>
            <w:vAlign w:val="bottom"/>
            <w:gridSpan w:val="2"/>
          </w:tcPr>
          <w:p>
            <w:pPr>
              <w:jc w:val="center"/>
              <w:ind w:right="800"/>
              <w:spacing w:after="0"/>
              <w:rPr>
                <w:sz w:val="20"/>
                <w:szCs w:val="20"/>
                <w:color w:val="auto"/>
              </w:rPr>
            </w:pPr>
            <w:r>
              <w:rPr>
                <w:rFonts w:ascii="Arial" w:cs="Arial" w:eastAsia="Arial" w:hAnsi="Arial"/>
                <w:sz w:val="13"/>
                <w:szCs w:val="13"/>
                <w:color w:val="auto"/>
                <w:w w:val="98"/>
              </w:rPr>
              <w:t>Chief Financial Officer</w:t>
            </w:r>
          </w:p>
        </w:tc>
      </w:tr>
      <w:tr>
        <w:trPr>
          <w:trHeight w:val="172"/>
        </w:trPr>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060" w:type="dxa"/>
            <w:vAlign w:val="bottom"/>
            <w:gridSpan w:val="2"/>
          </w:tcPr>
          <w:p>
            <w:pPr>
              <w:jc w:val="center"/>
              <w:ind w:right="800"/>
              <w:spacing w:after="0"/>
              <w:rPr>
                <w:sz w:val="20"/>
                <w:szCs w:val="20"/>
                <w:color w:val="auto"/>
              </w:rPr>
            </w:pPr>
            <w:r>
              <w:rPr>
                <w:rFonts w:ascii="Arial" w:cs="Arial" w:eastAsia="Arial" w:hAnsi="Arial"/>
                <w:sz w:val="13"/>
                <w:szCs w:val="13"/>
                <w:color w:val="auto"/>
                <w:w w:val="98"/>
              </w:rPr>
              <w:t>(Principal Financial Officer)</w:t>
            </w:r>
          </w:p>
        </w:tc>
      </w:tr>
    </w:tbl>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80"/>
      </w:cols>
      <w:pgMar w:left="300" w:top="7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1."/>
      <w:numFmt w:val="decimal"/>
      <w:start w:val="5"/>
    </w:lvl>
  </w:abstractNum>
  <w:abstractNum w:abstractNumId="5">
    <w:nsid w:val="70C6A529"/>
    <w:multiLevelType w:val="hybridMultilevel"/>
    <w:lvl w:ilvl="0">
      <w:lvlJc w:val="left"/>
      <w:lvlText w:val="%1."/>
      <w:numFmt w:val="decimal"/>
      <w:start w:val="6"/>
    </w:lvl>
  </w:abstractNum>
  <w:abstractNum w:abstractNumId="6">
    <w:nsid w:val="520EEDD1"/>
    <w:multiLevelType w:val="hybridMultilevel"/>
    <w:lvl w:ilvl="0">
      <w:lvlJc w:val="left"/>
      <w:lvlText w:val="%1."/>
      <w:numFmt w:val="decimal"/>
      <w:start w:val="7"/>
    </w:lvl>
  </w:abstractNum>
  <w:abstractNum w:abstractNumId="7">
    <w:nsid w:val="374A3FE6"/>
    <w:multiLevelType w:val="hybridMultilevel"/>
    <w:lvl w:ilvl="0">
      <w:lvlJc w:val="left"/>
      <w:lvlText w:val="%1."/>
      <w:numFmt w:val="decimal"/>
      <w:start w:val="8"/>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upperLetter"/>
      <w:start w:val="2"/>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lvl w:ilvl="1">
      <w:lvlJc w:val="left"/>
      <w:lvlText w:val="%2"/>
      <w:numFmt w:val="decimal"/>
      <w:start w:val="104"/>
    </w:lvl>
  </w:abstractNum>
  <w:abstractNum w:abstractNumId="36">
    <w:nsid w:val="100F8FCA"/>
    <w:multiLevelType w:val="hybridMultilevel"/>
    <w:lvl w:ilvl="0">
      <w:lvlJc w:val="left"/>
      <w:lvlText w:val="**"/>
      <w:numFmt w:val="bullet"/>
      <w:start w:val="1"/>
    </w:lvl>
    <w:lvl w:ilvl="1">
      <w:lvlJc w:val="left"/>
      <w:lvlText w:val="%2"/>
      <w:numFmt w:val="decimal"/>
      <w:start w:val="1"/>
    </w:lvl>
  </w:abstractNum>
  <w:abstractNum w:abstractNumId="37">
    <w:nsid w:val="6590700B"/>
    <w:multiLevelType w:val="hybridMultilevel"/>
    <w:lvl w:ilvl="0">
      <w:lvlJc w:val="left"/>
      <w:lvlText w:val="%1."/>
      <w:numFmt w:val="decimal"/>
      <w:start w:val="1"/>
    </w:lvl>
    <w:lvl w:ilvl="1">
      <w:lvlJc w:val="left"/>
      <w:lvlText w:val="(%2)"/>
      <w:numFmt w:val="lowerLetter"/>
      <w:start w:val="1"/>
    </w:lvl>
  </w:abstractNum>
  <w:abstractNum w:abstractNumId="38">
    <w:nsid w:val="15014ACB"/>
    <w:multiLevelType w:val="hybridMultilevel"/>
    <w:lvl w:ilvl="0">
      <w:lvlJc w:val="left"/>
      <w:lvlText w:val="(%1)"/>
      <w:numFmt w:val="lowerLetter"/>
      <w:start w:val="1"/>
    </w:lvl>
    <w:lvl w:ilvl="1">
      <w:lvlJc w:val="left"/>
      <w:lvlText w:val="(%2)"/>
      <w:numFmt w:val="lowerRoman"/>
      <w:start w:val="1"/>
    </w:lvl>
  </w:abstractNum>
  <w:abstractNum w:abstractNumId="39">
    <w:nsid w:val="5F5E7FD0"/>
    <w:multiLevelType w:val="hybridMultilevel"/>
    <w:lvl w:ilvl="0">
      <w:lvlJc w:val="left"/>
      <w:lvlText w:val="(%1)"/>
      <w:numFmt w:val="lowerLetter"/>
      <w:start w:val="3"/>
    </w:lvl>
  </w:abstractNum>
  <w:abstractNum w:abstractNumId="40">
    <w:nsid w:val="98A3148"/>
    <w:multiLevelType w:val="hybridMultilevel"/>
    <w:lvl w:ilvl="0">
      <w:lvlJc w:val="left"/>
      <w:lvlText w:val="(%1)"/>
      <w:numFmt w:val="lowerLetter"/>
      <w:start w:val="1"/>
    </w:lvl>
  </w:abstractNum>
  <w:abstractNum w:abstractNumId="41">
    <w:nsid w:val="799D0247"/>
    <w:multiLevelType w:val="hybridMultilevel"/>
    <w:lvl w:ilvl="0">
      <w:lvlJc w:val="left"/>
      <w:lvlText w:val="(%1)"/>
      <w:numFmt w:val="lowerLetter"/>
      <w:start w:val="1"/>
    </w:lvl>
  </w:abstractNum>
  <w:abstractNum w:abstractNumId="42">
    <w:nsid w:val="6B94764"/>
    <w:multiLevelType w:val="hybridMultilevel"/>
    <w:lvl w:ilvl="0">
      <w:lvlJc w:val="left"/>
      <w:lvlText w:val="(%1)"/>
      <w:numFmt w:val="lowerLetter"/>
      <w:start w:val="3"/>
    </w:lvl>
  </w:abstractNum>
  <w:abstractNum w:abstractNumId="43">
    <w:nsid w:val="42C296BD"/>
    <w:multiLevelType w:val="hybridMultilevel"/>
    <w:lvl w:ilvl="0">
      <w:lvlJc w:val="left"/>
      <w:lvlText w:val="(%1)"/>
      <w:numFmt w:val="lowerLetter"/>
      <w:start w:val="1"/>
    </w:lvl>
  </w:abstractNum>
  <w:abstractNum w:abstractNumId="44">
    <w:nsid w:val="168E121F"/>
    <w:multiLevelType w:val="hybridMultilevel"/>
    <w:lvl w:ilvl="0">
      <w:lvlJc w:val="left"/>
      <w:lvlText w:val="(%1)"/>
      <w:numFmt w:val="lowerLetter"/>
      <w:start w:val="1"/>
    </w:lvl>
  </w:abstractNum>
  <w:abstractNum w:abstractNumId="45">
    <w:nsid w:val="1EBA5D23"/>
    <w:multiLevelType w:val="hybridMultilevel"/>
    <w:lvl w:ilvl="0">
      <w:lvlJc w:val="left"/>
      <w:lvlText w:val="(%1)"/>
      <w:numFmt w:val="lowerLetter"/>
      <w:start w:val="4"/>
    </w:lvl>
  </w:abstractNum>
  <w:abstractNum w:abstractNumId="46">
    <w:nsid w:val="661E3F1E"/>
    <w:multiLevelType w:val="hybridMultilevel"/>
    <w:lvl w:ilvl="0">
      <w:lvlJc w:val="left"/>
      <w:lvlText w:val="(%1)"/>
      <w:numFmt w:val="lowerLetter"/>
      <w:start w:val="1"/>
    </w:lvl>
  </w:abstractNum>
  <w:abstractNum w:abstractNumId="47">
    <w:nsid w:val="5DC79EA8"/>
    <w:multiLevelType w:val="hybridMultilevel"/>
    <w:lvl w:ilvl="0">
      <w:lvlJc w:val="left"/>
      <w:lvlText w:val="%1"/>
      <w:numFmt w:val="decimal"/>
      <w:start w:val="1"/>
    </w:lvl>
    <w:lvl w:ilvl="1">
      <w:lvlJc w:val="left"/>
      <w:lvlText w:val="(%2)"/>
      <w:numFmt w:val="lowerLetter"/>
      <w:start w:val="2"/>
    </w:lvl>
  </w:abstractNum>
  <w:abstractNum w:abstractNumId="48">
    <w:nsid w:val="540A471C"/>
    <w:multiLevelType w:val="hybridMultilevel"/>
    <w:lvl w:ilvl="0">
      <w:lvlJc w:val="left"/>
      <w:lvlText w:val="%1."/>
      <w:numFmt w:val="decimal"/>
      <w:start w:val="2"/>
    </w:lvl>
    <w:lvl w:ilvl="1">
      <w:lvlJc w:val="left"/>
      <w:lvlText w:val="%2"/>
      <w:numFmt w:val="lowerLetter"/>
      <w:start w:val="1"/>
    </w:lvl>
  </w:abstractNum>
  <w:abstractNum w:abstractNumId="49">
    <w:nsid w:val="7BD3EE7B"/>
    <w:multiLevelType w:val="hybridMultilevel"/>
    <w:lvl w:ilvl="0">
      <w:lvlJc w:val="left"/>
      <w:lvlText w:val="(%1)"/>
      <w:numFmt w:val="lowerLetter"/>
      <w:start w:val="1"/>
    </w:lvl>
  </w:abstractNum>
  <w:abstractNum w:abstractNumId="50">
    <w:nsid w:val="51D9C564"/>
    <w:multiLevelType w:val="hybridMultilevel"/>
    <w:lvl w:ilvl="0">
      <w:lvlJc w:val="left"/>
      <w:lvlText w:val="(%1)"/>
      <w:numFmt w:val="lowerLetter"/>
      <w:start w:val="12"/>
    </w:lvl>
  </w:abstractNum>
  <w:abstractNum w:abstractNumId="51">
    <w:nsid w:val="613EFDC5"/>
    <w:multiLevelType w:val="hybridMultilevel"/>
    <w:lvl w:ilvl="0">
      <w:lvlJc w:val="left"/>
      <w:lvlText w:val="(%1)"/>
      <w:numFmt w:val="lowerLetter"/>
      <w:start w:val="1"/>
    </w:lvl>
  </w:abstractNum>
  <w:abstractNum w:abstractNumId="52">
    <w:nsid w:val="BF72B14"/>
    <w:multiLevelType w:val="hybridMultilevel"/>
    <w:lvl w:ilvl="0">
      <w:lvlJc w:val="left"/>
      <w:lvlText w:val="%1"/>
      <w:numFmt w:val="decimal"/>
      <w:start w:val="1"/>
    </w:lvl>
    <w:lvl w:ilvl="1">
      <w:lvlJc w:val="left"/>
      <w:lvlText w:val="(%2)"/>
      <w:numFmt w:val="lowerLetter"/>
      <w:start w:val="1"/>
    </w:lvl>
  </w:abstractNum>
  <w:abstractNum w:abstractNumId="53">
    <w:nsid w:val="11447B73"/>
    <w:multiLevelType w:val="hybridMultilevel"/>
    <w:lvl w:ilvl="0">
      <w:lvlJc w:val="left"/>
      <w:lvlText w:val="%1."/>
      <w:numFmt w:val="decimal"/>
      <w:start w:val="3"/>
    </w:lvl>
    <w:lvl w:ilvl="1">
      <w:lvlJc w:val="left"/>
      <w:lvlText w:val="%2"/>
      <w:numFmt w:val="lowerLetter"/>
      <w:start w:val="1"/>
    </w:lvl>
  </w:abstractNum>
  <w:abstractNum w:abstractNumId="54">
    <w:nsid w:val="42963E5A"/>
    <w:multiLevelType w:val="hybridMultilevel"/>
    <w:lvl w:ilvl="0">
      <w:lvlJc w:val="left"/>
      <w:lvlText w:val="(%1)"/>
      <w:numFmt w:val="lowerLetter"/>
      <w:start w:val="1"/>
    </w:lvl>
  </w:abstractNum>
  <w:abstractNum w:abstractNumId="55">
    <w:nsid w:val="A0382C5"/>
    <w:multiLevelType w:val="hybridMultilevel"/>
    <w:lvl w:ilvl="0">
      <w:lvlJc w:val="left"/>
      <w:lvlText w:val="%1."/>
      <w:numFmt w:val="decimal"/>
      <w:start w:val="4"/>
    </w:lvl>
  </w:abstractNum>
  <w:abstractNum w:abstractNumId="56">
    <w:nsid w:val="8F2B15E"/>
    <w:multiLevelType w:val="hybridMultilevel"/>
    <w:lvl w:ilvl="0">
      <w:lvlJc w:val="left"/>
      <w:lvlText w:val="(%1)"/>
      <w:numFmt w:val="lowerLetter"/>
      <w:start w:val="1"/>
    </w:lvl>
  </w:abstractNum>
  <w:abstractNum w:abstractNumId="57">
    <w:nsid w:val="1A32234B"/>
    <w:multiLevelType w:val="hybridMultilevel"/>
    <w:lvl w:ilvl="0">
      <w:lvlJc w:val="left"/>
      <w:lvlText w:val="(%1)"/>
      <w:numFmt w:val="lowerLetter"/>
      <w:start w:val="1"/>
    </w:lvl>
  </w:abstractNum>
  <w:abstractNum w:abstractNumId="58">
    <w:nsid w:val="3B0FD379"/>
    <w:multiLevelType w:val="hybridMultilevel"/>
    <w:lvl w:ilvl="0">
      <w:lvlJc w:val="left"/>
      <w:lvlText w:val="(%1)"/>
      <w:numFmt w:val="lowerLetter"/>
      <w:start w:val="3"/>
    </w:lvl>
  </w:abstractNum>
  <w:abstractNum w:abstractNumId="59">
    <w:nsid w:val="68EB2F63"/>
    <w:multiLevelType w:val="hybridMultilevel"/>
    <w:lvl w:ilvl="0">
      <w:lvlJc w:val="left"/>
      <w:lvlText w:val="(%1)"/>
      <w:numFmt w:val="lowerLetter"/>
      <w:start w:val="1"/>
    </w:lvl>
  </w:abstractNum>
  <w:abstractNum w:abstractNumId="60">
    <w:nsid w:val="4962813B"/>
    <w:multiLevelType w:val="hybridMultilevel"/>
    <w:lvl w:ilvl="0">
      <w:lvlJc w:val="left"/>
      <w:lvlText w:val="(%1)"/>
      <w:numFmt w:val="lowerLetter"/>
      <w:start w:val="1"/>
    </w:lvl>
  </w:abstractNum>
  <w:abstractNum w:abstractNumId="61">
    <w:nsid w:val="60B6DF70"/>
    <w:multiLevelType w:val="hybridMultilevel"/>
    <w:lvl w:ilvl="0">
      <w:lvlJc w:val="left"/>
      <w:lvlText w:val="%1."/>
      <w:numFmt w:val="decimal"/>
      <w:start w:val="5"/>
    </w:lvl>
  </w:abstractNum>
  <w:abstractNum w:abstractNumId="62">
    <w:nsid w:val="6A5EE64"/>
    <w:multiLevelType w:val="hybridMultilevel"/>
    <w:lvl w:ilvl="0">
      <w:lvlJc w:val="left"/>
      <w:lvlText w:val="(%1)"/>
      <w:numFmt w:val="lowerLetter"/>
      <w:start w:val="1"/>
    </w:lvl>
  </w:abstractNum>
  <w:abstractNum w:abstractNumId="63">
    <w:nsid w:val="14330624"/>
    <w:multiLevelType w:val="hybridMultilevel"/>
    <w:lvl w:ilvl="0">
      <w:lvlJc w:val="left"/>
      <w:lvlText w:val="(%1)"/>
      <w:numFmt w:val="lowerLetter"/>
      <w:start w:val="1"/>
    </w:lvl>
  </w:abstractNum>
  <w:abstractNum w:abstractNumId="64">
    <w:nsid w:val="7FFFCA11"/>
    <w:multiLevelType w:val="hybridMultilevel"/>
    <w:lvl w:ilvl="0">
      <w:lvlJc w:val="left"/>
      <w:lvlText w:val="(%1)"/>
      <w:numFmt w:val="lowerLetter"/>
      <w:start w:val="6"/>
    </w:lvl>
  </w:abstractNum>
  <w:abstractNum w:abstractNumId="65">
    <w:nsid w:val="1A27709E"/>
    <w:multiLevelType w:val="hybridMultilevel"/>
    <w:lvl w:ilvl="0">
      <w:lvlJc w:val="left"/>
      <w:lvlText w:val="(%1)"/>
      <w:numFmt w:val="lowerLetter"/>
      <w:start w:val="1"/>
    </w:lvl>
  </w:abstractNum>
  <w:abstractNum w:abstractNumId="66">
    <w:nsid w:val="71EA1109"/>
    <w:multiLevelType w:val="hybridMultilevel"/>
    <w:lvl w:ilvl="0">
      <w:lvlJc w:val="left"/>
      <w:lvlText w:val="(%1)"/>
      <w:numFmt w:val="lowerLetter"/>
      <w:start w:val="1"/>
    </w:lvl>
  </w:abstractNum>
  <w:abstractNum w:abstractNumId="67">
    <w:nsid w:val="100F59DC"/>
    <w:multiLevelType w:val="hybridMultilevel"/>
    <w:lvl w:ilvl="0">
      <w:lvlJc w:val="left"/>
      <w:lvlText w:val="(%1)"/>
      <w:numFmt w:val="lowerLetter"/>
      <w:start w:val="2"/>
    </w:lvl>
  </w:abstractNum>
  <w:abstractNum w:abstractNumId="68">
    <w:nsid w:val="7FB7E0AA"/>
    <w:multiLevelType w:val="hybridMultilevel"/>
    <w:lvl w:ilvl="0">
      <w:lvlJc w:val="left"/>
      <w:lvlText w:val="%1"/>
      <w:numFmt w:val="lowerLetter"/>
      <w:start w:val="1"/>
    </w:lvl>
    <w:lvl w:ilvl="1">
      <w:lvlJc w:val="left"/>
      <w:lvlText w:val="(%2)"/>
      <w:numFmt w:val="lowerLetter"/>
      <w:start w:val="1"/>
    </w:lvl>
  </w:abstractNum>
  <w:abstractNum w:abstractNumId="69">
    <w:nsid w:val="6EB5BD4"/>
    <w:multiLevelType w:val="hybridMultilevel"/>
    <w:lvl w:ilvl="0">
      <w:lvlJc w:val="left"/>
      <w:lvlText w:val="(%1)"/>
      <w:numFmt w:val="lowerLetter"/>
      <w:start w:val="35"/>
    </w:lvl>
    <w:lvl w:ilvl="1">
      <w:lvlJc w:val="left"/>
      <w:lvlText w:val="%2"/>
      <w:numFmt w:val="lowerLetter"/>
      <w:start w:val="1"/>
    </w:lvl>
  </w:abstractNum>
  <w:abstractNum w:abstractNumId="70">
    <w:nsid w:val="6F6DD9AC"/>
    <w:multiLevelType w:val="hybridMultilevel"/>
    <w:lvl w:ilvl="0">
      <w:lvlJc w:val="left"/>
      <w:lvlText w:val="(%1)"/>
      <w:numFmt w:val="lowerLetter"/>
      <w:start w:val="1"/>
    </w:lvl>
  </w:abstractNum>
  <w:abstractNum w:abstractNumId="71">
    <w:nsid w:val="94211F2"/>
    <w:multiLevelType w:val="hybridMultilevel"/>
    <w:lvl w:ilvl="0">
      <w:lvlJc w:val="left"/>
      <w:lvlText w:val="%1"/>
      <w:numFmt w:val="decimal"/>
      <w:start w:val="1"/>
    </w:lvl>
    <w:lvl w:ilvl="1">
      <w:lvlJc w:val="left"/>
      <w:lvlText w:val="(%2)"/>
      <w:numFmt w:val="lowerLetter"/>
      <w:start w:val="1"/>
    </w:lvl>
  </w:abstractNum>
  <w:abstractNum w:abstractNumId="72">
    <w:nsid w:val="885E1B"/>
    <w:multiLevelType w:val="hybridMultilevel"/>
    <w:lvl w:ilvl="0">
      <w:lvlJc w:val="left"/>
      <w:lvlText w:val="%1."/>
      <w:numFmt w:val="decimal"/>
      <w:start w:val="6"/>
    </w:lvl>
    <w:lvl w:ilvl="1">
      <w:lvlJc w:val="left"/>
      <w:lvlText w:val="%2"/>
      <w:numFmt w:val="lowerLetter"/>
      <w:start w:val="1"/>
    </w:lvl>
  </w:abstractNum>
  <w:abstractNum w:abstractNumId="73">
    <w:nsid w:val="76272110"/>
    <w:multiLevelType w:val="hybridMultilevel"/>
    <w:lvl w:ilvl="0">
      <w:lvlJc w:val="left"/>
      <w:lvlText w:val="%1."/>
      <w:numFmt w:val="decimal"/>
      <w:start w:val="7"/>
    </w:lvl>
  </w:abstractNum>
  <w:abstractNum w:abstractNumId="74">
    <w:nsid w:val="4C04A8AF"/>
    <w:multiLevelType w:val="hybridMultilevel"/>
    <w:lvl w:ilvl="0">
      <w:lvlJc w:val="left"/>
      <w:lvlText w:val="(%1)"/>
      <w:numFmt w:val="lowerLetter"/>
      <w:start w:val="1"/>
    </w:lvl>
  </w:abstractNum>
  <w:abstractNum w:abstractNumId="75">
    <w:nsid w:val="1716703B"/>
    <w:multiLevelType w:val="hybridMultilevel"/>
    <w:lvl w:ilvl="0">
      <w:lvlJc w:val="left"/>
      <w:lvlText w:val="(%1)"/>
      <w:numFmt w:val="lowerLetter"/>
      <w:start w:val="1"/>
    </w:lvl>
  </w:abstractNum>
  <w:abstractNum w:abstractNumId="76">
    <w:nsid w:val="14E17E33"/>
    <w:multiLevelType w:val="hybridMultilevel"/>
    <w:lvl w:ilvl="0">
      <w:lvlJc w:val="left"/>
      <w:lvlText w:val="%1."/>
      <w:numFmt w:val="decimal"/>
      <w:start w:val="8"/>
    </w:lvl>
  </w:abstractNum>
  <w:abstractNum w:abstractNumId="77">
    <w:nsid w:val="3222E7CD"/>
    <w:multiLevelType w:val="hybridMultilevel"/>
    <w:lvl w:ilvl="0">
      <w:lvlJc w:val="left"/>
      <w:lvlText w:val="(%1)"/>
      <w:numFmt w:val="lowerLetter"/>
      <w:start w:val="1"/>
    </w:lvl>
  </w:abstractNum>
  <w:abstractNum w:abstractNumId="78">
    <w:nsid w:val="74DE0EE3"/>
    <w:multiLevelType w:val="hybridMultilevel"/>
    <w:lvl w:ilvl="0">
      <w:lvlJc w:val="left"/>
      <w:lvlText w:val="(%1)"/>
      <w:numFmt w:val="lowerLetter"/>
      <w:start w:val="2"/>
    </w:lvl>
  </w:abstractNum>
  <w:abstractNum w:abstractNumId="79">
    <w:nsid w:val="68EBC550"/>
    <w:multiLevelType w:val="hybridMultilevel"/>
    <w:lvl w:ilvl="0">
      <w:lvlJc w:val="left"/>
      <w:lvlText w:val="%1."/>
      <w:numFmt w:val="decimal"/>
      <w:start w:val="9"/>
    </w:lvl>
  </w:abstractNum>
  <w:abstractNum w:abstractNumId="80">
    <w:nsid w:val="2DF6D648"/>
    <w:multiLevelType w:val="hybridMultilevel"/>
    <w:lvl w:ilvl="0">
      <w:lvlJc w:val="left"/>
      <w:lvlText w:val="%1."/>
      <w:numFmt w:val="decimal"/>
      <w:start w:val="10"/>
    </w:lvl>
  </w:abstractNum>
  <w:abstractNum w:abstractNumId="81">
    <w:nsid w:val="46B7D447"/>
    <w:multiLevelType w:val="hybridMultilevel"/>
    <w:lvl w:ilvl="0">
      <w:lvlJc w:val="left"/>
      <w:lvlText w:val="%1."/>
      <w:numFmt w:val="decimal"/>
      <w:start w:val="11"/>
    </w:lvl>
  </w:abstractNum>
  <w:abstractNum w:abstractNumId="82">
    <w:nsid w:val="4A2AC315"/>
    <w:multiLevelType w:val="hybridMultilevel"/>
    <w:lvl w:ilvl="0">
      <w:lvlJc w:val="left"/>
      <w:lvlText w:val="(%1)"/>
      <w:numFmt w:val="lowerLetter"/>
      <w:start w:val="1"/>
    </w:lvl>
  </w:abstractNum>
  <w:abstractNum w:abstractNumId="83">
    <w:nsid w:val="39EE015C"/>
    <w:multiLevelType w:val="hybridMultilevel"/>
    <w:lvl w:ilvl="0">
      <w:lvlJc w:val="left"/>
      <w:lvlText w:val="%1."/>
      <w:numFmt w:val="decimal"/>
      <w:start w:val="12"/>
    </w:lvl>
    <w:lvl w:ilvl="1">
      <w:lvlJc w:val="left"/>
      <w:lvlText w:val="(%2)"/>
      <w:numFmt w:val="lowerLetter"/>
      <w:start w:val="1"/>
    </w:lvl>
  </w:abstractNum>
  <w:abstractNum w:abstractNumId="84">
    <w:nsid w:val="57FC4FBB"/>
    <w:multiLevelType w:val="hybridMultilevel"/>
    <w:lvl w:ilvl="0">
      <w:lvlJc w:val="left"/>
      <w:lvlText w:val="(%1)"/>
      <w:numFmt w:val="lowerLetter"/>
      <w:start w:val="1"/>
    </w:lvl>
    <w:lvl w:ilvl="1">
      <w:lvlJc w:val="left"/>
      <w:lvlText w:val="(%2)"/>
      <w:numFmt w:val="lowerRoman"/>
      <w:start w:val="1"/>
    </w:lvl>
  </w:abstractNum>
  <w:abstractNum w:abstractNumId="85">
    <w:nsid w:val="CC1016F"/>
    <w:multiLevelType w:val="hybridMultilevel"/>
    <w:lvl w:ilvl="0">
      <w:lvlJc w:val="left"/>
      <w:lvlText w:val="(%1)"/>
      <w:numFmt w:val="lowerLetter"/>
      <w:start w:val="3"/>
    </w:lvl>
  </w:abstractNum>
  <w:abstractNum w:abstractNumId="86">
    <w:nsid w:val="43F18422"/>
    <w:multiLevelType w:val="hybridMultilevel"/>
    <w:lvl w:ilvl="0">
      <w:lvlJc w:val="left"/>
      <w:lvlText w:val="(%1)"/>
      <w:numFmt w:val="lowerLetter"/>
      <w:start w:val="1"/>
    </w:lvl>
  </w:abstractNum>
  <w:abstractNum w:abstractNumId="87">
    <w:nsid w:val="60EF0119"/>
    <w:multiLevelType w:val="hybridMultilevel"/>
    <w:lvl w:ilvl="0">
      <w:lvlJc w:val="left"/>
      <w:lvlText w:val="(%1)"/>
      <w:numFmt w:val="lowerLetter"/>
      <w:start w:val="1"/>
    </w:lvl>
  </w:abstractNum>
  <w:abstractNum w:abstractNumId="88">
    <w:nsid w:val="26F324BA"/>
    <w:multiLevelType w:val="hybridMultilevel"/>
    <w:lvl w:ilvl="0">
      <w:lvlJc w:val="left"/>
      <w:lvlText w:val="(%1)"/>
      <w:numFmt w:val="lowerLetter"/>
      <w:start w:val="7"/>
    </w:lvl>
  </w:abstractNum>
  <w:abstractNum w:abstractNumId="89">
    <w:nsid w:val="7F01579B"/>
    <w:multiLevelType w:val="hybridMultilevel"/>
    <w:lvl w:ilvl="0">
      <w:lvlJc w:val="left"/>
      <w:lvlText w:val="(%1)"/>
      <w:numFmt w:val="lowerLetter"/>
      <w:start w:val="1"/>
    </w:lvl>
  </w:abstractNum>
  <w:abstractNum w:abstractNumId="90">
    <w:nsid w:val="49DA307D"/>
    <w:multiLevelType w:val="hybridMultilevel"/>
    <w:lvl w:ilvl="0">
      <w:lvlJc w:val="left"/>
      <w:lvlText w:val="(%1)"/>
      <w:numFmt w:val="lowerLetter"/>
      <w:start w:val="7"/>
    </w:lvl>
  </w:abstractNum>
  <w:abstractNum w:abstractNumId="91">
    <w:nsid w:val="7055A5F5"/>
    <w:multiLevelType w:val="hybridMultilevel"/>
    <w:lvl w:ilvl="0">
      <w:lvlJc w:val="left"/>
      <w:lvlText w:val="(%1)"/>
      <w:numFmt w:val="lowerLetter"/>
      <w:start w:val="1"/>
    </w:lvl>
  </w:abstractNum>
  <w:abstractNum w:abstractNumId="92">
    <w:nsid w:val="5FB8370B"/>
    <w:multiLevelType w:val="hybridMultilevel"/>
    <w:lvl w:ilvl="0">
      <w:lvlJc w:val="left"/>
      <w:lvlText w:val="(%1)"/>
      <w:numFmt w:val="lowerLetter"/>
      <w:start w:val="15"/>
    </w:lvl>
  </w:abstractNum>
  <w:abstractNum w:abstractNumId="93">
    <w:nsid w:val="50801EE1"/>
    <w:multiLevelType w:val="hybridMultilevel"/>
    <w:lvl w:ilvl="0">
      <w:lvlJc w:val="left"/>
      <w:lvlText w:val="(%1)"/>
      <w:numFmt w:val="lowerLetter"/>
      <w:start w:val="1"/>
    </w:lvl>
  </w:abstractNum>
  <w:abstractNum w:abstractNumId="94">
    <w:nsid w:val="488AC1A"/>
    <w:multiLevelType w:val="hybridMultilevel"/>
    <w:lvl w:ilvl="0">
      <w:lvlJc w:val="left"/>
      <w:lvlText w:val="(%1)"/>
      <w:numFmt w:val="lowerLetter"/>
      <w:start w:val="10"/>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3"/>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82" Type="http://schemas.openxmlformats.org/officeDocument/2006/relationships/hyperlink" Target="http://www.sec.gov/Archives/edgar/data/1459839/000119312518303020/d641574dex31.htm" TargetMode="External"/><Relationship Id="rId83" Type="http://schemas.openxmlformats.org/officeDocument/2006/relationships/hyperlink" Target="http://www.sec.gov/Archives/edgar/data/1459839/000119312518293978/d452987dex34.htm" TargetMode="External"/><Relationship Id="rId84" Type="http://schemas.openxmlformats.org/officeDocument/2006/relationships/hyperlink" Target="http://www.sec.gov/Archives/edgar/data/1459839/000119312518293978/d4529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2021-11-09T15:28:35Z</dcterms:created>
  <dcterms:modified xsi:type="dcterms:W3CDTF">2021-11-09T15:28:35Z</dcterms:modified>
</cp:coreProperties>
</file>