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1,170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31.0522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179,446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433</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31.0522</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179,013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116,828 shares issuable on the settlement of restricted stock units granted to the Reporting Person. Each restricted stock unit represents a contingent right to receive one share of the Issuer's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02/18/2021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2021-02-18T18:13:17Z</dcterms:created>
  <dcterms:modified xsi:type="dcterms:W3CDTF">2021-02-18T18:13:17Z</dcterms:modified>
</cp:coreProperties>
</file>