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074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0745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FRANCIS LAURA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02/18/2020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80" w:type="dxa"/>
            <w:vAlign w:val="bottom"/>
            <w:gridSpan w:val="6"/>
          </w:tcPr>
          <w:p>
            <w:pPr>
              <w:jc w:val="right"/>
              <w:ind w:right="28"/>
              <w:spacing w:after="0" w:line="146" w:lineRule="exact"/>
              <w:rPr>
                <w:sz w:val="20"/>
                <w:szCs w:val="20"/>
                <w:color w:val="auto"/>
              </w:rPr>
            </w:pPr>
            <w:r>
              <w:rPr>
                <w:rFonts w:ascii="Arial" w:cs="Arial" w:eastAsia="Arial" w:hAnsi="Arial"/>
                <w:sz w:val="14"/>
                <w:szCs w:val="14"/>
                <w:color w:val="auto"/>
                <w:w w:val="99"/>
              </w:rPr>
              <w:t>4. If Amendment, Date of Original Filed (Month/Day/Year)</w:t>
            </w:r>
          </w:p>
        </w:tc>
        <w:tc>
          <w:tcPr>
            <w:tcW w:w="3920" w:type="dxa"/>
            <w:vAlign w:val="bottom"/>
            <w:gridSpan w:val="11"/>
          </w:tcPr>
          <w:p>
            <w:pPr>
              <w:ind w:left="4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3"/>
          </w:tcPr>
          <w:p>
            <w:pPr>
              <w:ind w:left="460"/>
              <w:spacing w:after="0"/>
              <w:rPr>
                <w:sz w:val="20"/>
                <w:szCs w:val="20"/>
                <w:color w:val="auto"/>
              </w:rPr>
            </w:pPr>
            <w:r>
              <w:rPr>
                <w:rFonts w:ascii="Arial" w:cs="Arial" w:eastAsia="Arial" w:hAnsi="Arial"/>
                <w:sz w:val="14"/>
                <w:szCs w:val="14"/>
                <w:color w:val="auto"/>
              </w:rPr>
              <w:t>Line)</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SANTA CLARA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95050</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40" w:type="dxa"/>
            <w:vAlign w:val="bottom"/>
            <w:gridSpan w:val="3"/>
          </w:tcPr>
          <w:p>
            <w:pPr>
              <w:jc w:val="right"/>
              <w:ind w:right="112"/>
              <w:spacing w:after="0"/>
              <w:rPr>
                <w:sz w:val="20"/>
                <w:szCs w:val="20"/>
                <w:color w:val="auto"/>
              </w:rPr>
            </w:pPr>
            <w:r>
              <w:rPr>
                <w:rFonts w:ascii="Arial" w:cs="Arial" w:eastAsia="Arial" w:hAnsi="Arial"/>
                <w:sz w:val="18"/>
                <w:szCs w:val="18"/>
                <w:color w:val="0000FF"/>
              </w:rPr>
              <w:t>02/18/2020</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9"/>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1,194</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60" w:type="dxa"/>
            <w:vAlign w:val="bottom"/>
          </w:tcPr>
          <w:p>
            <w:pPr>
              <w:jc w:val="center"/>
              <w:ind w:left="104"/>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4.68</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Arial" w:cs="Arial" w:eastAsia="Arial" w:hAnsi="Arial"/>
                <w:sz w:val="18"/>
                <w:szCs w:val="18"/>
                <w:color w:val="0000FF"/>
                <w:w w:val="86"/>
              </w:rPr>
              <w:t>141,569</w:t>
            </w:r>
          </w:p>
        </w:tc>
        <w:tc>
          <w:tcPr>
            <w:tcW w:w="260" w:type="dxa"/>
            <w:vAlign w:val="bottom"/>
          </w:tcPr>
          <w:p>
            <w:pPr>
              <w:spacing w:after="0"/>
              <w:rPr>
                <w:sz w:val="23"/>
                <w:szCs w:val="23"/>
                <w:color w:val="auto"/>
              </w:rPr>
            </w:pPr>
          </w:p>
        </w:tc>
        <w:tc>
          <w:tcPr>
            <w:tcW w:w="700" w:type="dxa"/>
            <w:vAlign w:val="bottom"/>
          </w:tcPr>
          <w:p>
            <w:pPr>
              <w:jc w:val="center"/>
              <w:ind w:right="306"/>
              <w:spacing w:after="0"/>
              <w:rPr>
                <w:sz w:val="20"/>
                <w:szCs w:val="20"/>
                <w:color w:val="auto"/>
              </w:rPr>
            </w:pPr>
            <w:r>
              <w:rPr>
                <w:rFonts w:ascii="Arial" w:cs="Arial" w:eastAsia="Arial" w:hAnsi="Arial"/>
                <w:sz w:val="18"/>
                <w:szCs w:val="18"/>
                <w:color w:val="0000FF"/>
                <w:w w:val="91"/>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02/18/2020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1,194</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20.4749</w:t>
            </w:r>
            <w:r>
              <w:rPr>
                <w:rFonts w:ascii="Arial" w:cs="Arial" w:eastAsia="Arial" w:hAnsi="Arial"/>
                <w:sz w:val="22"/>
                <w:szCs w:val="22"/>
                <w:color w:val="008000"/>
                <w:w w:val="85"/>
                <w:vertAlign w:val="superscript"/>
              </w:rPr>
              <w:t>(2)</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140,375</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40" w:type="dxa"/>
            <w:vAlign w:val="bottom"/>
            <w:gridSpan w:val="3"/>
          </w:tcPr>
          <w:p>
            <w:pPr>
              <w:jc w:val="right"/>
              <w:ind w:right="112"/>
              <w:spacing w:after="0"/>
              <w:rPr>
                <w:sz w:val="20"/>
                <w:szCs w:val="20"/>
                <w:color w:val="auto"/>
              </w:rPr>
            </w:pPr>
            <w:r>
              <w:rPr>
                <w:rFonts w:ascii="Arial" w:cs="Arial" w:eastAsia="Arial" w:hAnsi="Arial"/>
                <w:sz w:val="18"/>
                <w:szCs w:val="18"/>
                <w:color w:val="0000FF"/>
              </w:rPr>
              <w:t>02/18/2020</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9"/>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7,553</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60" w:type="dxa"/>
            <w:vAlign w:val="bottom"/>
          </w:tcPr>
          <w:p>
            <w:pPr>
              <w:jc w:val="center"/>
              <w:ind w:left="104"/>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4.32</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Arial" w:cs="Arial" w:eastAsia="Arial" w:hAnsi="Arial"/>
                <w:sz w:val="18"/>
                <w:szCs w:val="18"/>
                <w:color w:val="0000FF"/>
                <w:w w:val="86"/>
              </w:rPr>
              <w:t>147,928</w:t>
            </w:r>
          </w:p>
        </w:tc>
        <w:tc>
          <w:tcPr>
            <w:tcW w:w="260" w:type="dxa"/>
            <w:vAlign w:val="bottom"/>
          </w:tcPr>
          <w:p>
            <w:pPr>
              <w:spacing w:after="0"/>
              <w:rPr>
                <w:sz w:val="23"/>
                <w:szCs w:val="23"/>
                <w:color w:val="auto"/>
              </w:rPr>
            </w:pPr>
          </w:p>
        </w:tc>
        <w:tc>
          <w:tcPr>
            <w:tcW w:w="700" w:type="dxa"/>
            <w:vAlign w:val="bottom"/>
          </w:tcPr>
          <w:p>
            <w:pPr>
              <w:jc w:val="center"/>
              <w:ind w:right="306"/>
              <w:spacing w:after="0"/>
              <w:rPr>
                <w:sz w:val="20"/>
                <w:szCs w:val="20"/>
                <w:color w:val="auto"/>
              </w:rPr>
            </w:pPr>
            <w:r>
              <w:rPr>
                <w:rFonts w:ascii="Arial" w:cs="Arial" w:eastAsia="Arial" w:hAnsi="Arial"/>
                <w:sz w:val="18"/>
                <w:szCs w:val="18"/>
                <w:color w:val="0000FF"/>
                <w:w w:val="91"/>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02/18/2020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7,553</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20.4749</w:t>
            </w:r>
            <w:r>
              <w:rPr>
                <w:rFonts w:ascii="Arial" w:cs="Arial" w:eastAsia="Arial" w:hAnsi="Arial"/>
                <w:sz w:val="22"/>
                <w:szCs w:val="22"/>
                <w:color w:val="008000"/>
                <w:w w:val="85"/>
                <w:vertAlign w:val="superscript"/>
              </w:rPr>
              <w:t>(2)</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140,375</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02/18/2020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4"/>
                <w:szCs w:val="14"/>
                <w:color w:val="0000FF"/>
                <w:w w:val="85"/>
              </w:rPr>
              <w:t>S</w:t>
            </w:r>
          </w:p>
        </w:tc>
        <w:tc>
          <w:tcPr>
            <w:tcW w:w="78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w w:val="72"/>
                <w:vertAlign w:val="subscript"/>
              </w:rPr>
              <w:t>481</w:t>
            </w:r>
            <w:r>
              <w:rPr>
                <w:rFonts w:ascii="Arial" w:cs="Arial" w:eastAsia="Arial" w:hAnsi="Arial"/>
                <w:sz w:val="11"/>
                <w:szCs w:val="11"/>
                <w:color w:val="008000"/>
                <w:w w:val="72"/>
              </w:rPr>
              <w:t>(3)</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tcPr>
          <w:p>
            <w:pPr>
              <w:jc w:val="center"/>
              <w:ind w:left="104"/>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20.37</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139,894</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02/18/2020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4"/>
                <w:szCs w:val="14"/>
                <w:color w:val="0000FF"/>
                <w:w w:val="85"/>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422</w:t>
            </w:r>
            <w:r>
              <w:rPr>
                <w:rFonts w:ascii="Arial" w:cs="Arial" w:eastAsia="Arial" w:hAnsi="Arial"/>
                <w:sz w:val="22"/>
                <w:szCs w:val="22"/>
                <w:color w:val="008000"/>
                <w:w w:val="79"/>
                <w:vertAlign w:val="superscript"/>
              </w:rPr>
              <w:t>(3)</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tcPr>
          <w:p>
            <w:pPr>
              <w:jc w:val="center"/>
              <w:ind w:left="104"/>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20.37</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139,472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02/19/2020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944</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21.2448</w:t>
            </w:r>
            <w:r>
              <w:rPr>
                <w:rFonts w:ascii="Arial" w:cs="Arial" w:eastAsia="Arial" w:hAnsi="Arial"/>
                <w:sz w:val="22"/>
                <w:szCs w:val="22"/>
                <w:color w:val="008000"/>
                <w:w w:val="85"/>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138,528</w:t>
            </w:r>
            <w:r>
              <w:rPr>
                <w:rFonts w:ascii="Arial" w:cs="Arial" w:eastAsia="Arial" w:hAnsi="Arial"/>
                <w:sz w:val="22"/>
                <w:szCs w:val="22"/>
                <w:color w:val="008000"/>
                <w:w w:val="84"/>
                <w:vertAlign w:val="superscript"/>
              </w:rPr>
              <w:t>(5)</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9"/>
          </w:tcPr>
          <w:p>
            <w:pPr>
              <w:ind w:left="70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6"/>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jc w:val="center"/>
              <w:ind w:right="339"/>
              <w:spacing w:after="0" w:line="135"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4.68</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0000FF"/>
              </w:rPr>
              <w:t>02/18/2020</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vMerge w:val="restart"/>
          </w:tcPr>
          <w:p>
            <w:pPr>
              <w:jc w:val="right"/>
              <w:ind w:right="92"/>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2"/>
                <w:szCs w:val="12"/>
                <w:color w:val="auto"/>
              </w:rPr>
            </w:pPr>
          </w:p>
        </w:tc>
        <w:tc>
          <w:tcPr>
            <w:tcW w:w="720" w:type="dxa"/>
            <w:vAlign w:val="bottom"/>
            <w:vMerge w:val="restart"/>
          </w:tcPr>
          <w:p>
            <w:pPr>
              <w:ind w:left="360"/>
              <w:spacing w:after="0"/>
              <w:rPr>
                <w:sz w:val="20"/>
                <w:szCs w:val="20"/>
                <w:color w:val="auto"/>
              </w:rPr>
            </w:pPr>
            <w:r>
              <w:rPr>
                <w:rFonts w:ascii="Arial" w:cs="Arial" w:eastAsia="Arial" w:hAnsi="Arial"/>
                <w:sz w:val="14"/>
                <w:szCs w:val="14"/>
                <w:color w:val="0000FF"/>
                <w:w w:val="96"/>
              </w:rPr>
              <w:t>1,194</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(6)</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0000FF"/>
                <w:w w:val="85"/>
              </w:rPr>
              <w:t>03/01/2027</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4"/>
              </w:rPr>
              <w:t>Common</w:t>
            </w:r>
          </w:p>
        </w:tc>
        <w:tc>
          <w:tcPr>
            <w:tcW w:w="660" w:type="dxa"/>
            <w:vAlign w:val="bottom"/>
            <w:vMerge w:val="restart"/>
          </w:tcPr>
          <w:p>
            <w:pPr>
              <w:ind w:left="180"/>
              <w:spacing w:after="0"/>
              <w:rPr>
                <w:sz w:val="20"/>
                <w:szCs w:val="20"/>
                <w:color w:val="auto"/>
              </w:rPr>
            </w:pPr>
            <w:r>
              <w:rPr>
                <w:rFonts w:ascii="Arial" w:cs="Arial" w:eastAsia="Arial" w:hAnsi="Arial"/>
                <w:sz w:val="18"/>
                <w:szCs w:val="18"/>
                <w:color w:val="0000FF"/>
              </w:rPr>
              <w:t>1,194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vMerge w:val="restart"/>
          </w:tcPr>
          <w:p>
            <w:pPr>
              <w:jc w:val="right"/>
              <w:ind w:right="218"/>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0000FF"/>
              </w:rPr>
              <w:t>16,113</w:t>
            </w:r>
          </w:p>
        </w:tc>
        <w:tc>
          <w:tcPr>
            <w:tcW w:w="26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80" w:type="dxa"/>
            <w:vAlign w:val="bottom"/>
            <w:vMerge w:val="restart"/>
          </w:tcPr>
          <w:p>
            <w:pPr>
              <w:jc w:val="right"/>
              <w:ind w:right="28"/>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4.32</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0000FF"/>
              </w:rPr>
              <w:t>02/18/2020</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vMerge w:val="restart"/>
          </w:tcPr>
          <w:p>
            <w:pPr>
              <w:jc w:val="right"/>
              <w:ind w:right="92"/>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2"/>
                <w:szCs w:val="12"/>
                <w:color w:val="auto"/>
              </w:rPr>
            </w:pPr>
          </w:p>
        </w:tc>
        <w:tc>
          <w:tcPr>
            <w:tcW w:w="720" w:type="dxa"/>
            <w:vAlign w:val="bottom"/>
            <w:vMerge w:val="restart"/>
          </w:tcPr>
          <w:p>
            <w:pPr>
              <w:ind w:left="360"/>
              <w:spacing w:after="0"/>
              <w:rPr>
                <w:sz w:val="20"/>
                <w:szCs w:val="20"/>
                <w:color w:val="auto"/>
              </w:rPr>
            </w:pPr>
            <w:r>
              <w:rPr>
                <w:rFonts w:ascii="Arial" w:cs="Arial" w:eastAsia="Arial" w:hAnsi="Arial"/>
                <w:sz w:val="14"/>
                <w:szCs w:val="14"/>
                <w:color w:val="0000FF"/>
                <w:w w:val="96"/>
              </w:rPr>
              <w:t>7,553</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(6)</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0000FF"/>
                <w:w w:val="85"/>
              </w:rPr>
              <w:t>05/25/2025</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4"/>
              </w:rPr>
              <w:t>Common</w:t>
            </w:r>
          </w:p>
        </w:tc>
        <w:tc>
          <w:tcPr>
            <w:tcW w:w="660" w:type="dxa"/>
            <w:vAlign w:val="bottom"/>
            <w:vMerge w:val="restart"/>
          </w:tcPr>
          <w:p>
            <w:pPr>
              <w:ind w:left="180"/>
              <w:spacing w:after="0"/>
              <w:rPr>
                <w:sz w:val="20"/>
                <w:szCs w:val="20"/>
                <w:color w:val="auto"/>
              </w:rPr>
            </w:pPr>
            <w:r>
              <w:rPr>
                <w:rFonts w:ascii="Arial" w:cs="Arial" w:eastAsia="Arial" w:hAnsi="Arial"/>
                <w:sz w:val="18"/>
                <w:szCs w:val="18"/>
                <w:color w:val="0000FF"/>
              </w:rPr>
              <w:t>7,553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vMerge w:val="restart"/>
          </w:tcPr>
          <w:p>
            <w:pPr>
              <w:jc w:val="right"/>
              <w:ind w:right="218"/>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0000FF"/>
              </w:rPr>
              <w:t>156,103</w:t>
            </w:r>
          </w:p>
        </w:tc>
        <w:tc>
          <w:tcPr>
            <w:tcW w:w="26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80" w:type="dxa"/>
            <w:vAlign w:val="bottom"/>
            <w:vMerge w:val="restart"/>
          </w:tcPr>
          <w:p>
            <w:pPr>
              <w:jc w:val="right"/>
              <w:ind w:right="28"/>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was effected pursuant to a 10b5-1 trading plan.</w:t>
      </w:r>
    </w:p>
    <w:p>
      <w:pPr>
        <w:spacing w:after="0" w:line="41" w:lineRule="exact"/>
        <w:rPr>
          <w:rFonts w:ascii="Arial" w:cs="Arial" w:eastAsia="Arial" w:hAnsi="Arial"/>
          <w:sz w:val="14"/>
          <w:szCs w:val="14"/>
          <w:color w:val="008000"/>
        </w:rPr>
      </w:pPr>
    </w:p>
    <w:p>
      <w:pPr>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$20.20 to $20.70, inclusive. The Reporting Person undertakes to provide the Issuer, any securityholder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30" w:lineRule="exact"/>
        <w:rPr>
          <w:rFonts w:ascii="Arial" w:cs="Arial" w:eastAsia="Arial" w:hAnsi="Arial"/>
          <w:sz w:val="14"/>
          <w:szCs w:val="14"/>
          <w:color w:val="008000"/>
        </w:rPr>
      </w:pPr>
    </w:p>
    <w:p>
      <w:pPr>
        <w:jc w:val="both"/>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$21.239 to $21.25, inclusive. The Reporting Person undertakes to provide the Issuer, any securityholder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90,501 shares issuable on settlement of restricted stock units granted to the Reporting Person. Each restricted stock unit represents a contingent right to receive one shares of the Issuer's common stock.</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vest in equal monthly installments over four years commencing on vesting commencement date, subject to Reporting Person's continued service through each relevant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Laura A.</w:t>
      </w:r>
      <w:r>
        <w:rPr>
          <w:sz w:val="20"/>
          <w:szCs w:val="20"/>
          <w:color w:val="auto"/>
        </w:rPr>
        <w:tab/>
      </w:r>
      <w:r>
        <w:rPr>
          <w:rFonts w:ascii="Arial" w:cs="Arial" w:eastAsia="Arial" w:hAnsi="Arial"/>
          <w:sz w:val="15"/>
          <w:szCs w:val="15"/>
          <w:color w:val="0000FF"/>
        </w:rPr>
        <w:t>02/20/2020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8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8295" cy="8890"/>
                    </a:xfrm>
                    <a:prstGeom prst="rect">
                      <a:avLst/>
                    </a:prstGeom>
                    <a:noFill/>
                  </pic:spPr>
                </pic:pic>
              </a:graphicData>
            </a:graphic>
          </wp:anchor>
        </w:drawing>
      </w:r>
    </w:p>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880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2020-02-20T18:59:24Z</dcterms:created>
  <dcterms:modified xsi:type="dcterms:W3CDTF">2020-02-20T18:59:24Z</dcterms:modified>
</cp:coreProperties>
</file>