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LAURA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46"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74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80" w:type="dxa"/>
            <w:vAlign w:val="bottom"/>
            <w:tcBorders>
              <w:top w:val="single" w:sz="8" w:color="2C2C2C"/>
              <w:bottom w:val="single" w:sz="8" w:color="2C2C2C"/>
            </w:tcBorders>
            <w:gridSpan w:val="6"/>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gridSpan w:val="6"/>
            <w:vMerge w:val="continue"/>
          </w:tcPr>
          <w:p>
            <w:pPr>
              <w:spacing w:after="0" w:line="20" w:lineRule="exact"/>
              <w:rPr>
                <w:sz w:val="1"/>
                <w:szCs w:val="1"/>
                <w:color w:val="auto"/>
              </w:rPr>
            </w:pPr>
          </w:p>
        </w:tc>
        <w:tc>
          <w:tcPr>
            <w:tcW w:w="3380" w:type="dxa"/>
            <w:vAlign w:val="bottom"/>
            <w:gridSpan w:val="6"/>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740" w:type="dxa"/>
            <w:vAlign w:val="bottom"/>
            <w:gridSpan w:val="6"/>
            <w:vMerge w:val="continue"/>
          </w:tcPr>
          <w:p>
            <w:pPr>
              <w:spacing w:after="0"/>
              <w:rPr>
                <w:sz w:val="12"/>
                <w:szCs w:val="12"/>
                <w:color w:val="auto"/>
              </w:rPr>
            </w:pPr>
          </w:p>
        </w:tc>
        <w:tc>
          <w:tcPr>
            <w:tcW w:w="3380" w:type="dxa"/>
            <w:vAlign w:val="bottom"/>
            <w:gridSpan w:val="6"/>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7"/>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3" w:lineRule="exact"/>
              <w:rPr>
                <w:sz w:val="20"/>
                <w:szCs w:val="20"/>
                <w:color w:val="auto"/>
              </w:rPr>
            </w:pPr>
            <w:r>
              <w:rPr>
                <w:rFonts w:ascii="Arial" w:cs="Arial" w:eastAsia="Arial" w:hAnsi="Arial"/>
                <w:sz w:val="17"/>
                <w:szCs w:val="17"/>
                <w:color w:val="0000FF"/>
              </w:rPr>
              <w:t>CLARA</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40" w:type="dxa"/>
            <w:vAlign w:val="bottom"/>
            <w:gridSpan w:val="6"/>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tcPr>
          <w:p>
            <w:pPr>
              <w:ind w:left="120"/>
              <w:spacing w:after="0" w:line="101" w:lineRule="exact"/>
              <w:rPr>
                <w:sz w:val="20"/>
                <w:szCs w:val="20"/>
                <w:color w:val="auto"/>
              </w:rPr>
            </w:pPr>
            <w:r>
              <w:rPr>
                <w:rFonts w:ascii="Arial" w:cs="Arial" w:eastAsia="Arial" w:hAnsi="Arial"/>
                <w:sz w:val="11"/>
                <w:szCs w:val="11"/>
                <w:color w:val="auto"/>
              </w:rPr>
              <w:t>Person</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2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01/07/2022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63,865</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rPr>
              <w:t>275,979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01/07/2022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63,864</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339,843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2022, and will be released in quarterly installments commencing on May 15, 2022,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unit represents a contingent right to receive one share of the Issuer's common stock. The shares are subjected to the restricted stock unit vest, if at all, over three years based on the Issuer's total shareholder return (TSR) as measured against the TSR of the company at the median of the range TSRs of a set of peer companies established by the Issuer as set forth in the grant.</w:t>
      </w:r>
    </w:p>
    <w:p>
      <w:pPr>
        <w:spacing w:after="0" w:line="25"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247,439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01/10/2022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2022-01-10T14:08:35Z</dcterms:created>
  <dcterms:modified xsi:type="dcterms:W3CDTF">2022-01-10T14:08:35Z</dcterms:modified>
</cp:coreProperties>
</file>