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72390</wp:posOffset>
            </wp:positionH>
            <wp:positionV relativeFrom="page">
              <wp:posOffset>217170</wp:posOffset>
            </wp:positionV>
            <wp:extent cx="7625080" cy="450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4508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271780</wp:posOffset>
            </wp:positionV>
            <wp:extent cx="7625080"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1841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SECURITIES AND EXCHANGE COMMISSION</w:t>
      </w: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SCHEDULE 13G</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Under the Securities Exchange Act of 1934 (Amendment No. N/A)*</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625080"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(Name of Issuer)</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(Title of Class of Securities)</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(CUSIP Number)</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 xml:space="preserve">February 6, </w:t>
      </w:r>
      <w:r>
        <w:rPr>
          <w:rFonts w:ascii="Arial" w:cs="Arial" w:eastAsia="Arial" w:hAnsi="Arial"/>
          <w:sz w:val="13"/>
          <w:szCs w:val="13"/>
          <w:color w:val="auto"/>
        </w:rPr>
        <w:t>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(Date of Event Which Requires Filing of this Statement)</w:t>
      </w:r>
    </w:p>
    <w:p>
      <w:pPr>
        <w:spacing w:after="0" w:line="238" w:lineRule="exact"/>
        <w:rPr>
          <w:sz w:val="24"/>
          <w:szCs w:val="24"/>
          <w:color w:val="auto"/>
        </w:rPr>
      </w:pPr>
    </w:p>
    <w:p>
      <w:pPr>
        <w:ind w:left="680"/>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38" w:lineRule="exact"/>
        <w:rPr>
          <w:sz w:val="24"/>
          <w:szCs w:val="24"/>
          <w:color w:val="auto"/>
        </w:rPr>
      </w:pPr>
    </w:p>
    <w:p>
      <w:pPr>
        <w:jc w:val="both"/>
        <w:ind w:left="1360" w:right="9220" w:firstLine="3"/>
        <w:spacing w:after="0" w:line="272" w:lineRule="auto"/>
        <w:tabs>
          <w:tab w:leader="none" w:pos="1518"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13d-1(b) [X] Rule 13d-1(c)</w:t>
      </w:r>
    </w:p>
    <w:p>
      <w:pPr>
        <w:ind w:left="1520" w:hanging="157"/>
        <w:spacing w:after="0"/>
        <w:tabs>
          <w:tab w:leader="none" w:pos="1520" w:val="left"/>
        </w:tabs>
        <w:numPr>
          <w:ilvl w:val="0"/>
          <w:numId w:val="1"/>
        </w:numPr>
        <w:rPr>
          <w:rFonts w:ascii="Arial" w:cs="Arial" w:eastAsia="Arial" w:hAnsi="Arial"/>
          <w:sz w:val="19"/>
          <w:szCs w:val="19"/>
          <w:color w:val="auto"/>
        </w:rPr>
      </w:pPr>
      <w:r>
        <w:rPr>
          <w:rFonts w:ascii="Arial" w:cs="Arial" w:eastAsia="Arial" w:hAnsi="Arial"/>
          <w:sz w:val="19"/>
          <w:szCs w:val="19"/>
          <w:color w:val="auto"/>
        </w:rPr>
        <w:t>]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191071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10715" cy="18415"/>
                    </a:xfrm>
                    <a:prstGeom prst="rect">
                      <a:avLst/>
                    </a:prstGeom>
                    <a:noFill/>
                  </pic:spPr>
                </pic:pic>
              </a:graphicData>
            </a:graphic>
          </wp:anchor>
        </w:drawing>
      </w:r>
    </w:p>
    <w:p>
      <w:pPr>
        <w:spacing w:after="0" w:line="247" w:lineRule="exact"/>
        <w:rPr>
          <w:sz w:val="24"/>
          <w:szCs w:val="24"/>
          <w:color w:val="auto"/>
        </w:rPr>
      </w:pPr>
    </w:p>
    <w:p>
      <w:pPr>
        <w:spacing w:after="0" w:line="275"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spacing w:after="0" w:line="336"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625080"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5080"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132080</wp:posOffset>
            </wp:positionV>
            <wp:extent cx="7625080" cy="45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508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467360</wp:posOffset>
            </wp:positionV>
            <wp:extent cx="7625080"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639" w:right="120" w:bottom="1440" w:gutter="0" w:footer="0" w:header="0"/>
        </w:sectPr>
      </w:pPr>
    </w:p>
    <w:bookmarkStart w:id="1" w:name="page2"/>
    <w:bookmarkEnd w:id="1"/>
    <w:p>
      <w:pPr>
        <w:ind w:left="6"/>
        <w:spacing w:after="0"/>
        <w:tabs>
          <w:tab w:leader="none" w:pos="1186" w:val="left"/>
        </w:tabs>
        <w:rPr>
          <w:sz w:val="20"/>
          <w:szCs w:val="20"/>
          <w:color w:val="auto"/>
        </w:rPr>
      </w:pPr>
      <w:r>
        <w:rPr>
          <w:rFonts w:ascii="Arial" w:cs="Arial" w:eastAsia="Arial" w:hAnsi="Arial"/>
          <w:sz w:val="19"/>
          <w:szCs w:val="19"/>
          <w:color w:val="auto"/>
        </w:rPr>
        <w:t>CUSIP No.</w:t>
      </w:r>
      <w:r>
        <w:rPr>
          <w:sz w:val="20"/>
          <w:szCs w:val="20"/>
          <w:color w:val="auto"/>
        </w:rPr>
        <w:tab/>
      </w:r>
      <w:r>
        <w:rPr>
          <w:rFonts w:ascii="Arial" w:cs="Arial" w:eastAsia="Arial" w:hAnsi="Arial"/>
          <w:sz w:val="17"/>
          <w:szCs w:val="17"/>
          <w:color w:val="auto"/>
        </w:rPr>
        <w:t>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15240</wp:posOffset>
            </wp:positionV>
            <wp:extent cx="3042920"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42920" cy="18415"/>
                    </a:xfrm>
                    <a:prstGeom prst="rect">
                      <a:avLst/>
                    </a:prstGeom>
                    <a:noFill/>
                  </pic:spPr>
                </pic:pic>
              </a:graphicData>
            </a:graphic>
          </wp:anchor>
        </w:drawing>
      </w:r>
    </w:p>
    <w:p>
      <w:pPr>
        <w:spacing w:after="0" w:line="246" w:lineRule="exact"/>
        <w:rPr>
          <w:sz w:val="20"/>
          <w:szCs w:val="20"/>
          <w:color w:val="auto"/>
        </w:rPr>
      </w:pPr>
    </w:p>
    <w:p>
      <w:pPr>
        <w:ind w:left="686" w:hanging="686"/>
        <w:spacing w:after="0"/>
        <w:tabs>
          <w:tab w:leader="none" w:pos="686" w:val="left"/>
        </w:tabs>
        <w:numPr>
          <w:ilvl w:val="0"/>
          <w:numId w:val="2"/>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686" w:right="5280"/>
        <w:spacing w:after="0" w:line="494" w:lineRule="auto"/>
        <w:rPr>
          <w:rFonts w:ascii="Arial" w:cs="Arial" w:eastAsia="Arial" w:hAnsi="Arial"/>
          <w:sz w:val="19"/>
          <w:szCs w:val="19"/>
          <w:color w:val="auto"/>
        </w:rPr>
      </w:pPr>
      <w:r>
        <w:rPr>
          <w:rFonts w:ascii="Arial" w:cs="Arial" w:eastAsia="Arial" w:hAnsi="Arial"/>
          <w:sz w:val="19"/>
          <w:szCs w:val="19"/>
          <w:color w:val="auto"/>
        </w:rPr>
        <w:t>I.R.S. IDENTIFICATION NOS. OF ABOVE PERSONS (ENTITIES ONLY) RTW Investments, LP</w:t>
      </w:r>
    </w:p>
    <w:p>
      <w:pPr>
        <w:ind w:left="686" w:hanging="686"/>
        <w:spacing w:after="0"/>
        <w:tabs>
          <w:tab w:leader="none" w:pos="686" w:val="left"/>
        </w:tabs>
        <w:numPr>
          <w:ilvl w:val="0"/>
          <w:numId w:val="2"/>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38" w:lineRule="exact"/>
        <w:rPr>
          <w:sz w:val="20"/>
          <w:szCs w:val="20"/>
          <w:color w:val="auto"/>
        </w:rPr>
      </w:pPr>
    </w:p>
    <w:p>
      <w:pPr>
        <w:ind w:left="11326"/>
        <w:spacing w:after="0"/>
        <w:rPr>
          <w:sz w:val="20"/>
          <w:szCs w:val="20"/>
          <w:color w:val="auto"/>
        </w:rPr>
      </w:pPr>
      <w:r>
        <w:rPr>
          <w:rFonts w:ascii="Arial" w:cs="Arial" w:eastAsia="Arial" w:hAnsi="Arial"/>
          <w:sz w:val="19"/>
          <w:szCs w:val="19"/>
          <w:color w:val="auto"/>
        </w:rPr>
        <w:t>(a)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(b) [X]</w:t>
      </w:r>
    </w:p>
    <w:p>
      <w:pPr>
        <w:spacing w:after="0" w:line="225" w:lineRule="exact"/>
        <w:rPr>
          <w:sz w:val="20"/>
          <w:szCs w:val="20"/>
          <w:color w:val="auto"/>
        </w:rPr>
      </w:pPr>
    </w:p>
    <w:p>
      <w:pPr>
        <w:ind w:left="686" w:hanging="686"/>
        <w:spacing w:after="0"/>
        <w:tabs>
          <w:tab w:leader="none" w:pos="686" w:val="left"/>
        </w:tabs>
        <w:numPr>
          <w:ilvl w:val="0"/>
          <w:numId w:val="3"/>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686" w:right="7300" w:hanging="686"/>
        <w:spacing w:after="0" w:line="526" w:lineRule="auto"/>
        <w:tabs>
          <w:tab w:leader="none" w:pos="686" w:val="left"/>
        </w:tabs>
        <w:numPr>
          <w:ilvl w:val="0"/>
          <w:numId w:val="3"/>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0" w:lineRule="exact"/>
        <w:rPr>
          <w:sz w:val="20"/>
          <w:szCs w:val="20"/>
          <w:color w:val="auto"/>
        </w:rPr>
      </w:pPr>
    </w:p>
    <w:p>
      <w:pPr>
        <w:spacing w:after="0" w:line="211" w:lineRule="exact"/>
        <w:rPr>
          <w:sz w:val="20"/>
          <w:szCs w:val="20"/>
          <w:color w:val="auto"/>
        </w:rPr>
      </w:pPr>
    </w:p>
    <w:p>
      <w:pPr>
        <w:ind w:left="686" w:right="9220" w:hanging="686"/>
        <w:spacing w:after="0" w:line="501" w:lineRule="auto"/>
        <w:tabs>
          <w:tab w:leader="none" w:pos="686" w:val="left"/>
        </w:tabs>
        <w:numPr>
          <w:ilvl w:val="0"/>
          <w:numId w:val="4"/>
        </w:numPr>
        <w:rPr>
          <w:rFonts w:ascii="Arial" w:cs="Arial" w:eastAsia="Arial" w:hAnsi="Arial"/>
          <w:sz w:val="19"/>
          <w:szCs w:val="19"/>
          <w:color w:val="auto"/>
        </w:rPr>
      </w:pPr>
      <w:r>
        <w:rPr>
          <w:rFonts w:ascii="Arial" w:cs="Arial" w:eastAsia="Arial" w:hAnsi="Arial"/>
          <w:sz w:val="19"/>
          <w:szCs w:val="19"/>
          <w:color w:val="auto"/>
        </w:rPr>
        <w:t>SOLE VOTING POWER 0</w:t>
      </w:r>
    </w:p>
    <w:p>
      <w:pPr>
        <w:ind w:left="686" w:right="8940" w:hanging="686"/>
        <w:spacing w:after="0" w:line="501" w:lineRule="auto"/>
        <w:tabs>
          <w:tab w:leader="none" w:pos="686" w:val="left"/>
        </w:tabs>
        <w:numPr>
          <w:ilvl w:val="0"/>
          <w:numId w:val="4"/>
        </w:numPr>
        <w:rPr>
          <w:rFonts w:ascii="Arial" w:cs="Arial" w:eastAsia="Arial" w:hAnsi="Arial"/>
          <w:sz w:val="19"/>
          <w:szCs w:val="19"/>
          <w:color w:val="auto"/>
        </w:rPr>
      </w:pPr>
      <w:r>
        <w:rPr>
          <w:rFonts w:ascii="Arial" w:cs="Arial" w:eastAsia="Arial" w:hAnsi="Arial"/>
          <w:sz w:val="19"/>
          <w:szCs w:val="19"/>
          <w:color w:val="auto"/>
        </w:rPr>
        <w:t>SHARED VOTING POWER 1,234,118*</w:t>
      </w:r>
    </w:p>
    <w:p>
      <w:pPr>
        <w:ind w:left="686" w:right="8800" w:hanging="686"/>
        <w:spacing w:after="0" w:line="501" w:lineRule="auto"/>
        <w:tabs>
          <w:tab w:leader="none" w:pos="686" w:val="left"/>
        </w:tabs>
        <w:numPr>
          <w:ilvl w:val="0"/>
          <w:numId w:val="4"/>
        </w:numPr>
        <w:rPr>
          <w:rFonts w:ascii="Arial" w:cs="Arial" w:eastAsia="Arial" w:hAnsi="Arial"/>
          <w:sz w:val="19"/>
          <w:szCs w:val="19"/>
          <w:color w:val="auto"/>
        </w:rPr>
      </w:pPr>
      <w:r>
        <w:rPr>
          <w:rFonts w:ascii="Arial" w:cs="Arial" w:eastAsia="Arial" w:hAnsi="Arial"/>
          <w:sz w:val="19"/>
          <w:szCs w:val="19"/>
          <w:color w:val="auto"/>
        </w:rPr>
        <w:t>SOLE DISPOSITIVE POWER 0</w:t>
      </w:r>
    </w:p>
    <w:p>
      <w:pPr>
        <w:ind w:left="686" w:right="8500" w:hanging="686"/>
        <w:spacing w:after="0" w:line="501" w:lineRule="auto"/>
        <w:tabs>
          <w:tab w:leader="none" w:pos="686" w:val="left"/>
        </w:tabs>
        <w:numPr>
          <w:ilvl w:val="0"/>
          <w:numId w:val="4"/>
        </w:numPr>
        <w:rPr>
          <w:rFonts w:ascii="Arial" w:cs="Arial" w:eastAsia="Arial" w:hAnsi="Arial"/>
          <w:sz w:val="19"/>
          <w:szCs w:val="19"/>
          <w:color w:val="auto"/>
        </w:rPr>
      </w:pPr>
      <w:r>
        <w:rPr>
          <w:rFonts w:ascii="Arial" w:cs="Arial" w:eastAsia="Arial" w:hAnsi="Arial"/>
          <w:sz w:val="19"/>
          <w:szCs w:val="19"/>
          <w:color w:val="auto"/>
        </w:rPr>
        <w:t>SHARED DISPOSITIVE POWER 1,234,118*</w:t>
      </w:r>
    </w:p>
    <w:p>
      <w:pPr>
        <w:ind w:left="686" w:right="4260" w:hanging="686"/>
        <w:spacing w:after="0" w:line="501" w:lineRule="auto"/>
        <w:tabs>
          <w:tab w:leader="none" w:pos="686" w:val="left"/>
        </w:tabs>
        <w:numPr>
          <w:ilvl w:val="0"/>
          <w:numId w:val="4"/>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1,234,118*</w:t>
      </w:r>
    </w:p>
    <w:p>
      <w:pPr>
        <w:ind w:left="686" w:hanging="686"/>
        <w:spacing w:after="0"/>
        <w:tabs>
          <w:tab w:leader="none" w:pos="686" w:val="left"/>
        </w:tabs>
        <w:numPr>
          <w:ilvl w:val="0"/>
          <w:numId w:val="4"/>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w:t>
      </w:r>
    </w:p>
    <w:p>
      <w:pPr>
        <w:spacing w:after="0" w:line="238" w:lineRule="exact"/>
        <w:rPr>
          <w:sz w:val="20"/>
          <w:szCs w:val="20"/>
          <w:color w:val="auto"/>
        </w:rPr>
      </w:pPr>
    </w:p>
    <w:p>
      <w:pPr>
        <w:ind w:left="11326"/>
        <w:spacing w:after="0"/>
        <w:rPr>
          <w:sz w:val="20"/>
          <w:szCs w:val="20"/>
          <w:color w:val="auto"/>
        </w:rPr>
      </w:pPr>
      <w:r>
        <w:rPr>
          <w:rFonts w:ascii="Arial" w:cs="Arial" w:eastAsia="Arial" w:hAnsi="Arial"/>
          <w:sz w:val="19"/>
          <w:szCs w:val="19"/>
          <w:color w:val="auto"/>
        </w:rPr>
        <w:t>[ ]</w:t>
      </w:r>
    </w:p>
    <w:p>
      <w:pPr>
        <w:spacing w:after="0" w:line="238" w:lineRule="exact"/>
        <w:rPr>
          <w:sz w:val="20"/>
          <w:szCs w:val="20"/>
          <w:color w:val="auto"/>
        </w:rPr>
      </w:pPr>
    </w:p>
    <w:p>
      <w:pPr>
        <w:ind w:left="686" w:right="5840" w:hanging="686"/>
        <w:spacing w:after="0" w:line="501" w:lineRule="auto"/>
        <w:tabs>
          <w:tab w:leader="none" w:pos="686" w:val="left"/>
        </w:tabs>
        <w:numPr>
          <w:ilvl w:val="0"/>
          <w:numId w:val="5"/>
        </w:numPr>
        <w:rPr>
          <w:rFonts w:ascii="Arial" w:cs="Arial" w:eastAsia="Arial" w:hAnsi="Arial"/>
          <w:sz w:val="19"/>
          <w:szCs w:val="19"/>
          <w:color w:val="auto"/>
        </w:rPr>
      </w:pPr>
      <w:r>
        <w:rPr>
          <w:rFonts w:ascii="Arial" w:cs="Arial" w:eastAsia="Arial" w:hAnsi="Arial"/>
          <w:sz w:val="19"/>
          <w:szCs w:val="19"/>
          <w:color w:val="auto"/>
        </w:rPr>
        <w:t>PERCENT OF CLASS REPRESENTED BY AMOUNT IN ROW (9) 5.10%*</w:t>
      </w:r>
    </w:p>
    <w:p>
      <w:pPr>
        <w:ind w:left="686" w:right="6600" w:hanging="686"/>
        <w:spacing w:after="0" w:line="526" w:lineRule="auto"/>
        <w:tabs>
          <w:tab w:leader="none" w:pos="686" w:val="left"/>
        </w:tabs>
        <w:numPr>
          <w:ilvl w:val="0"/>
          <w:numId w:val="5"/>
        </w:numPr>
        <w:rPr>
          <w:rFonts w:ascii="Arial" w:cs="Arial" w:eastAsia="Arial" w:hAnsi="Arial"/>
          <w:sz w:val="19"/>
          <w:szCs w:val="19"/>
          <w:color w:val="auto"/>
        </w:rPr>
      </w:pPr>
      <w:r>
        <w:rPr>
          <w:rFonts w:ascii="Arial" w:cs="Arial" w:eastAsia="Arial" w:hAnsi="Arial"/>
          <w:sz w:val="19"/>
          <w:szCs w:val="19"/>
          <w:color w:val="auto"/>
        </w:rPr>
        <w:t>TYPE OF REPORTING PERSON (SEE INSTRUCTIONS) PN, OO,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625080"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1866"/>
          </w:cols>
          <w:pgMar w:left="114" w:top="556" w:right="260" w:bottom="1440" w:gutter="0" w:footer="0" w:header="0"/>
        </w:sectPr>
      </w:pPr>
    </w:p>
    <w:bookmarkStart w:id="2" w:name="page3"/>
    <w:bookmarkEnd w:id="2"/>
    <w:p>
      <w:pPr>
        <w:ind w:left="6"/>
        <w:spacing w:after="0"/>
        <w:tabs>
          <w:tab w:leader="none" w:pos="1186" w:val="left"/>
        </w:tabs>
        <w:rPr>
          <w:sz w:val="20"/>
          <w:szCs w:val="20"/>
          <w:color w:val="auto"/>
        </w:rPr>
      </w:pPr>
      <w:r>
        <w:rPr>
          <w:rFonts w:ascii="Arial" w:cs="Arial" w:eastAsia="Arial" w:hAnsi="Arial"/>
          <w:sz w:val="19"/>
          <w:szCs w:val="19"/>
          <w:color w:val="auto"/>
        </w:rPr>
        <w:t>CUSIP No.</w:t>
      </w:r>
      <w:r>
        <w:rPr>
          <w:sz w:val="20"/>
          <w:szCs w:val="20"/>
          <w:color w:val="auto"/>
        </w:rPr>
        <w:tab/>
      </w:r>
      <w:r>
        <w:rPr>
          <w:rFonts w:ascii="Arial" w:cs="Arial" w:eastAsia="Arial" w:hAnsi="Arial"/>
          <w:sz w:val="17"/>
          <w:szCs w:val="17"/>
          <w:color w:val="auto"/>
        </w:rPr>
        <w:t>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15240</wp:posOffset>
            </wp:positionV>
            <wp:extent cx="3042920"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42920" cy="18415"/>
                    </a:xfrm>
                    <a:prstGeom prst="rect">
                      <a:avLst/>
                    </a:prstGeom>
                    <a:noFill/>
                  </pic:spPr>
                </pic:pic>
              </a:graphicData>
            </a:graphic>
          </wp:anchor>
        </w:drawing>
      </w:r>
    </w:p>
    <w:p>
      <w:pPr>
        <w:spacing w:after="0" w:line="246" w:lineRule="exact"/>
        <w:rPr>
          <w:sz w:val="20"/>
          <w:szCs w:val="20"/>
          <w:color w:val="auto"/>
        </w:rPr>
      </w:pPr>
    </w:p>
    <w:p>
      <w:pPr>
        <w:ind w:left="686" w:hanging="686"/>
        <w:spacing w:after="0"/>
        <w:tabs>
          <w:tab w:leader="none" w:pos="686" w:val="left"/>
        </w:tabs>
        <w:numPr>
          <w:ilvl w:val="0"/>
          <w:numId w:val="6"/>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686" w:right="5280"/>
        <w:spacing w:after="0" w:line="494" w:lineRule="auto"/>
        <w:rPr>
          <w:rFonts w:ascii="Arial" w:cs="Arial" w:eastAsia="Arial" w:hAnsi="Arial"/>
          <w:sz w:val="19"/>
          <w:szCs w:val="19"/>
          <w:color w:val="auto"/>
        </w:rPr>
      </w:pPr>
      <w:r>
        <w:rPr>
          <w:rFonts w:ascii="Arial" w:cs="Arial" w:eastAsia="Arial" w:hAnsi="Arial"/>
          <w:sz w:val="19"/>
          <w:szCs w:val="19"/>
          <w:color w:val="auto"/>
        </w:rPr>
        <w:t>I.R.S. IDENTIFICATION NOS. OF ABOVE PERSONS (ENTITIES ONLY) Roderick Wong</w:t>
      </w:r>
    </w:p>
    <w:p>
      <w:pPr>
        <w:ind w:left="686" w:hanging="686"/>
        <w:spacing w:after="0"/>
        <w:tabs>
          <w:tab w:leader="none" w:pos="686" w:val="left"/>
        </w:tabs>
        <w:numPr>
          <w:ilvl w:val="0"/>
          <w:numId w:val="6"/>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38" w:lineRule="exact"/>
        <w:rPr>
          <w:sz w:val="20"/>
          <w:szCs w:val="20"/>
          <w:color w:val="auto"/>
        </w:rPr>
      </w:pPr>
    </w:p>
    <w:p>
      <w:pPr>
        <w:ind w:left="11326"/>
        <w:spacing w:after="0"/>
        <w:rPr>
          <w:sz w:val="20"/>
          <w:szCs w:val="20"/>
          <w:color w:val="auto"/>
        </w:rPr>
      </w:pPr>
      <w:r>
        <w:rPr>
          <w:rFonts w:ascii="Arial" w:cs="Arial" w:eastAsia="Arial" w:hAnsi="Arial"/>
          <w:sz w:val="19"/>
          <w:szCs w:val="19"/>
          <w:color w:val="auto"/>
        </w:rPr>
        <w:t>(a)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(b) [X]</w:t>
      </w:r>
    </w:p>
    <w:p>
      <w:pPr>
        <w:spacing w:after="0" w:line="225" w:lineRule="exact"/>
        <w:rPr>
          <w:sz w:val="20"/>
          <w:szCs w:val="20"/>
          <w:color w:val="auto"/>
        </w:rPr>
      </w:pPr>
    </w:p>
    <w:p>
      <w:pPr>
        <w:ind w:left="686" w:hanging="686"/>
        <w:spacing w:after="0"/>
        <w:tabs>
          <w:tab w:leader="none" w:pos="686" w:val="left"/>
        </w:tabs>
        <w:numPr>
          <w:ilvl w:val="0"/>
          <w:numId w:val="7"/>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686" w:hanging="686"/>
        <w:spacing w:after="0"/>
        <w:tabs>
          <w:tab w:leader="none" w:pos="686" w:val="left"/>
        </w:tabs>
        <w:numPr>
          <w:ilvl w:val="0"/>
          <w:numId w:val="7"/>
        </w:numPr>
        <w:rPr>
          <w:rFonts w:ascii="Arial" w:cs="Arial" w:eastAsia="Arial" w:hAnsi="Arial"/>
          <w:sz w:val="19"/>
          <w:szCs w:val="19"/>
          <w:color w:val="auto"/>
        </w:rPr>
      </w:pPr>
      <w:r>
        <w:rPr>
          <w:rFonts w:ascii="Arial" w:cs="Arial" w:eastAsia="Arial" w:hAnsi="Arial"/>
          <w:sz w:val="19"/>
          <w:szCs w:val="19"/>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86" w:right="9220" w:hanging="686"/>
        <w:spacing w:after="0" w:line="501" w:lineRule="auto"/>
        <w:tabs>
          <w:tab w:leader="none" w:pos="686" w:val="left"/>
        </w:tabs>
        <w:numPr>
          <w:ilvl w:val="0"/>
          <w:numId w:val="8"/>
        </w:numPr>
        <w:rPr>
          <w:rFonts w:ascii="Arial" w:cs="Arial" w:eastAsia="Arial" w:hAnsi="Arial"/>
          <w:sz w:val="19"/>
          <w:szCs w:val="19"/>
          <w:color w:val="auto"/>
        </w:rPr>
      </w:pPr>
      <w:r>
        <w:rPr>
          <w:rFonts w:ascii="Arial" w:cs="Arial" w:eastAsia="Arial" w:hAnsi="Arial"/>
          <w:sz w:val="19"/>
          <w:szCs w:val="19"/>
          <w:color w:val="auto"/>
        </w:rPr>
        <w:t>SOLE VOTING POWER 0</w:t>
      </w:r>
    </w:p>
    <w:p>
      <w:pPr>
        <w:ind w:left="686" w:right="8940" w:hanging="686"/>
        <w:spacing w:after="0" w:line="501" w:lineRule="auto"/>
        <w:tabs>
          <w:tab w:leader="none" w:pos="686" w:val="left"/>
        </w:tabs>
        <w:numPr>
          <w:ilvl w:val="0"/>
          <w:numId w:val="8"/>
        </w:numPr>
        <w:rPr>
          <w:rFonts w:ascii="Arial" w:cs="Arial" w:eastAsia="Arial" w:hAnsi="Arial"/>
          <w:sz w:val="19"/>
          <w:szCs w:val="19"/>
          <w:color w:val="auto"/>
        </w:rPr>
      </w:pPr>
      <w:r>
        <w:rPr>
          <w:rFonts w:ascii="Arial" w:cs="Arial" w:eastAsia="Arial" w:hAnsi="Arial"/>
          <w:sz w:val="19"/>
          <w:szCs w:val="19"/>
          <w:color w:val="auto"/>
        </w:rPr>
        <w:t>SHARED VOTING POWER 1,234,118*</w:t>
      </w:r>
    </w:p>
    <w:p>
      <w:pPr>
        <w:ind w:left="686" w:right="8800" w:hanging="686"/>
        <w:spacing w:after="0" w:line="501" w:lineRule="auto"/>
        <w:tabs>
          <w:tab w:leader="none" w:pos="686" w:val="left"/>
        </w:tabs>
        <w:numPr>
          <w:ilvl w:val="0"/>
          <w:numId w:val="8"/>
        </w:numPr>
        <w:rPr>
          <w:rFonts w:ascii="Arial" w:cs="Arial" w:eastAsia="Arial" w:hAnsi="Arial"/>
          <w:sz w:val="19"/>
          <w:szCs w:val="19"/>
          <w:color w:val="auto"/>
        </w:rPr>
      </w:pPr>
      <w:r>
        <w:rPr>
          <w:rFonts w:ascii="Arial" w:cs="Arial" w:eastAsia="Arial" w:hAnsi="Arial"/>
          <w:sz w:val="19"/>
          <w:szCs w:val="19"/>
          <w:color w:val="auto"/>
        </w:rPr>
        <w:t>SOLE DISPOSITIVE POWER 0</w:t>
      </w:r>
    </w:p>
    <w:p>
      <w:pPr>
        <w:ind w:left="686" w:right="8500" w:hanging="686"/>
        <w:spacing w:after="0" w:line="501" w:lineRule="auto"/>
        <w:tabs>
          <w:tab w:leader="none" w:pos="686" w:val="left"/>
        </w:tabs>
        <w:numPr>
          <w:ilvl w:val="0"/>
          <w:numId w:val="8"/>
        </w:numPr>
        <w:rPr>
          <w:rFonts w:ascii="Arial" w:cs="Arial" w:eastAsia="Arial" w:hAnsi="Arial"/>
          <w:sz w:val="19"/>
          <w:szCs w:val="19"/>
          <w:color w:val="auto"/>
        </w:rPr>
      </w:pPr>
      <w:r>
        <w:rPr>
          <w:rFonts w:ascii="Arial" w:cs="Arial" w:eastAsia="Arial" w:hAnsi="Arial"/>
          <w:sz w:val="19"/>
          <w:szCs w:val="19"/>
          <w:color w:val="auto"/>
        </w:rPr>
        <w:t>SHARED DISPOSITIVE POWER 1,234,118*</w:t>
      </w:r>
    </w:p>
    <w:p>
      <w:pPr>
        <w:ind w:left="686" w:right="4260" w:hanging="686"/>
        <w:spacing w:after="0" w:line="501" w:lineRule="auto"/>
        <w:tabs>
          <w:tab w:leader="none" w:pos="686" w:val="left"/>
        </w:tabs>
        <w:numPr>
          <w:ilvl w:val="0"/>
          <w:numId w:val="8"/>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1,234,118*</w:t>
      </w:r>
    </w:p>
    <w:p>
      <w:pPr>
        <w:ind w:left="686" w:hanging="686"/>
        <w:spacing w:after="0"/>
        <w:tabs>
          <w:tab w:leader="none" w:pos="686" w:val="left"/>
        </w:tabs>
        <w:numPr>
          <w:ilvl w:val="0"/>
          <w:numId w:val="8"/>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w:t>
      </w:r>
    </w:p>
    <w:p>
      <w:pPr>
        <w:spacing w:after="0" w:line="238" w:lineRule="exact"/>
        <w:rPr>
          <w:sz w:val="20"/>
          <w:szCs w:val="20"/>
          <w:color w:val="auto"/>
        </w:rPr>
      </w:pPr>
    </w:p>
    <w:p>
      <w:pPr>
        <w:ind w:left="11326"/>
        <w:spacing w:after="0"/>
        <w:rPr>
          <w:sz w:val="20"/>
          <w:szCs w:val="20"/>
          <w:color w:val="auto"/>
        </w:rPr>
      </w:pPr>
      <w:r>
        <w:rPr>
          <w:rFonts w:ascii="Arial" w:cs="Arial" w:eastAsia="Arial" w:hAnsi="Arial"/>
          <w:sz w:val="19"/>
          <w:szCs w:val="19"/>
          <w:color w:val="auto"/>
        </w:rPr>
        <w:t>[ ]</w:t>
      </w:r>
    </w:p>
    <w:p>
      <w:pPr>
        <w:spacing w:after="0" w:line="238" w:lineRule="exact"/>
        <w:rPr>
          <w:sz w:val="20"/>
          <w:szCs w:val="20"/>
          <w:color w:val="auto"/>
        </w:rPr>
      </w:pPr>
    </w:p>
    <w:p>
      <w:pPr>
        <w:ind w:left="686" w:right="5840" w:hanging="686"/>
        <w:spacing w:after="0" w:line="501" w:lineRule="auto"/>
        <w:tabs>
          <w:tab w:leader="none" w:pos="686" w:val="left"/>
        </w:tabs>
        <w:numPr>
          <w:ilvl w:val="0"/>
          <w:numId w:val="9"/>
        </w:numPr>
        <w:rPr>
          <w:rFonts w:ascii="Arial" w:cs="Arial" w:eastAsia="Arial" w:hAnsi="Arial"/>
          <w:sz w:val="19"/>
          <w:szCs w:val="19"/>
          <w:color w:val="auto"/>
        </w:rPr>
      </w:pPr>
      <w:r>
        <w:rPr>
          <w:rFonts w:ascii="Arial" w:cs="Arial" w:eastAsia="Arial" w:hAnsi="Arial"/>
          <w:sz w:val="19"/>
          <w:szCs w:val="19"/>
          <w:color w:val="auto"/>
        </w:rPr>
        <w:t>PERCENT OF CLASS REPRESENTED BY AMOUNT IN ROW (9) 5.10%*</w:t>
      </w:r>
    </w:p>
    <w:p>
      <w:pPr>
        <w:ind w:left="686" w:right="6600" w:hanging="686"/>
        <w:spacing w:after="0" w:line="526" w:lineRule="auto"/>
        <w:tabs>
          <w:tab w:leader="none" w:pos="686" w:val="left"/>
        </w:tabs>
        <w:numPr>
          <w:ilvl w:val="0"/>
          <w:numId w:val="9"/>
        </w:numPr>
        <w:rPr>
          <w:rFonts w:ascii="Arial" w:cs="Arial" w:eastAsia="Arial" w:hAnsi="Arial"/>
          <w:sz w:val="19"/>
          <w:szCs w:val="19"/>
          <w:color w:val="auto"/>
        </w:rPr>
      </w:pPr>
      <w:r>
        <w:rPr>
          <w:rFonts w:ascii="Arial" w:cs="Arial" w:eastAsia="Arial" w:hAnsi="Arial"/>
          <w:sz w:val="19"/>
          <w:szCs w:val="19"/>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625080"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1866"/>
          </w:cols>
          <w:pgMar w:left="114" w:top="556" w:right="260" w:bottom="1440" w:gutter="0" w:footer="0" w:header="0"/>
        </w:sectPr>
      </w:pPr>
    </w:p>
    <w:bookmarkStart w:id="3" w:name="page4"/>
    <w:bookmarkEnd w:id="3"/>
    <w:p>
      <w:pPr>
        <w:spacing w:after="0"/>
        <w:tabs>
          <w:tab w:leader="none" w:pos="660" w:val="left"/>
        </w:tabs>
        <w:rPr>
          <w:sz w:val="20"/>
          <w:szCs w:val="20"/>
          <w:color w:val="auto"/>
        </w:rPr>
      </w:pPr>
      <w:r>
        <w:rPr>
          <w:rFonts w:ascii="Arial" w:cs="Arial" w:eastAsia="Arial" w:hAnsi="Arial"/>
          <w:sz w:val="19"/>
          <w:szCs w:val="19"/>
          <w:color w:val="auto"/>
        </w:rPr>
        <w:t>Item 1.</w:t>
      </w:r>
      <w:r>
        <w:rPr>
          <w:sz w:val="20"/>
          <w:szCs w:val="20"/>
          <w:color w:val="auto"/>
        </w:rPr>
        <w:tab/>
      </w:r>
      <w:r>
        <w:rPr>
          <w:rFonts w:ascii="Arial" w:cs="Arial" w:eastAsia="Arial" w:hAnsi="Arial"/>
          <w:sz w:val="17"/>
          <w:szCs w:val="17"/>
          <w:color w:val="auto"/>
        </w:rPr>
        <w:t>(a). Name of Issuer:</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Si-Bone,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15240</wp:posOffset>
            </wp:positionV>
            <wp:extent cx="697293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72935" cy="18415"/>
                    </a:xfrm>
                    <a:prstGeom prst="rect">
                      <a:avLst/>
                    </a:prstGeom>
                    <a:noFill/>
                  </pic:spPr>
                </pic:pic>
              </a:graphicData>
            </a:graphic>
          </wp:anchor>
        </w:drawing>
      </w:r>
    </w:p>
    <w:p>
      <w:pPr>
        <w:spacing w:after="0" w:line="232" w:lineRule="exact"/>
        <w:rPr>
          <w:sz w:val="20"/>
          <w:szCs w:val="20"/>
          <w:color w:val="auto"/>
        </w:rPr>
      </w:pPr>
    </w:p>
    <w:p>
      <w:pPr>
        <w:ind w:left="680"/>
        <w:spacing w:after="0"/>
        <w:rPr>
          <w:sz w:val="20"/>
          <w:szCs w:val="20"/>
          <w:color w:val="auto"/>
        </w:rPr>
      </w:pPr>
      <w:r>
        <w:rPr>
          <w:rFonts w:ascii="Arial" w:cs="Arial" w:eastAsia="Arial" w:hAnsi="Arial"/>
          <w:sz w:val="19"/>
          <w:szCs w:val="19"/>
          <w:color w:val="auto"/>
        </w:rPr>
        <w:t>(b). Address of issuerâ€™s principal executive offices:</w:t>
      </w:r>
    </w:p>
    <w:p>
      <w:pPr>
        <w:spacing w:after="0" w:line="252"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471 El Camino Real, Suite 101</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Santa Clara, California 95050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6985</wp:posOffset>
            </wp:positionV>
            <wp:extent cx="697293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72935" cy="18415"/>
                    </a:xfrm>
                    <a:prstGeom prst="rect">
                      <a:avLst/>
                    </a:prstGeom>
                    <a:noFill/>
                  </pic:spPr>
                </pic:pic>
              </a:graphicData>
            </a:graphic>
          </wp:anchor>
        </w:drawing>
      </w:r>
    </w:p>
    <w:p>
      <w:pPr>
        <w:spacing w:after="0" w:line="219"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Item 2.</w:t>
      </w:r>
      <w:r>
        <w:rPr>
          <w:sz w:val="20"/>
          <w:szCs w:val="20"/>
          <w:color w:val="auto"/>
        </w:rPr>
        <w:tab/>
      </w:r>
      <w:r>
        <w:rPr>
          <w:rFonts w:ascii="Arial" w:cs="Arial" w:eastAsia="Arial" w:hAnsi="Arial"/>
          <w:sz w:val="17"/>
          <w:szCs w:val="17"/>
          <w:color w:val="auto"/>
        </w:rPr>
        <w:t>(a). Name of person filing:</w:t>
      </w:r>
    </w:p>
    <w:p>
      <w:pPr>
        <w:spacing w:after="0" w:line="252"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RTW Investments, LP</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6985</wp:posOffset>
            </wp:positionV>
            <wp:extent cx="697293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72935" cy="18415"/>
                    </a:xfrm>
                    <a:prstGeom prst="rect">
                      <a:avLst/>
                    </a:prstGeom>
                    <a:noFill/>
                  </pic:spPr>
                </pic:pic>
              </a:graphicData>
            </a:graphic>
          </wp:anchor>
        </w:drawing>
      </w:r>
    </w:p>
    <w:p>
      <w:pPr>
        <w:spacing w:after="0" w:line="219" w:lineRule="exact"/>
        <w:rPr>
          <w:sz w:val="20"/>
          <w:szCs w:val="20"/>
          <w:color w:val="auto"/>
        </w:rPr>
      </w:pPr>
    </w:p>
    <w:p>
      <w:pPr>
        <w:jc w:val="right"/>
        <w:ind w:right="5240"/>
        <w:spacing w:after="0"/>
        <w:rPr>
          <w:sz w:val="20"/>
          <w:szCs w:val="20"/>
          <w:color w:val="auto"/>
        </w:rPr>
      </w:pPr>
      <w:r>
        <w:rPr>
          <w:rFonts w:ascii="Arial" w:cs="Arial" w:eastAsia="Arial" w:hAnsi="Arial"/>
          <w:sz w:val="19"/>
          <w:szCs w:val="19"/>
          <w:color w:val="auto"/>
        </w:rPr>
        <w:t>(b). Address or principal business office or, if none, residence:</w:t>
      </w:r>
    </w:p>
    <w:p>
      <w:pPr>
        <w:spacing w:after="0" w:line="252"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RTW Investments, LP</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412 West 15th Street, Floor 9</w:t>
      </w:r>
    </w:p>
    <w:p>
      <w:pPr>
        <w:spacing w:after="0" w:line="10"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New York, New York 10011</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Roderick Wong</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c/o RTW Investments, LP</w:t>
      </w:r>
    </w:p>
    <w:p>
      <w:pPr>
        <w:spacing w:after="0" w:line="10"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412 West 15th Street, Floor 9</w:t>
      </w:r>
    </w:p>
    <w:p>
      <w:pPr>
        <w:spacing w:after="0" w:line="10"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New York, New York 10011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6985</wp:posOffset>
            </wp:positionV>
            <wp:extent cx="697293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72935" cy="18415"/>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19"/>
          <w:szCs w:val="19"/>
          <w:color w:val="auto"/>
        </w:rPr>
        <w:t>(c). Citizenship:</w:t>
      </w:r>
    </w:p>
    <w:p>
      <w:pPr>
        <w:spacing w:after="0" w:line="252"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RTW Investments, LP â€“ Delaware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Roderick Wong â€“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6985</wp:posOffset>
            </wp:positionV>
            <wp:extent cx="697293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72935" cy="18415"/>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19"/>
          <w:szCs w:val="19"/>
          <w:color w:val="auto"/>
        </w:rPr>
        <w:t>(d). Title of class of securities:</w:t>
      </w:r>
    </w:p>
    <w:p>
      <w:pPr>
        <w:spacing w:after="0" w:line="252"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Common Stock, par value $.0001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15240</wp:posOffset>
            </wp:positionV>
            <wp:extent cx="697293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72935" cy="18415"/>
                    </a:xfrm>
                    <a:prstGeom prst="rect">
                      <a:avLst/>
                    </a:prstGeom>
                    <a:noFill/>
                  </pic:spPr>
                </pic:pic>
              </a:graphicData>
            </a:graphic>
          </wp:anchor>
        </w:drawing>
      </w:r>
    </w:p>
    <w:p>
      <w:pPr>
        <w:spacing w:after="0" w:line="232" w:lineRule="exact"/>
        <w:rPr>
          <w:sz w:val="20"/>
          <w:szCs w:val="20"/>
          <w:color w:val="auto"/>
        </w:rPr>
      </w:pPr>
    </w:p>
    <w:p>
      <w:pPr>
        <w:ind w:left="680"/>
        <w:spacing w:after="0"/>
        <w:rPr>
          <w:sz w:val="20"/>
          <w:szCs w:val="20"/>
          <w:color w:val="auto"/>
        </w:rPr>
      </w:pPr>
      <w:r>
        <w:rPr>
          <w:rFonts w:ascii="Arial" w:cs="Arial" w:eastAsia="Arial" w:hAnsi="Arial"/>
          <w:sz w:val="19"/>
          <w:szCs w:val="19"/>
          <w:color w:val="auto"/>
        </w:rPr>
        <w:t>(e). CUSIP No.:</w:t>
      </w:r>
    </w:p>
    <w:p>
      <w:pPr>
        <w:spacing w:after="0" w:line="252"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15240</wp:posOffset>
            </wp:positionV>
            <wp:extent cx="697293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7293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7625080"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0680"/>
          </w:cols>
          <w:pgMar w:left="120" w:top="556" w:right="1440" w:bottom="1440" w:gutter="0" w:footer="0" w:header="0"/>
        </w:sectPr>
      </w:pPr>
    </w:p>
    <w:bookmarkStart w:id="4" w:name="page5"/>
    <w:bookmarkEnd w:id="4"/>
    <w:p>
      <w:pPr>
        <w:spacing w:after="0"/>
        <w:tabs>
          <w:tab w:leader="none" w:pos="660" w:val="left"/>
        </w:tabs>
        <w:rPr>
          <w:sz w:val="20"/>
          <w:szCs w:val="20"/>
          <w:color w:val="auto"/>
        </w:rPr>
      </w:pPr>
      <w:r>
        <w:rPr>
          <w:rFonts w:ascii="Arial" w:cs="Arial" w:eastAsia="Arial" w:hAnsi="Arial"/>
          <w:sz w:val="19"/>
          <w:szCs w:val="19"/>
          <w:color w:val="auto"/>
        </w:rPr>
        <w:t>Item 3.</w:t>
      </w:r>
      <w:r>
        <w:rPr>
          <w:sz w:val="20"/>
          <w:szCs w:val="20"/>
          <w:color w:val="auto"/>
        </w:rPr>
        <w:tab/>
      </w:r>
      <w:r>
        <w:rPr>
          <w:rFonts w:ascii="Arial" w:cs="Arial" w:eastAsia="Arial" w:hAnsi="Arial"/>
          <w:sz w:val="17"/>
          <w:szCs w:val="17"/>
          <w:color w:val="auto"/>
        </w:rPr>
        <w:t>If This Statement is filed pursuant to Â§Â§.240.13d-1(b) or 240.13d-2(b), or (c), check whether the person filing is a</w:t>
      </w:r>
    </w:p>
    <w:p>
      <w:pPr>
        <w:spacing w:after="0" w:line="238" w:lineRule="exact"/>
        <w:rPr>
          <w:sz w:val="20"/>
          <w:szCs w:val="20"/>
          <w:color w:val="auto"/>
        </w:rPr>
      </w:pPr>
    </w:p>
    <w:p>
      <w:pPr>
        <w:ind w:left="860"/>
        <w:spacing w:after="0"/>
        <w:rPr>
          <w:sz w:val="20"/>
          <w:szCs w:val="20"/>
          <w:color w:val="auto"/>
        </w:rPr>
      </w:pPr>
      <w:r>
        <w:rPr>
          <w:rFonts w:ascii="Arial" w:cs="Arial" w:eastAsia="Arial" w:hAnsi="Arial"/>
          <w:sz w:val="19"/>
          <w:szCs w:val="19"/>
          <w:color w:val="auto"/>
        </w:rPr>
        <w:t>N/A</w:t>
      </w:r>
    </w:p>
    <w:p>
      <w:pPr>
        <w:spacing w:after="0" w:line="238"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Item 4.</w:t>
      </w:r>
      <w:r>
        <w:rPr>
          <w:sz w:val="20"/>
          <w:szCs w:val="20"/>
          <w:color w:val="auto"/>
        </w:rPr>
        <w:tab/>
      </w:r>
      <w:r>
        <w:rPr>
          <w:rFonts w:ascii="Arial" w:cs="Arial" w:eastAsia="Arial" w:hAnsi="Arial"/>
          <w:sz w:val="17"/>
          <w:szCs w:val="17"/>
          <w:color w:val="auto"/>
        </w:rPr>
        <w:t>Ownership.</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Provide the following information regarding the aggregate number and percentage of the class of securities of the issuer identified in Item 1.</w:t>
      </w:r>
    </w:p>
    <w:p>
      <w:pPr>
        <w:spacing w:after="0" w:line="238" w:lineRule="exact"/>
        <w:rPr>
          <w:sz w:val="20"/>
          <w:szCs w:val="20"/>
          <w:color w:val="auto"/>
        </w:rPr>
      </w:pPr>
    </w:p>
    <w:p>
      <w:pPr>
        <w:ind w:left="1020" w:hanging="341"/>
        <w:spacing w:after="0"/>
        <w:tabs>
          <w:tab w:leader="none" w:pos="1020" w:val="left"/>
        </w:tabs>
        <w:numPr>
          <w:ilvl w:val="1"/>
          <w:numId w:val="10"/>
        </w:numPr>
        <w:rPr>
          <w:rFonts w:ascii="Arial" w:cs="Arial" w:eastAsia="Arial" w:hAnsi="Arial"/>
          <w:sz w:val="19"/>
          <w:szCs w:val="19"/>
          <w:color w:val="auto"/>
        </w:rPr>
      </w:pPr>
      <w:r>
        <w:rPr>
          <w:rFonts w:ascii="Arial" w:cs="Arial" w:eastAsia="Arial" w:hAnsi="Arial"/>
          <w:sz w:val="19"/>
          <w:szCs w:val="19"/>
          <w:color w:val="auto"/>
        </w:rPr>
        <w:t>Amount beneficially owned:</w:t>
      </w:r>
    </w:p>
    <w:p>
      <w:pPr>
        <w:spacing w:after="0" w:line="237" w:lineRule="exact"/>
        <w:rPr>
          <w:rFonts w:ascii="Arial" w:cs="Arial" w:eastAsia="Arial" w:hAnsi="Arial"/>
          <w:sz w:val="19"/>
          <w:szCs w:val="19"/>
          <w:color w:val="auto"/>
        </w:rPr>
      </w:pPr>
    </w:p>
    <w:p>
      <w:pPr>
        <w:ind w:left="1020" w:right="8080"/>
        <w:spacing w:after="0" w:line="336" w:lineRule="auto"/>
        <w:rPr>
          <w:rFonts w:ascii="Arial" w:cs="Arial" w:eastAsia="Arial" w:hAnsi="Arial"/>
          <w:sz w:val="19"/>
          <w:szCs w:val="19"/>
          <w:color w:val="auto"/>
        </w:rPr>
      </w:pPr>
      <w:r>
        <w:rPr>
          <w:rFonts w:ascii="Arial" w:cs="Arial" w:eastAsia="Arial" w:hAnsi="Arial"/>
          <w:sz w:val="17"/>
          <w:szCs w:val="17"/>
          <w:color w:val="auto"/>
        </w:rPr>
        <w:t>RTW Investments, LP â€“ 1,234,118* Roderick Wong â€“ 1,234,118*</w:t>
      </w:r>
    </w:p>
    <w:p>
      <w:pPr>
        <w:spacing w:after="0" w:line="165" w:lineRule="exact"/>
        <w:rPr>
          <w:rFonts w:ascii="Arial" w:cs="Arial" w:eastAsia="Arial" w:hAnsi="Arial"/>
          <w:sz w:val="19"/>
          <w:szCs w:val="19"/>
          <w:color w:val="auto"/>
        </w:rPr>
      </w:pPr>
    </w:p>
    <w:p>
      <w:pPr>
        <w:ind w:left="1020" w:hanging="341"/>
        <w:spacing w:after="0"/>
        <w:tabs>
          <w:tab w:leader="none" w:pos="1020" w:val="left"/>
        </w:tabs>
        <w:numPr>
          <w:ilvl w:val="1"/>
          <w:numId w:val="10"/>
        </w:numPr>
        <w:rPr>
          <w:rFonts w:ascii="Arial" w:cs="Arial" w:eastAsia="Arial" w:hAnsi="Arial"/>
          <w:sz w:val="19"/>
          <w:szCs w:val="19"/>
          <w:color w:val="auto"/>
        </w:rPr>
      </w:pPr>
      <w:r>
        <w:rPr>
          <w:rFonts w:ascii="Arial" w:cs="Arial" w:eastAsia="Arial" w:hAnsi="Arial"/>
          <w:sz w:val="19"/>
          <w:szCs w:val="19"/>
          <w:color w:val="auto"/>
        </w:rPr>
        <w:t>Percent of class:</w:t>
      </w:r>
    </w:p>
    <w:p>
      <w:pPr>
        <w:spacing w:after="0" w:line="237" w:lineRule="exact"/>
        <w:rPr>
          <w:rFonts w:ascii="Arial" w:cs="Arial" w:eastAsia="Arial" w:hAnsi="Arial"/>
          <w:sz w:val="19"/>
          <w:szCs w:val="19"/>
          <w:color w:val="auto"/>
        </w:rPr>
      </w:pPr>
    </w:p>
    <w:p>
      <w:pPr>
        <w:ind w:left="1020" w:right="8340"/>
        <w:spacing w:after="0" w:line="336" w:lineRule="auto"/>
        <w:rPr>
          <w:rFonts w:ascii="Arial" w:cs="Arial" w:eastAsia="Arial" w:hAnsi="Arial"/>
          <w:sz w:val="19"/>
          <w:szCs w:val="19"/>
          <w:color w:val="auto"/>
        </w:rPr>
      </w:pPr>
      <w:r>
        <w:rPr>
          <w:rFonts w:ascii="Arial" w:cs="Arial" w:eastAsia="Arial" w:hAnsi="Arial"/>
          <w:sz w:val="17"/>
          <w:szCs w:val="17"/>
          <w:color w:val="auto"/>
        </w:rPr>
        <w:t>RTW Investments, LP â€“ 5.10%* Roderick Wong â€“ 5.10%*</w:t>
      </w:r>
    </w:p>
    <w:p>
      <w:pPr>
        <w:spacing w:after="0" w:line="165" w:lineRule="exact"/>
        <w:rPr>
          <w:rFonts w:ascii="Arial" w:cs="Arial" w:eastAsia="Arial" w:hAnsi="Arial"/>
          <w:sz w:val="19"/>
          <w:szCs w:val="19"/>
          <w:color w:val="auto"/>
        </w:rPr>
      </w:pPr>
    </w:p>
    <w:p>
      <w:pPr>
        <w:ind w:left="1020" w:hanging="341"/>
        <w:spacing w:after="0"/>
        <w:tabs>
          <w:tab w:leader="none" w:pos="1020" w:val="left"/>
        </w:tabs>
        <w:numPr>
          <w:ilvl w:val="1"/>
          <w:numId w:val="10"/>
        </w:numPr>
        <w:rPr>
          <w:rFonts w:ascii="Arial" w:cs="Arial" w:eastAsia="Arial" w:hAnsi="Arial"/>
          <w:sz w:val="19"/>
          <w:szCs w:val="19"/>
          <w:color w:val="auto"/>
        </w:rPr>
      </w:pPr>
      <w:r>
        <w:rPr>
          <w:rFonts w:ascii="Arial" w:cs="Arial" w:eastAsia="Arial" w:hAnsi="Arial"/>
          <w:sz w:val="19"/>
          <w:szCs w:val="19"/>
          <w:color w:val="auto"/>
        </w:rPr>
        <w:t>Number of shares as to which the person has:</w:t>
      </w:r>
    </w:p>
    <w:p>
      <w:pPr>
        <w:spacing w:after="0" w:line="237" w:lineRule="exact"/>
        <w:rPr>
          <w:rFonts w:ascii="Arial" w:cs="Arial" w:eastAsia="Arial" w:hAnsi="Arial"/>
          <w:sz w:val="19"/>
          <w:szCs w:val="19"/>
          <w:color w:val="auto"/>
        </w:rPr>
      </w:pPr>
    </w:p>
    <w:p>
      <w:pPr>
        <w:ind w:left="1360" w:hanging="339"/>
        <w:spacing w:after="0"/>
        <w:tabs>
          <w:tab w:leader="none" w:pos="1360" w:val="left"/>
        </w:tabs>
        <w:numPr>
          <w:ilvl w:val="2"/>
          <w:numId w:val="10"/>
        </w:numPr>
        <w:rPr>
          <w:rFonts w:ascii="Arial" w:cs="Arial" w:eastAsia="Arial" w:hAnsi="Arial"/>
          <w:sz w:val="19"/>
          <w:szCs w:val="19"/>
          <w:color w:val="auto"/>
        </w:rPr>
      </w:pPr>
      <w:r>
        <w:rPr>
          <w:rFonts w:ascii="Arial" w:cs="Arial" w:eastAsia="Arial" w:hAnsi="Arial"/>
          <w:sz w:val="19"/>
          <w:szCs w:val="19"/>
          <w:color w:val="auto"/>
        </w:rPr>
        <w:t>Sole power to vote or to direct the vote</w:t>
      </w:r>
    </w:p>
    <w:p>
      <w:pPr>
        <w:spacing w:after="0" w:line="237" w:lineRule="exact"/>
        <w:rPr>
          <w:rFonts w:ascii="Arial" w:cs="Arial" w:eastAsia="Arial" w:hAnsi="Arial"/>
          <w:sz w:val="19"/>
          <w:szCs w:val="19"/>
          <w:color w:val="auto"/>
        </w:rPr>
      </w:pPr>
    </w:p>
    <w:p>
      <w:pPr>
        <w:ind w:left="1360" w:right="8500"/>
        <w:spacing w:after="0" w:line="336" w:lineRule="auto"/>
        <w:rPr>
          <w:rFonts w:ascii="Arial" w:cs="Arial" w:eastAsia="Arial" w:hAnsi="Arial"/>
          <w:sz w:val="19"/>
          <w:szCs w:val="19"/>
          <w:color w:val="auto"/>
        </w:rPr>
      </w:pPr>
      <w:r>
        <w:rPr>
          <w:rFonts w:ascii="Arial" w:cs="Arial" w:eastAsia="Arial" w:hAnsi="Arial"/>
          <w:sz w:val="17"/>
          <w:szCs w:val="17"/>
          <w:color w:val="auto"/>
        </w:rPr>
        <w:t>RTW Investments, LP â€“ 0 Roderick Wong â€“ 0</w:t>
      </w:r>
    </w:p>
    <w:p>
      <w:pPr>
        <w:spacing w:after="0" w:line="137" w:lineRule="exact"/>
        <w:rPr>
          <w:rFonts w:ascii="Arial" w:cs="Arial" w:eastAsia="Arial" w:hAnsi="Arial"/>
          <w:sz w:val="19"/>
          <w:szCs w:val="19"/>
          <w:color w:val="auto"/>
        </w:rPr>
      </w:pPr>
    </w:p>
    <w:p>
      <w:pPr>
        <w:ind w:left="1360" w:hanging="339"/>
        <w:spacing w:after="0"/>
        <w:tabs>
          <w:tab w:leader="none" w:pos="1360" w:val="left"/>
        </w:tabs>
        <w:numPr>
          <w:ilvl w:val="2"/>
          <w:numId w:val="10"/>
        </w:numPr>
        <w:rPr>
          <w:rFonts w:ascii="Arial" w:cs="Arial" w:eastAsia="Arial" w:hAnsi="Arial"/>
          <w:sz w:val="19"/>
          <w:szCs w:val="19"/>
          <w:color w:val="auto"/>
        </w:rPr>
      </w:pPr>
      <w:r>
        <w:rPr>
          <w:rFonts w:ascii="Arial" w:cs="Arial" w:eastAsia="Arial" w:hAnsi="Arial"/>
          <w:sz w:val="19"/>
          <w:szCs w:val="19"/>
          <w:color w:val="auto"/>
        </w:rPr>
        <w:t>Shared power to vote or to direct the vote</w:t>
      </w:r>
    </w:p>
    <w:p>
      <w:pPr>
        <w:spacing w:after="0" w:line="237" w:lineRule="exact"/>
        <w:rPr>
          <w:rFonts w:ascii="Arial" w:cs="Arial" w:eastAsia="Arial" w:hAnsi="Arial"/>
          <w:sz w:val="19"/>
          <w:szCs w:val="19"/>
          <w:color w:val="auto"/>
        </w:rPr>
      </w:pPr>
    </w:p>
    <w:p>
      <w:pPr>
        <w:ind w:left="1360" w:right="7720"/>
        <w:spacing w:after="0" w:line="336" w:lineRule="auto"/>
        <w:rPr>
          <w:rFonts w:ascii="Arial" w:cs="Arial" w:eastAsia="Arial" w:hAnsi="Arial"/>
          <w:sz w:val="19"/>
          <w:szCs w:val="19"/>
          <w:color w:val="auto"/>
        </w:rPr>
      </w:pPr>
      <w:r>
        <w:rPr>
          <w:rFonts w:ascii="Arial" w:cs="Arial" w:eastAsia="Arial" w:hAnsi="Arial"/>
          <w:sz w:val="17"/>
          <w:szCs w:val="17"/>
          <w:color w:val="auto"/>
        </w:rPr>
        <w:t>RTW Investments, LP â€“ 1,234,118* Roderick Wong â€“ 1,234,118*</w:t>
      </w:r>
    </w:p>
    <w:p>
      <w:pPr>
        <w:spacing w:after="0" w:line="137" w:lineRule="exact"/>
        <w:rPr>
          <w:rFonts w:ascii="Arial" w:cs="Arial" w:eastAsia="Arial" w:hAnsi="Arial"/>
          <w:sz w:val="19"/>
          <w:szCs w:val="19"/>
          <w:color w:val="auto"/>
        </w:rPr>
      </w:pPr>
    </w:p>
    <w:p>
      <w:pPr>
        <w:ind w:left="1360" w:hanging="339"/>
        <w:spacing w:after="0"/>
        <w:tabs>
          <w:tab w:leader="none" w:pos="1360" w:val="left"/>
        </w:tabs>
        <w:numPr>
          <w:ilvl w:val="2"/>
          <w:numId w:val="10"/>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w:t>
      </w:r>
    </w:p>
    <w:p>
      <w:pPr>
        <w:spacing w:after="0" w:line="237" w:lineRule="exact"/>
        <w:rPr>
          <w:rFonts w:ascii="Arial" w:cs="Arial" w:eastAsia="Arial" w:hAnsi="Arial"/>
          <w:sz w:val="19"/>
          <w:szCs w:val="19"/>
          <w:color w:val="auto"/>
        </w:rPr>
      </w:pPr>
    </w:p>
    <w:p>
      <w:pPr>
        <w:ind w:left="1360" w:right="8500"/>
        <w:spacing w:after="0" w:line="336" w:lineRule="auto"/>
        <w:rPr>
          <w:rFonts w:ascii="Arial" w:cs="Arial" w:eastAsia="Arial" w:hAnsi="Arial"/>
          <w:sz w:val="19"/>
          <w:szCs w:val="19"/>
          <w:color w:val="auto"/>
        </w:rPr>
      </w:pPr>
      <w:r>
        <w:rPr>
          <w:rFonts w:ascii="Arial" w:cs="Arial" w:eastAsia="Arial" w:hAnsi="Arial"/>
          <w:sz w:val="17"/>
          <w:szCs w:val="17"/>
          <w:color w:val="auto"/>
        </w:rPr>
        <w:t>RTW Investments, LP â€“ 0 Roderick Wong â€“ 0</w:t>
      </w:r>
    </w:p>
    <w:p>
      <w:pPr>
        <w:spacing w:after="0" w:line="137" w:lineRule="exact"/>
        <w:rPr>
          <w:rFonts w:ascii="Arial" w:cs="Arial" w:eastAsia="Arial" w:hAnsi="Arial"/>
          <w:sz w:val="19"/>
          <w:szCs w:val="19"/>
          <w:color w:val="auto"/>
        </w:rPr>
      </w:pPr>
    </w:p>
    <w:p>
      <w:pPr>
        <w:ind w:left="1360" w:hanging="339"/>
        <w:spacing w:after="0"/>
        <w:tabs>
          <w:tab w:leader="none" w:pos="1360" w:val="left"/>
        </w:tabs>
        <w:numPr>
          <w:ilvl w:val="2"/>
          <w:numId w:val="10"/>
        </w:numPr>
        <w:rPr>
          <w:rFonts w:ascii="Arial" w:cs="Arial" w:eastAsia="Arial" w:hAnsi="Arial"/>
          <w:sz w:val="19"/>
          <w:szCs w:val="19"/>
          <w:color w:val="auto"/>
        </w:rPr>
      </w:pPr>
      <w:r>
        <w:rPr>
          <w:rFonts w:ascii="Arial" w:cs="Arial" w:eastAsia="Arial" w:hAnsi="Arial"/>
          <w:sz w:val="19"/>
          <w:szCs w:val="19"/>
          <w:color w:val="auto"/>
        </w:rPr>
        <w:t>Shared power to dispose or to direct the disposition of</w:t>
      </w:r>
    </w:p>
    <w:p>
      <w:pPr>
        <w:spacing w:after="0" w:line="237" w:lineRule="exact"/>
        <w:rPr>
          <w:rFonts w:ascii="Arial" w:cs="Arial" w:eastAsia="Arial" w:hAnsi="Arial"/>
          <w:sz w:val="19"/>
          <w:szCs w:val="19"/>
          <w:color w:val="auto"/>
        </w:rPr>
      </w:pPr>
    </w:p>
    <w:p>
      <w:pPr>
        <w:ind w:left="1360" w:right="7720"/>
        <w:spacing w:after="0" w:line="336" w:lineRule="auto"/>
        <w:rPr>
          <w:rFonts w:ascii="Arial" w:cs="Arial" w:eastAsia="Arial" w:hAnsi="Arial"/>
          <w:sz w:val="19"/>
          <w:szCs w:val="19"/>
          <w:color w:val="auto"/>
        </w:rPr>
      </w:pPr>
      <w:r>
        <w:rPr>
          <w:rFonts w:ascii="Arial" w:cs="Arial" w:eastAsia="Arial" w:hAnsi="Arial"/>
          <w:sz w:val="17"/>
          <w:szCs w:val="17"/>
          <w:color w:val="auto"/>
        </w:rPr>
        <w:t>RTW Investments, LP â€“ 1,234,118* Roderick Wong â€“ 1,234,118*</w:t>
      </w:r>
    </w:p>
    <w:p>
      <w:pPr>
        <w:spacing w:after="0" w:line="165" w:lineRule="exact"/>
        <w:rPr>
          <w:rFonts w:ascii="Arial" w:cs="Arial" w:eastAsia="Arial" w:hAnsi="Arial"/>
          <w:sz w:val="19"/>
          <w:szCs w:val="19"/>
          <w:color w:val="auto"/>
        </w:rPr>
      </w:pPr>
    </w:p>
    <w:p>
      <w:pPr>
        <w:jc w:val="both"/>
        <w:spacing w:after="0" w:line="269" w:lineRule="auto"/>
        <w:rPr>
          <w:rFonts w:ascii="Arial" w:cs="Arial" w:eastAsia="Arial" w:hAnsi="Arial"/>
          <w:sz w:val="19"/>
          <w:szCs w:val="19"/>
          <w:color w:val="auto"/>
        </w:rPr>
      </w:pPr>
      <w:r>
        <w:rPr>
          <w:rFonts w:ascii="Arial" w:cs="Arial" w:eastAsia="Arial" w:hAnsi="Arial"/>
          <w:sz w:val="18"/>
          <w:szCs w:val="18"/>
          <w:color w:val="auto"/>
        </w:rPr>
        <w:t>* The shares of common stock (the "Shares"), of Si-Bone, Inc. (the "Company") reported herein are held by one or more private funds (together the "Funds") managed by RTW Investments, LP (the "Adviser"). The Adviser, in its capacity as the investment manager of the Funds, has the power to vote and the power to direct the disposition of all Shares held by the Funds. Accordingly, for the purposes of Reg. Section 240.13d-3, the Adviser may be deemed to beneficially own an aggregate of 1,234,118 Shares, or 5.10% of the Companyâ€™s 24,335,690 shares of common stock deemed issued and outstanding as of November 28, 2018, as disclosed in the Companyâ€™s Quarterly Report for the quarter ending September 30, 2018, as filed with the Securities and Exchange Commission on November 29, 2018. Roderick Wong is the Managing Partner of the Adviser. This report shall not be deemed an admission that the Adviser, the Funds or any other person is the beneficial owner of the securities reported herein for purposes of Section 13 of the Securities Exchange Act of 1934, as amended, or for any other purpose. Each of the reporting persons herein disclaims beneficial ownership of the Shares reported herein except to the extent of the reporting personâ€™s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-4685030</wp:posOffset>
            </wp:positionV>
            <wp:extent cx="697293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72935" cy="1841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-5427345</wp:posOffset>
            </wp:positionV>
            <wp:extent cx="697293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7293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-1334135</wp:posOffset>
            </wp:positionV>
            <wp:extent cx="7625080"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25080"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276860</wp:posOffset>
            </wp:positionV>
            <wp:extent cx="7625080"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556" w:right="120" w:bottom="1440" w:gutter="0" w:footer="0" w:header="0"/>
        </w:sectPr>
      </w:pPr>
    </w:p>
    <w:bookmarkStart w:id="5" w:name="page6"/>
    <w:bookmarkEnd w:id="5"/>
    <w:p>
      <w:pPr>
        <w:spacing w:after="0"/>
        <w:tabs>
          <w:tab w:leader="none" w:pos="660" w:val="left"/>
        </w:tabs>
        <w:rPr>
          <w:sz w:val="20"/>
          <w:szCs w:val="20"/>
          <w:color w:val="auto"/>
        </w:rPr>
      </w:pPr>
      <w:r>
        <w:rPr>
          <w:rFonts w:ascii="Arial" w:cs="Arial" w:eastAsia="Arial" w:hAnsi="Arial"/>
          <w:sz w:val="19"/>
          <w:szCs w:val="19"/>
          <w:color w:val="auto"/>
        </w:rPr>
        <w:t>Item 5.</w:t>
      </w:r>
      <w:r>
        <w:rPr>
          <w:sz w:val="20"/>
          <w:szCs w:val="20"/>
          <w:color w:val="auto"/>
        </w:rPr>
        <w:tab/>
      </w:r>
      <w:r>
        <w:rPr>
          <w:rFonts w:ascii="Arial" w:cs="Arial" w:eastAsia="Arial" w:hAnsi="Arial"/>
          <w:sz w:val="17"/>
          <w:szCs w:val="17"/>
          <w:color w:val="auto"/>
        </w:rPr>
        <w:t>Ownership of Five Percent or Less of a Class.</w:t>
      </w:r>
    </w:p>
    <w:p>
      <w:pPr>
        <w:spacing w:after="0" w:line="238" w:lineRule="exact"/>
        <w:rPr>
          <w:sz w:val="20"/>
          <w:szCs w:val="20"/>
          <w:color w:val="auto"/>
        </w:rPr>
      </w:pPr>
    </w:p>
    <w:p>
      <w:pPr>
        <w:jc w:val="both"/>
        <w:ind w:left="680" w:right="20"/>
        <w:spacing w:after="0" w:line="275"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 ].</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9"/>
          <w:szCs w:val="19"/>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15240</wp:posOffset>
            </wp:positionV>
            <wp:extent cx="719010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0105" cy="18415"/>
                    </a:xfrm>
                    <a:prstGeom prst="rect">
                      <a:avLst/>
                    </a:prstGeom>
                    <a:noFill/>
                  </pic:spPr>
                </pic:pic>
              </a:graphicData>
            </a:graphic>
          </wp:anchor>
        </w:drawing>
      </w:r>
    </w:p>
    <w:p>
      <w:pPr>
        <w:spacing w:after="0" w:line="246"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Item 6.</w:t>
      </w:r>
      <w:r>
        <w:rPr>
          <w:sz w:val="20"/>
          <w:szCs w:val="20"/>
          <w:color w:val="auto"/>
        </w:rPr>
        <w:tab/>
      </w:r>
      <w:r>
        <w:rPr>
          <w:rFonts w:ascii="Arial" w:cs="Arial" w:eastAsia="Arial" w:hAnsi="Arial"/>
          <w:sz w:val="17"/>
          <w:szCs w:val="17"/>
          <w:color w:val="auto"/>
        </w:rPr>
        <w:t>Ownership of More Than Five Percent on Behalf of Another Person.</w:t>
      </w:r>
    </w:p>
    <w:p>
      <w:pPr>
        <w:spacing w:after="0" w:line="238" w:lineRule="exact"/>
        <w:rPr>
          <w:sz w:val="20"/>
          <w:szCs w:val="20"/>
          <w:color w:val="auto"/>
        </w:rPr>
      </w:pPr>
    </w:p>
    <w:p>
      <w:pPr>
        <w:jc w:val="both"/>
        <w:ind w:left="680"/>
        <w:spacing w:after="0" w:line="259" w:lineRule="auto"/>
        <w:rPr>
          <w:sz w:val="20"/>
          <w:szCs w:val="20"/>
          <w:color w:val="auto"/>
        </w:rPr>
      </w:pPr>
      <w:r>
        <w:rPr>
          <w:rFonts w:ascii="Arial" w:cs="Arial" w:eastAsia="Arial" w:hAnsi="Arial"/>
          <w:sz w:val="19"/>
          <w:szCs w:val="19"/>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98" w:lineRule="exact"/>
        <w:rPr>
          <w:sz w:val="20"/>
          <w:szCs w:val="20"/>
          <w:color w:val="auto"/>
        </w:rPr>
      </w:pPr>
    </w:p>
    <w:p>
      <w:pPr>
        <w:ind w:left="680"/>
        <w:spacing w:after="0"/>
        <w:rPr>
          <w:sz w:val="20"/>
          <w:szCs w:val="20"/>
          <w:color w:val="auto"/>
        </w:rPr>
      </w:pPr>
      <w:r>
        <w:rPr>
          <w:rFonts w:ascii="Arial" w:cs="Arial" w:eastAsia="Arial" w:hAnsi="Arial"/>
          <w:sz w:val="19"/>
          <w:szCs w:val="19"/>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15240</wp:posOffset>
            </wp:positionV>
            <wp:extent cx="719010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0105" cy="18415"/>
                    </a:xfrm>
                    <a:prstGeom prst="rect">
                      <a:avLst/>
                    </a:prstGeom>
                    <a:noFill/>
                  </pic:spPr>
                </pic:pic>
              </a:graphicData>
            </a:graphic>
          </wp:anchor>
        </w:drawing>
      </w:r>
    </w:p>
    <w:p>
      <w:pPr>
        <w:spacing w:after="0" w:line="246" w:lineRule="exact"/>
        <w:rPr>
          <w:sz w:val="20"/>
          <w:szCs w:val="20"/>
          <w:color w:val="auto"/>
        </w:rPr>
      </w:pPr>
    </w:p>
    <w:p>
      <w:pPr>
        <w:ind w:left="680" w:hanging="684"/>
        <w:spacing w:after="0" w:line="275" w:lineRule="auto"/>
        <w:tabs>
          <w:tab w:leader="none" w:pos="660" w:val="left"/>
        </w:tabs>
        <w:rPr>
          <w:sz w:val="20"/>
          <w:szCs w:val="20"/>
          <w:color w:val="auto"/>
        </w:rPr>
      </w:pPr>
      <w:r>
        <w:rPr>
          <w:rFonts w:ascii="Arial" w:cs="Arial" w:eastAsia="Arial" w:hAnsi="Arial"/>
          <w:sz w:val="19"/>
          <w:szCs w:val="19"/>
          <w:color w:val="auto"/>
        </w:rPr>
        <w:t>Item 7.</w:t>
        <w:tab/>
        <w:t>Identification and Classification of the Subsidiary Which Acquired the Security Being Reported on by the Parent Holding Company or Control Person.</w:t>
      </w:r>
    </w:p>
    <w:p>
      <w:pPr>
        <w:spacing w:after="0" w:line="184" w:lineRule="exact"/>
        <w:rPr>
          <w:sz w:val="20"/>
          <w:szCs w:val="20"/>
          <w:color w:val="auto"/>
        </w:rPr>
      </w:pPr>
    </w:p>
    <w:p>
      <w:pPr>
        <w:jc w:val="both"/>
        <w:ind w:left="680"/>
        <w:spacing w:after="0" w:line="284" w:lineRule="auto"/>
        <w:rPr>
          <w:sz w:val="20"/>
          <w:szCs w:val="20"/>
          <w:color w:val="auto"/>
        </w:rPr>
      </w:pPr>
      <w:r>
        <w:rPr>
          <w:rFonts w:ascii="Arial" w:cs="Arial" w:eastAsia="Arial" w:hAnsi="Arial"/>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78" w:lineRule="exact"/>
        <w:rPr>
          <w:sz w:val="20"/>
          <w:szCs w:val="20"/>
          <w:color w:val="auto"/>
        </w:rPr>
      </w:pPr>
    </w:p>
    <w:p>
      <w:pPr>
        <w:ind w:left="680"/>
        <w:spacing w:after="0"/>
        <w:rPr>
          <w:sz w:val="20"/>
          <w:szCs w:val="20"/>
          <w:color w:val="auto"/>
        </w:rPr>
      </w:pPr>
      <w:r>
        <w:rPr>
          <w:rFonts w:ascii="Arial" w:cs="Arial" w:eastAsia="Arial" w:hAnsi="Arial"/>
          <w:sz w:val="19"/>
          <w:szCs w:val="19"/>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15240</wp:posOffset>
            </wp:positionV>
            <wp:extent cx="719010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0105" cy="18415"/>
                    </a:xfrm>
                    <a:prstGeom prst="rect">
                      <a:avLst/>
                    </a:prstGeom>
                    <a:noFill/>
                  </pic:spPr>
                </pic:pic>
              </a:graphicData>
            </a:graphic>
          </wp:anchor>
        </w:drawing>
      </w:r>
    </w:p>
    <w:p>
      <w:pPr>
        <w:spacing w:after="0" w:line="246"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Item 8.</w:t>
      </w:r>
      <w:r>
        <w:rPr>
          <w:sz w:val="20"/>
          <w:szCs w:val="20"/>
          <w:color w:val="auto"/>
        </w:rPr>
        <w:tab/>
      </w:r>
      <w:r>
        <w:rPr>
          <w:rFonts w:ascii="Arial" w:cs="Arial" w:eastAsia="Arial" w:hAnsi="Arial"/>
          <w:sz w:val="17"/>
          <w:szCs w:val="17"/>
          <w:color w:val="auto"/>
        </w:rPr>
        <w:t>Identification and Classification of Members of the Group.</w:t>
      </w:r>
    </w:p>
    <w:p>
      <w:pPr>
        <w:spacing w:after="0" w:line="238" w:lineRule="exact"/>
        <w:rPr>
          <w:sz w:val="20"/>
          <w:szCs w:val="20"/>
          <w:color w:val="auto"/>
        </w:rPr>
      </w:pPr>
    </w:p>
    <w:p>
      <w:pPr>
        <w:jc w:val="both"/>
        <w:ind w:left="680"/>
        <w:spacing w:after="0" w:line="263" w:lineRule="auto"/>
        <w:rPr>
          <w:sz w:val="20"/>
          <w:szCs w:val="20"/>
          <w:color w:val="auto"/>
        </w:rPr>
      </w:pPr>
      <w:r>
        <w:rPr>
          <w:rFonts w:ascii="Arial" w:cs="Arial" w:eastAsia="Arial" w:hAnsi="Arial"/>
          <w:sz w:val="19"/>
          <w:szCs w:val="19"/>
          <w:color w:val="auto"/>
        </w:rPr>
        <w:t>If a group has filed this schedule pursuant to Â§240.13d-1(b)(1)(ii)(J),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94" w:lineRule="exact"/>
        <w:rPr>
          <w:sz w:val="20"/>
          <w:szCs w:val="20"/>
          <w:color w:val="auto"/>
        </w:rPr>
      </w:pPr>
    </w:p>
    <w:p>
      <w:pPr>
        <w:ind w:left="680"/>
        <w:spacing w:after="0"/>
        <w:rPr>
          <w:sz w:val="20"/>
          <w:szCs w:val="20"/>
          <w:color w:val="auto"/>
        </w:rPr>
      </w:pPr>
      <w:r>
        <w:rPr>
          <w:rFonts w:ascii="Arial" w:cs="Arial" w:eastAsia="Arial" w:hAnsi="Arial"/>
          <w:sz w:val="19"/>
          <w:szCs w:val="19"/>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15240</wp:posOffset>
            </wp:positionV>
            <wp:extent cx="719010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0105" cy="18415"/>
                    </a:xfrm>
                    <a:prstGeom prst="rect">
                      <a:avLst/>
                    </a:prstGeom>
                    <a:noFill/>
                  </pic:spPr>
                </pic:pic>
              </a:graphicData>
            </a:graphic>
          </wp:anchor>
        </w:drawing>
      </w:r>
    </w:p>
    <w:p>
      <w:pPr>
        <w:spacing w:after="0" w:line="246"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Item 9.</w:t>
      </w:r>
      <w:r>
        <w:rPr>
          <w:sz w:val="20"/>
          <w:szCs w:val="20"/>
          <w:color w:val="auto"/>
        </w:rPr>
        <w:tab/>
      </w:r>
      <w:r>
        <w:rPr>
          <w:rFonts w:ascii="Arial" w:cs="Arial" w:eastAsia="Arial" w:hAnsi="Arial"/>
          <w:sz w:val="17"/>
          <w:szCs w:val="17"/>
          <w:color w:val="auto"/>
        </w:rPr>
        <w:t>Notice of Dissolution of Group.</w:t>
      </w:r>
    </w:p>
    <w:p>
      <w:pPr>
        <w:spacing w:after="0" w:line="238" w:lineRule="exact"/>
        <w:rPr>
          <w:sz w:val="20"/>
          <w:szCs w:val="20"/>
          <w:color w:val="auto"/>
        </w:rPr>
      </w:pPr>
    </w:p>
    <w:p>
      <w:pPr>
        <w:jc w:val="both"/>
        <w:ind w:left="680"/>
        <w:spacing w:after="0" w:line="275" w:lineRule="auto"/>
        <w:rPr>
          <w:sz w:val="20"/>
          <w:szCs w:val="20"/>
          <w:color w:val="auto"/>
        </w:rPr>
      </w:pPr>
      <w:r>
        <w:rPr>
          <w:rFonts w:ascii="Arial" w:cs="Arial" w:eastAsia="Arial" w:hAnsi="Arial"/>
          <w:sz w:val="19"/>
          <w:szCs w:val="19"/>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84" w:lineRule="exact"/>
        <w:rPr>
          <w:sz w:val="20"/>
          <w:szCs w:val="20"/>
          <w:color w:val="auto"/>
        </w:rPr>
      </w:pPr>
    </w:p>
    <w:p>
      <w:pPr>
        <w:jc w:val="center"/>
        <w:ind w:right="10320"/>
        <w:spacing w:after="0"/>
        <w:rPr>
          <w:sz w:val="20"/>
          <w:szCs w:val="20"/>
          <w:color w:val="auto"/>
        </w:rPr>
      </w:pPr>
      <w:r>
        <w:rPr>
          <w:rFonts w:ascii="Arial" w:cs="Arial" w:eastAsia="Arial" w:hAnsi="Arial"/>
          <w:sz w:val="19"/>
          <w:szCs w:val="19"/>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15240</wp:posOffset>
            </wp:positionV>
            <wp:extent cx="719010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0105" cy="1841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Item 10. Certification.</w:t>
      </w:r>
    </w:p>
    <w:p>
      <w:pPr>
        <w:spacing w:after="0" w:line="238" w:lineRule="exact"/>
        <w:rPr>
          <w:sz w:val="20"/>
          <w:szCs w:val="20"/>
          <w:color w:val="auto"/>
        </w:rPr>
      </w:pPr>
    </w:p>
    <w:p>
      <w:pPr>
        <w:jc w:val="both"/>
        <w:ind w:left="680"/>
        <w:spacing w:after="0" w:line="263"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625080"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556" w:right="120" w:bottom="1440" w:gutter="0" w:footer="0" w:header="0"/>
        </w:sectPr>
      </w:pPr>
    </w:p>
    <w:bookmarkStart w:id="6" w:name="page7"/>
    <w:bookmarkEnd w:id="6"/>
    <w:p>
      <w:pPr>
        <w:jc w:val="center"/>
        <w:spacing w:after="0"/>
        <w:rPr>
          <w:sz w:val="20"/>
          <w:szCs w:val="20"/>
          <w:color w:val="auto"/>
        </w:rPr>
      </w:pPr>
      <w:r>
        <w:rPr>
          <w:rFonts w:ascii="Arial" w:cs="Arial" w:eastAsia="Arial" w:hAnsi="Arial"/>
          <w:sz w:val="19"/>
          <w:szCs w:val="19"/>
          <w:color w:val="auto"/>
        </w:rPr>
        <w:t>SIGNATURE</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correct.</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Dated: February 15, 2019</w:t>
      </w:r>
    </w:p>
    <w:p>
      <w:pPr>
        <w:spacing w:after="0" w:line="238"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RTW Investments, LP</w:t>
      </w:r>
    </w:p>
    <w:p>
      <w:pPr>
        <w:spacing w:after="0" w:line="238"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15240</wp:posOffset>
            </wp:positionV>
            <wp:extent cx="357695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76955" cy="18415"/>
                    </a:xfrm>
                    <a:prstGeom prst="rect">
                      <a:avLst/>
                    </a:prstGeom>
                    <a:noFill/>
                  </pic:spPr>
                </pic:pic>
              </a:graphicData>
            </a:graphic>
          </wp:anchor>
        </w:drawing>
      </w:r>
    </w:p>
    <w:p>
      <w:pPr>
        <w:spacing w:after="0" w:line="18" w:lineRule="exact"/>
        <w:rPr>
          <w:sz w:val="20"/>
          <w:szCs w:val="20"/>
          <w:color w:val="auto"/>
        </w:rPr>
      </w:pPr>
    </w:p>
    <w:p>
      <w:pPr>
        <w:ind w:left="6360"/>
        <w:spacing w:after="0"/>
        <w:rPr>
          <w:sz w:val="20"/>
          <w:szCs w:val="20"/>
          <w:color w:val="auto"/>
        </w:rPr>
      </w:pPr>
      <w:r>
        <w:rPr>
          <w:rFonts w:ascii="Arial" w:cs="Arial" w:eastAsia="Arial" w:hAnsi="Arial"/>
          <w:sz w:val="19"/>
          <w:szCs w:val="19"/>
          <w:color w:val="auto"/>
        </w:rPr>
        <w:t>Roderick Wong, Managing Partner</w:t>
      </w:r>
    </w:p>
    <w:p>
      <w:pPr>
        <w:spacing w:after="0" w:line="238"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Roderick Wong</w:t>
      </w:r>
    </w:p>
    <w:p>
      <w:pPr>
        <w:spacing w:after="0" w:line="238"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15240</wp:posOffset>
            </wp:positionV>
            <wp:extent cx="357695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76955" cy="18415"/>
                    </a:xfrm>
                    <a:prstGeom prst="rect">
                      <a:avLst/>
                    </a:prstGeom>
                    <a:noFill/>
                  </pic:spPr>
                </pic:pic>
              </a:graphicData>
            </a:graphic>
          </wp:anchor>
        </w:drawing>
      </w:r>
    </w:p>
    <w:p>
      <w:pPr>
        <w:spacing w:after="0" w:line="18" w:lineRule="exact"/>
        <w:rPr>
          <w:sz w:val="20"/>
          <w:szCs w:val="20"/>
          <w:color w:val="auto"/>
        </w:rPr>
      </w:pPr>
    </w:p>
    <w:p>
      <w:pPr>
        <w:ind w:left="6360"/>
        <w:spacing w:after="0"/>
        <w:rPr>
          <w:sz w:val="20"/>
          <w:szCs w:val="20"/>
          <w:color w:val="auto"/>
        </w:rPr>
      </w:pPr>
      <w:r>
        <w:rPr>
          <w:rFonts w:ascii="Arial" w:cs="Arial" w:eastAsia="Arial" w:hAnsi="Arial"/>
          <w:sz w:val="19"/>
          <w:szCs w:val="19"/>
          <w:color w:val="auto"/>
        </w:rPr>
        <w:t>Roderick Wong, Individually</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representativeâ€™s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Note. Schedules filed in paper format shall include a signed original and five copies of the schedule, including all exhibits. See s.240.13d-7 for other parties for whom copies are to be sent.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304800</wp:posOffset>
            </wp:positionV>
            <wp:extent cx="7625080"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556" w:right="120" w:bottom="1440" w:gutter="0" w:footer="0" w:header="0"/>
        </w:sectPr>
      </w:pPr>
    </w:p>
    <w:bookmarkStart w:id="7" w:name="page8"/>
    <w:bookmarkEnd w:id="7"/>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8" w:name="page9"/>
    <w:bookmarkEnd w:id="8"/>
    <w:p>
      <w:pPr>
        <w:spacing w:after="0"/>
        <w:rPr>
          <w:sz w:val="20"/>
          <w:szCs w:val="20"/>
          <w:color w:val="auto"/>
        </w:rPr>
      </w:pPr>
      <w:r>
        <w:rPr>
          <w:rFonts w:ascii="Arial" w:cs="Arial" w:eastAsia="Arial" w:hAnsi="Arial"/>
          <w:sz w:val="19"/>
          <w:szCs w:val="19"/>
          <w:color w:val="auto"/>
        </w:rPr>
        <w:t>Exhibit 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Joint Filing Statement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Pursuant to Rule 13d-1(k)(1)</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undersigned hereby consent and agree to the joint filing of Schedule 13G under the Securities Exchange Act of 1934, as amended, with respect to the Common stock of Si-Bone, Inc. beneficially owned by them, together with any or all amendments thereto, when and if appropriate. The parties hereto further consent and agree to file this Joint Filing Statement pursuant to Rule13d-1(k)(1)(iii) as an exhibit to Schedule 13G, thereby incorporating the same into such Schedule13G.</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9"/>
          <w:szCs w:val="19"/>
          <w:color w:val="auto"/>
        </w:rPr>
        <w:t>This Joint Filing Statement may be terminated by any of the undersigned upon written notice or such lesser period of notice as the undersigned may mutually agree.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Dated: February 15, 2019</w:t>
      </w:r>
    </w:p>
    <w:p>
      <w:pPr>
        <w:spacing w:after="0" w:line="238"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RTW Investments, LP</w:t>
      </w:r>
    </w:p>
    <w:p>
      <w:pPr>
        <w:spacing w:after="0" w:line="209"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6350</wp:posOffset>
            </wp:positionV>
            <wp:extent cx="357695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76955" cy="18415"/>
                    </a:xfrm>
                    <a:prstGeom prst="rect">
                      <a:avLst/>
                    </a:prstGeom>
                    <a:noFill/>
                  </pic:spPr>
                </pic:pic>
              </a:graphicData>
            </a:graphic>
          </wp:anchor>
        </w:drawing>
      </w:r>
    </w:p>
    <w:p>
      <w:pPr>
        <w:spacing w:after="0" w:line="4" w:lineRule="exact"/>
        <w:rPr>
          <w:sz w:val="20"/>
          <w:szCs w:val="20"/>
          <w:color w:val="auto"/>
        </w:rPr>
      </w:pPr>
    </w:p>
    <w:p>
      <w:pPr>
        <w:ind w:left="6360"/>
        <w:spacing w:after="0"/>
        <w:rPr>
          <w:sz w:val="20"/>
          <w:szCs w:val="20"/>
          <w:color w:val="auto"/>
        </w:rPr>
      </w:pPr>
      <w:r>
        <w:rPr>
          <w:rFonts w:ascii="Arial" w:cs="Arial" w:eastAsia="Arial" w:hAnsi="Arial"/>
          <w:sz w:val="19"/>
          <w:szCs w:val="19"/>
          <w:color w:val="auto"/>
        </w:rPr>
        <w:t>Roderick Wong, Managing Partner</w:t>
      </w:r>
    </w:p>
    <w:p>
      <w:pPr>
        <w:spacing w:after="0" w:line="209"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Roderick Wong</w:t>
      </w:r>
    </w:p>
    <w:p>
      <w:pPr>
        <w:spacing w:after="0" w:line="209"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6350</wp:posOffset>
            </wp:positionV>
            <wp:extent cx="357695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76955" cy="18415"/>
                    </a:xfrm>
                    <a:prstGeom prst="rect">
                      <a:avLst/>
                    </a:prstGeom>
                    <a:noFill/>
                  </pic:spPr>
                </pic:pic>
              </a:graphicData>
            </a:graphic>
          </wp:anchor>
        </w:drawing>
      </w:r>
    </w:p>
    <w:p>
      <w:pPr>
        <w:spacing w:after="0" w:line="4" w:lineRule="exact"/>
        <w:rPr>
          <w:sz w:val="20"/>
          <w:szCs w:val="20"/>
          <w:color w:val="auto"/>
        </w:rPr>
      </w:pPr>
    </w:p>
    <w:p>
      <w:pPr>
        <w:ind w:left="6360"/>
        <w:spacing w:after="0"/>
        <w:rPr>
          <w:sz w:val="20"/>
          <w:szCs w:val="20"/>
          <w:color w:val="auto"/>
        </w:rPr>
      </w:pPr>
      <w:r>
        <w:rPr>
          <w:rFonts w:ascii="Arial" w:cs="Arial" w:eastAsia="Arial" w:hAnsi="Arial"/>
          <w:sz w:val="19"/>
          <w:szCs w:val="19"/>
          <w:color w:val="auto"/>
        </w:rPr>
        <w:t>Roderick Wong,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295910</wp:posOffset>
            </wp:positionV>
            <wp:extent cx="7625080"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242" w:right="120" w:bottom="1440" w:gutter="0" w:footer="0" w:header="0"/>
        </w:sectPr>
      </w:pPr>
    </w:p>
    <w:bookmarkStart w:id="9" w:name="page10"/>
    <w:bookmarkEnd w:id="9"/>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3"/>
    </w:lvl>
  </w:abstractNum>
  <w:abstractNum w:abstractNumId="7">
    <w:nsid w:val="5BD062C2"/>
    <w:multiLevelType w:val="hybridMultilevel"/>
    <w:lvl w:ilvl="0">
      <w:lvlJc w:val="left"/>
      <w:lvlText w:val="%1."/>
      <w:numFmt w:val="decimal"/>
      <w:start w:val="5"/>
    </w:lvl>
  </w:abstractNum>
  <w:abstractNum w:abstractNumId="8">
    <w:nsid w:val="12200854"/>
    <w:multiLevelType w:val="hybridMultilevel"/>
    <w:lvl w:ilvl="0">
      <w:lvlJc w:val="left"/>
      <w:lvlText w:val="%1."/>
      <w:numFmt w:val="decimal"/>
      <w:start w:val="11"/>
    </w:lvl>
  </w:abstractNum>
  <w:abstractNum w:abstractNumId="9">
    <w:nsid w:val="4DB127F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2019-11-24T22:26:17Z</dcterms:created>
  <dcterms:modified xsi:type="dcterms:W3CDTF">2019-11-24T22:26:17Z</dcterms:modified>
</cp:coreProperties>
</file>