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18" w:lineRule="exact"/>
        <w:rPr>
          <w:sz w:val="24"/>
          <w:szCs w:val="24"/>
          <w:color w:val="auto"/>
        </w:rPr>
      </w:pPr>
    </w:p>
    <w:p>
      <w:pPr>
        <w:ind w:left="1320" w:hanging="1164"/>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ind w:left="700" w:hanging="564"/>
        <w:spacing w:after="0" w:line="182" w:lineRule="auto"/>
        <w:tabs>
          <w:tab w:leader="none" w:pos="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w:t>
      </w:r>
    </w:p>
    <w:p>
      <w:pPr>
        <w:spacing w:after="0" w:line="163" w:lineRule="exact"/>
        <w:rPr>
          <w:sz w:val="24"/>
          <w:szCs w:val="24"/>
          <w:color w:val="auto"/>
        </w:rPr>
      </w:pPr>
    </w:p>
    <w:p>
      <w:pPr>
        <w:ind w:left="3820"/>
        <w:spacing w:after="0"/>
        <w:tabs>
          <w:tab w:leader="none" w:pos="728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001-38701</w:t>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SI-BONE,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20"/>
          </w:cols>
          <w:pgMar w:left="320" w:top="792" w:right="359" w:bottom="1440" w:gutter="0" w:footer="0" w:header="0"/>
        </w:sectPr>
      </w:pPr>
    </w:p>
    <w:p>
      <w:pPr>
        <w:spacing w:after="0" w:line="118"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26-2216351</w:t>
      </w:r>
    </w:p>
    <w:p>
      <w:pPr>
        <w:spacing w:after="0" w:line="31" w:lineRule="exact"/>
        <w:rPr>
          <w:sz w:val="24"/>
          <w:szCs w:val="24"/>
          <w:color w:val="auto"/>
        </w:rPr>
      </w:pPr>
    </w:p>
    <w:p>
      <w:pPr>
        <w:sectPr>
          <w:pgSz w:w="11900" w:h="16838" w:orient="portrait"/>
          <w:cols w:equalWidth="0" w:num="2">
            <w:col w:w="7140" w:space="720"/>
            <w:col w:w="3360"/>
          </w:cols>
          <w:pgMar w:left="320" w:top="792" w:right="359" w:bottom="1440" w:gutter="0" w:footer="0" w:header="0"/>
          <w:type w:val="continuous"/>
        </w:sectPr>
      </w:pPr>
    </w:p>
    <w:p>
      <w:pPr>
        <w:ind w:left="2000"/>
        <w:spacing w:after="0"/>
        <w:rPr>
          <w:sz w:val="20"/>
          <w:szCs w:val="20"/>
          <w:color w:val="auto"/>
        </w:rPr>
      </w:pPr>
      <w:r>
        <w:rPr>
          <w:rFonts w:ascii="Arial" w:cs="Arial" w:eastAsia="Arial" w:hAnsi="Arial"/>
          <w:sz w:val="14"/>
          <w:szCs w:val="14"/>
          <w:b w:val="1"/>
          <w:bCs w:val="1"/>
          <w:color w:val="auto"/>
        </w:rPr>
        <w:t>(State or other jurisdiction</w:t>
      </w:r>
    </w:p>
    <w:p>
      <w:pPr>
        <w:ind w:left="18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7" w:lineRule="exact"/>
        <w:rPr>
          <w:sz w:val="24"/>
          <w:szCs w:val="24"/>
          <w:color w:val="auto"/>
        </w:rPr>
      </w:pPr>
    </w:p>
    <w:p>
      <w:pPr>
        <w:sectPr>
          <w:pgSz w:w="11900" w:h="16838" w:orient="portrait"/>
          <w:cols w:equalWidth="0" w:num="2">
            <w:col w:w="7020" w:space="720"/>
            <w:col w:w="3480"/>
          </w:cols>
          <w:pgMar w:left="320" w:top="792"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471 El Camino Real, Suite 101, Santa Clara, California 95050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(408) 207-0700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5"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00" w:type="dxa"/>
            <w:vAlign w:val="bottom"/>
          </w:tcPr>
          <w:p>
            <w:pPr>
              <w:spacing w:after="0"/>
              <w:rPr>
                <w:sz w:val="14"/>
                <w:szCs w:val="14"/>
                <w:color w:val="auto"/>
              </w:rPr>
            </w:pPr>
          </w:p>
        </w:tc>
        <w:tc>
          <w:tcPr>
            <w:tcW w:w="30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198"/>
        </w:trPr>
        <w:tc>
          <w:tcPr>
            <w:tcW w:w="3080" w:type="dxa"/>
            <w:vAlign w:val="bottom"/>
            <w:gridSpan w:val="3"/>
          </w:tcPr>
          <w:p>
            <w:pPr>
              <w:jc w:val="center"/>
              <w:ind w:right="520"/>
              <w:spacing w:after="0"/>
              <w:rPr>
                <w:sz w:val="20"/>
                <w:szCs w:val="20"/>
                <w:color w:val="auto"/>
              </w:rPr>
            </w:pPr>
            <w:r>
              <w:rPr>
                <w:rFonts w:ascii="Arial" w:cs="Arial" w:eastAsia="Arial" w:hAnsi="Arial"/>
                <w:sz w:val="14"/>
                <w:szCs w:val="14"/>
                <w:color w:val="auto"/>
                <w:w w:val="91"/>
              </w:rPr>
              <w:t>Common Stock, par value $0.0001 per share</w:t>
            </w:r>
          </w:p>
        </w:tc>
        <w:tc>
          <w:tcPr>
            <w:tcW w:w="52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SIBN</w:t>
            </w:r>
          </w:p>
        </w:tc>
        <w:tc>
          <w:tcPr>
            <w:tcW w:w="4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44"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x</w:t>
      </w:r>
    </w:p>
    <w:p>
      <w:pPr>
        <w:spacing w:after="0" w:line="102" w:lineRule="exact"/>
        <w:rPr>
          <w:sz w:val="24"/>
          <w:szCs w:val="24"/>
          <w:color w:val="auto"/>
        </w:rPr>
      </w:pPr>
    </w:p>
    <w:p>
      <w:pPr>
        <w:ind w:left="1900"/>
        <w:spacing w:after="0" w:line="196" w:lineRule="exact"/>
        <w:tabs>
          <w:tab w:leader="none" w:pos="900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1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w:t>
      </w:r>
    </w:p>
    <w:p>
      <w:pPr>
        <w:spacing w:after="0" w:line="26" w:lineRule="exact"/>
        <w:rPr>
          <w:sz w:val="24"/>
          <w:szCs w:val="24"/>
          <w:color w:val="auto"/>
        </w:rPr>
      </w:pPr>
    </w:p>
    <w:p>
      <w:pPr>
        <w:ind w:left="960"/>
        <w:spacing w:after="0" w:line="196" w:lineRule="exact"/>
        <w:tabs>
          <w:tab w:leader="none" w:pos="9860" w:val="left"/>
        </w:tabs>
        <w:rPr>
          <w:sz w:val="20"/>
          <w:szCs w:val="20"/>
          <w:color w:val="auto"/>
        </w:rPr>
      </w:pPr>
      <w:r>
        <w:rPr>
          <w:rFonts w:ascii="Arial" w:cs="Arial" w:eastAsia="Arial" w:hAnsi="Arial"/>
          <w:sz w:val="13"/>
          <w:szCs w:val="13"/>
          <w:color w:val="auto"/>
        </w:rPr>
        <w:t>such shorter period that the Registrant was required to file such reports), and (2) has been subject to such filing requirements for the past 90 days. Yes x</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left="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26" w:lineRule="exact"/>
        <w:rPr>
          <w:sz w:val="24"/>
          <w:szCs w:val="24"/>
          <w:color w:val="auto"/>
        </w:rPr>
      </w:pPr>
    </w:p>
    <w:p>
      <w:pPr>
        <w:ind w:left="1900"/>
        <w:spacing w:after="0" w:line="196" w:lineRule="exact"/>
        <w:tabs>
          <w:tab w:leader="none" w:pos="8920" w:val="left"/>
        </w:tabs>
        <w:rPr>
          <w:sz w:val="20"/>
          <w:szCs w:val="20"/>
          <w:color w:val="auto"/>
        </w:rPr>
      </w:pPr>
      <w:r>
        <w:rPr>
          <w:rFonts w:ascii="Arial" w:cs="Arial" w:eastAsia="Arial" w:hAnsi="Arial"/>
          <w:sz w:val="14"/>
          <w:szCs w:val="14"/>
          <w:color w:val="auto"/>
        </w:rPr>
        <w:t>during the preceding 12 months (or for such shorter period that the Registrant was required to submit such files). Yes x</w:t>
        <w:tab/>
        <w:t xml:space="preserve">No </w:t>
      </w:r>
      <w:r>
        <w:rPr>
          <w:rFonts w:ascii="MS PGothic" w:cs="MS PGothic" w:eastAsia="MS PGothic" w:hAnsi="MS PGothic"/>
          <w:sz w:val="17"/>
          <w:szCs w:val="17"/>
          <w:color w:val="auto"/>
        </w:rPr>
        <w:t>☐</w:t>
      </w:r>
    </w:p>
    <w:p>
      <w:pPr>
        <w:spacing w:after="0" w:line="74"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1900" w:type="dxa"/>
            <w:vAlign w:val="bottom"/>
          </w:tcPr>
          <w:p>
            <w:pPr>
              <w:jc w:val="center"/>
              <w:ind w:right="268"/>
              <w:spacing w:after="0"/>
              <w:rPr>
                <w:sz w:val="20"/>
                <w:szCs w:val="20"/>
                <w:color w:val="auto"/>
              </w:rPr>
            </w:pPr>
            <w:r>
              <w:rPr>
                <w:rFonts w:ascii="Arial" w:cs="Arial" w:eastAsia="Arial" w:hAnsi="Arial"/>
                <w:sz w:val="14"/>
                <w:szCs w:val="14"/>
                <w:color w:val="auto"/>
                <w:w w:val="92"/>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jc w:val="center"/>
              <w:ind w:left="48"/>
              <w:spacing w:after="0"/>
              <w:rPr>
                <w:sz w:val="20"/>
                <w:szCs w:val="20"/>
                <w:color w:val="auto"/>
              </w:rPr>
            </w:pPr>
            <w:r>
              <w:rPr>
                <w:rFonts w:ascii="Arial" w:cs="Arial" w:eastAsia="Arial" w:hAnsi="Arial"/>
                <w:sz w:val="14"/>
                <w:szCs w:val="14"/>
                <w:color w:val="auto"/>
                <w:w w:val="95"/>
              </w:rPr>
              <w:t>Accelerated filer</w:t>
            </w:r>
          </w:p>
        </w:tc>
        <w:tc>
          <w:tcPr>
            <w:tcW w:w="1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520"/>
              <w:spacing w:after="0"/>
              <w:rPr>
                <w:sz w:val="20"/>
                <w:szCs w:val="20"/>
                <w:color w:val="auto"/>
              </w:rPr>
            </w:pPr>
            <w:r>
              <w:rPr>
                <w:rFonts w:ascii="Arial" w:cs="Arial" w:eastAsia="Arial" w:hAnsi="Arial"/>
                <w:sz w:val="14"/>
                <w:szCs w:val="14"/>
                <w:color w:val="auto"/>
              </w:rPr>
              <w:t>Non-accelerated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1900" w:type="dxa"/>
            <w:vAlign w:val="bottom"/>
          </w:tcPr>
          <w:p>
            <w:pPr>
              <w:jc w:val="center"/>
              <w:ind w:right="268"/>
              <w:spacing w:after="0"/>
              <w:rPr>
                <w:sz w:val="20"/>
                <w:szCs w:val="20"/>
                <w:color w:val="auto"/>
              </w:rPr>
            </w:pPr>
            <w:r>
              <w:rPr>
                <w:rFonts w:ascii="Arial" w:cs="Arial" w:eastAsia="Arial" w:hAnsi="Arial"/>
                <w:sz w:val="14"/>
                <w:szCs w:val="14"/>
                <w:color w:val="auto"/>
                <w:w w:val="93"/>
              </w:rPr>
              <w:t>Smaller reporting company</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jc w:val="center"/>
              <w:ind w:left="28"/>
              <w:spacing w:after="0"/>
              <w:rPr>
                <w:sz w:val="20"/>
                <w:szCs w:val="20"/>
                <w:color w:val="auto"/>
              </w:rPr>
            </w:pPr>
            <w:r>
              <w:rPr>
                <w:rFonts w:ascii="Arial" w:cs="Arial" w:eastAsia="Arial" w:hAnsi="Arial"/>
                <w:sz w:val="14"/>
                <w:szCs w:val="14"/>
                <w:color w:val="auto"/>
                <w:w w:val="94"/>
              </w:rPr>
              <w:t>Emerging growth company</w:t>
            </w:r>
          </w:p>
        </w:tc>
        <w:tc>
          <w:tcPr>
            <w:tcW w:w="1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69" w:lineRule="exact"/>
        <w:rPr>
          <w:sz w:val="24"/>
          <w:szCs w:val="24"/>
          <w:color w:val="auto"/>
        </w:rPr>
      </w:pPr>
    </w:p>
    <w:p>
      <w:pPr>
        <w:jc w:val="center"/>
        <w:ind w:left="360" w:right="2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2" w:lineRule="exact"/>
        <w:rPr>
          <w:sz w:val="24"/>
          <w:szCs w:val="24"/>
          <w:color w:val="auto"/>
        </w:rPr>
      </w:pPr>
    </w:p>
    <w:p>
      <w:pPr>
        <w:jc w:val="center"/>
        <w:ind w:left="360"/>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2" w:lineRule="exact"/>
        <w:rPr>
          <w:sz w:val="24"/>
          <w:szCs w:val="24"/>
          <w:color w:val="auto"/>
        </w:rPr>
      </w:pPr>
    </w:p>
    <w:p>
      <w:pPr>
        <w:jc w:val="center"/>
        <w:ind w:right="-19"/>
        <w:spacing w:after="0" w:line="196" w:lineRule="exact"/>
        <w:tabs>
          <w:tab w:leader="none" w:pos="120"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157" w:lineRule="exact"/>
        <w:rPr>
          <w:sz w:val="24"/>
          <w:szCs w:val="24"/>
          <w:color w:val="auto"/>
        </w:rPr>
      </w:pPr>
    </w:p>
    <w:p>
      <w:pPr>
        <w:jc w:val="center"/>
        <w:ind w:left="20"/>
        <w:spacing w:after="0" w:line="252" w:lineRule="auto"/>
        <w:rPr>
          <w:sz w:val="20"/>
          <w:szCs w:val="20"/>
          <w:color w:val="auto"/>
        </w:rPr>
      </w:pPr>
      <w:r>
        <w:rPr>
          <w:rFonts w:ascii="Arial" w:cs="Arial" w:eastAsia="Arial" w:hAnsi="Arial"/>
          <w:sz w:val="14"/>
          <w:szCs w:val="14"/>
          <w:color w:val="auto"/>
        </w:rPr>
        <w:t>The aggregate market value of the shares of common stock held by non-affiliates of the registrant as of June 30, 2020, the last business day of the registrant’s most recently completed second fiscal quarter, was approximately $394.1 million,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The number of shares of Registrant’s Common Stock outstanding as of March 5, 2021 was 32,727,666 shares.</w:t>
      </w:r>
    </w:p>
    <w:p>
      <w:pPr>
        <w:spacing w:after="0" w:line="298"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69" w:lineRule="exact"/>
        <w:rPr>
          <w:sz w:val="24"/>
          <w:szCs w:val="24"/>
          <w:color w:val="auto"/>
        </w:rPr>
      </w:pPr>
    </w:p>
    <w:p>
      <w:pPr>
        <w:ind w:left="100"/>
        <w:spacing w:after="0"/>
        <w:rPr>
          <w:sz w:val="20"/>
          <w:szCs w:val="20"/>
          <w:color w:val="auto"/>
        </w:rPr>
      </w:pPr>
      <w:r>
        <w:rPr>
          <w:rFonts w:ascii="Arial" w:cs="Arial" w:eastAsia="Arial" w:hAnsi="Arial"/>
          <w:sz w:val="13"/>
          <w:szCs w:val="13"/>
          <w:color w:val="auto"/>
        </w:rPr>
        <w:t>Portions of the Registrant’s Definitive Proxy Statement relating to the Annual Meeting of Shareholders, which will be filed with the Securities and Exchange Commission within 120 days after</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the end of the Registrant’s fiscal year ended December 31, 2020, are incorporated by reference into Part III of this Report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r>
      <w:tr>
        <w:trPr>
          <w:trHeight w:val="351"/>
        </w:trPr>
        <w:tc>
          <w:tcPr>
            <w:tcW w:w="1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222"/>
        </w:trPr>
        <w:tc>
          <w:tcPr>
            <w:tcW w:w="12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960" w:type="dxa"/>
            <w:vAlign w:val="bottom"/>
          </w:tcPr>
          <w:p>
            <w:pPr>
              <w:jc w:val="center"/>
              <w:ind w:right="3070"/>
              <w:spacing w:after="0"/>
              <w:rPr>
                <w:sz w:val="20"/>
                <w:szCs w:val="20"/>
                <w:color w:val="auto"/>
              </w:rPr>
            </w:pPr>
            <w:r>
              <w:rPr>
                <w:rFonts w:ascii="Arial" w:cs="Arial" w:eastAsia="Arial" w:hAnsi="Arial"/>
                <w:sz w:val="18"/>
                <w:szCs w:val="18"/>
                <w:b w:val="1"/>
                <w:bCs w:val="1"/>
                <w:color w:val="auto"/>
              </w:rPr>
              <w:t>PART I</w:t>
            </w:r>
          </w:p>
        </w:tc>
        <w:tc>
          <w:tcPr>
            <w:tcW w:w="840" w:type="dxa"/>
            <w:vAlign w:val="bottom"/>
          </w:tcPr>
          <w:p>
            <w:pPr>
              <w:spacing w:after="0"/>
              <w:rPr>
                <w:sz w:val="19"/>
                <w:szCs w:val="19"/>
                <w:color w:val="auto"/>
              </w:rPr>
            </w:pPr>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84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r>
      <w:tr>
        <w:trPr>
          <w:trHeight w:val="230"/>
        </w:trPr>
        <w:tc>
          <w:tcPr>
            <w:tcW w:w="122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1A</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Risk Factors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31</w:t>
              </w:r>
            </w:hyperlink>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1B</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Unresolved Staff Comments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64</w:t>
              </w:r>
            </w:hyperlink>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2</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Properties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64</w:t>
              </w:r>
            </w:hyperlink>
          </w:p>
        </w:tc>
      </w:tr>
      <w:tr>
        <w:trPr>
          <w:trHeight w:val="230"/>
        </w:trPr>
        <w:tc>
          <w:tcPr>
            <w:tcW w:w="122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3</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Legal Proceedings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64</w:t>
              </w:r>
            </w:hyperlink>
          </w:p>
        </w:tc>
      </w:tr>
      <w:tr>
        <w:trPr>
          <w:trHeight w:val="225"/>
        </w:trPr>
        <w:tc>
          <w:tcPr>
            <w:tcW w:w="1220" w:type="dxa"/>
            <w:vAlign w:val="bottom"/>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4</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Mine Safety Disclosures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64</w:t>
              </w:r>
            </w:hyperlink>
          </w:p>
        </w:tc>
      </w:tr>
      <w:tr>
        <w:trPr>
          <w:trHeight w:val="233"/>
        </w:trPr>
        <w:tc>
          <w:tcPr>
            <w:tcW w:w="12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960" w:type="dxa"/>
            <w:vAlign w:val="bottom"/>
          </w:tcPr>
          <w:p>
            <w:pPr>
              <w:jc w:val="center"/>
              <w:ind w:right="3070"/>
              <w:spacing w:after="0"/>
              <w:rPr>
                <w:sz w:val="20"/>
                <w:szCs w:val="20"/>
                <w:color w:val="auto"/>
              </w:rPr>
            </w:pPr>
            <w:r>
              <w:rPr>
                <w:rFonts w:ascii="Arial" w:cs="Arial" w:eastAsia="Arial" w:hAnsi="Arial"/>
                <w:sz w:val="18"/>
                <w:szCs w:val="18"/>
                <w:b w:val="1"/>
                <w:bCs w:val="1"/>
                <w:color w:val="auto"/>
                <w:w w:val="99"/>
              </w:rPr>
              <w:t>PART II</w:t>
            </w:r>
          </w:p>
        </w:tc>
        <w:tc>
          <w:tcPr>
            <w:tcW w:w="840" w:type="dxa"/>
            <w:vAlign w:val="bottom"/>
          </w:tcPr>
          <w:p>
            <w:pPr>
              <w:spacing w:after="0"/>
              <w:rPr>
                <w:sz w:val="20"/>
                <w:szCs w:val="20"/>
                <w:color w:val="auto"/>
              </w:rPr>
            </w:pPr>
          </w:p>
        </w:tc>
      </w:tr>
      <w:tr>
        <w:trPr>
          <w:trHeight w:val="230"/>
        </w:trPr>
        <w:tc>
          <w:tcPr>
            <w:tcW w:w="122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5</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65</w:t>
              </w:r>
            </w:hyperlink>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6</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Selected Financial Data</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65</w:t>
              </w:r>
            </w:hyperlink>
          </w:p>
        </w:tc>
      </w:tr>
      <w:tr>
        <w:trPr>
          <w:trHeight w:val="230"/>
        </w:trPr>
        <w:tc>
          <w:tcPr>
            <w:tcW w:w="1220" w:type="dxa"/>
            <w:vAlign w:val="bottom"/>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7</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Management’s Discussion and Analysis of Financial Condition and Results of Operations</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7A</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Quantitative and Qualitative Disclosures about Market Risk</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77</w:t>
              </w:r>
            </w:hyperlink>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8</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Financial Statements and Supplementary Data</w:t>
              </w:r>
            </w:hyperlink>
          </w:p>
        </w:tc>
        <w:tc>
          <w:tcPr>
            <w:tcW w:w="840" w:type="dxa"/>
            <w:vAlign w:val="bottom"/>
          </w:tcPr>
          <w:p>
            <w:pPr>
              <w:jc w:val="center"/>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78</w:t>
              </w:r>
            </w:hyperlink>
          </w:p>
        </w:tc>
      </w:tr>
      <w:tr>
        <w:trPr>
          <w:trHeight w:val="230"/>
        </w:trPr>
        <w:tc>
          <w:tcPr>
            <w:tcW w:w="1220" w:type="dxa"/>
            <w:vAlign w:val="bottom"/>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Item 9</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Changes in and Disagreements With Accountants on Accounting and Financial Disclosure</w:t>
              </w:r>
            </w:hyperlink>
          </w:p>
        </w:tc>
        <w:tc>
          <w:tcPr>
            <w:tcW w:w="840" w:type="dxa"/>
            <w:vAlign w:val="bottom"/>
          </w:tcPr>
          <w:p>
            <w:pPr>
              <w:jc w:val="center"/>
              <w:spacing w:after="0"/>
              <w:rPr>
                <w:rFonts w:ascii="Arial" w:cs="Arial" w:eastAsia="Arial" w:hAnsi="Arial"/>
                <w:sz w:val="18"/>
                <w:szCs w:val="18"/>
                <w:u w:val="single" w:color="auto"/>
                <w:color w:val="0000FF"/>
                <w:w w:val="86"/>
              </w:rPr>
            </w:pPr>
            <w:hyperlink w:anchor="page108">
              <w:r>
                <w:rPr>
                  <w:rFonts w:ascii="Arial" w:cs="Arial" w:eastAsia="Arial" w:hAnsi="Arial"/>
                  <w:sz w:val="18"/>
                  <w:szCs w:val="18"/>
                  <w:u w:val="single" w:color="auto"/>
                  <w:color w:val="0000FF"/>
                  <w:w w:val="86"/>
                </w:rPr>
                <w:t>107</w:t>
              </w:r>
            </w:hyperlink>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Item 9A</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Controls and Procedures</w:t>
              </w:r>
            </w:hyperlink>
          </w:p>
        </w:tc>
        <w:tc>
          <w:tcPr>
            <w:tcW w:w="840" w:type="dxa"/>
            <w:vAlign w:val="bottom"/>
          </w:tcPr>
          <w:p>
            <w:pPr>
              <w:jc w:val="center"/>
              <w:spacing w:after="0"/>
              <w:rPr>
                <w:rFonts w:ascii="Arial" w:cs="Arial" w:eastAsia="Arial" w:hAnsi="Arial"/>
                <w:sz w:val="18"/>
                <w:szCs w:val="18"/>
                <w:u w:val="single" w:color="auto"/>
                <w:color w:val="0000FF"/>
                <w:w w:val="86"/>
              </w:rPr>
            </w:pPr>
            <w:hyperlink w:anchor="page108">
              <w:r>
                <w:rPr>
                  <w:rFonts w:ascii="Arial" w:cs="Arial" w:eastAsia="Arial" w:hAnsi="Arial"/>
                  <w:sz w:val="18"/>
                  <w:szCs w:val="18"/>
                  <w:u w:val="single" w:color="auto"/>
                  <w:color w:val="0000FF"/>
                  <w:w w:val="86"/>
                </w:rPr>
                <w:t>107</w:t>
              </w:r>
            </w:hyperlink>
          </w:p>
        </w:tc>
      </w:tr>
      <w:tr>
        <w:trPr>
          <w:trHeight w:val="225"/>
        </w:trPr>
        <w:tc>
          <w:tcPr>
            <w:tcW w:w="1220" w:type="dxa"/>
            <w:vAlign w:val="bottom"/>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Item 9B</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Other Information</w:t>
              </w:r>
            </w:hyperlink>
          </w:p>
        </w:tc>
        <w:tc>
          <w:tcPr>
            <w:tcW w:w="840" w:type="dxa"/>
            <w:vAlign w:val="bottom"/>
          </w:tcPr>
          <w:p>
            <w:pPr>
              <w:jc w:val="center"/>
              <w:spacing w:after="0"/>
              <w:rPr>
                <w:rFonts w:ascii="Arial" w:cs="Arial" w:eastAsia="Arial" w:hAnsi="Arial"/>
                <w:sz w:val="18"/>
                <w:szCs w:val="18"/>
                <w:u w:val="single" w:color="auto"/>
                <w:color w:val="0000FF"/>
                <w:w w:val="86"/>
              </w:rPr>
            </w:pPr>
            <w:hyperlink w:anchor="page108">
              <w:r>
                <w:rPr>
                  <w:rFonts w:ascii="Arial" w:cs="Arial" w:eastAsia="Arial" w:hAnsi="Arial"/>
                  <w:sz w:val="18"/>
                  <w:szCs w:val="18"/>
                  <w:u w:val="single" w:color="auto"/>
                  <w:color w:val="0000FF"/>
                  <w:w w:val="86"/>
                </w:rPr>
                <w:t>108</w:t>
              </w:r>
            </w:hyperlink>
          </w:p>
        </w:tc>
      </w:tr>
      <w:tr>
        <w:trPr>
          <w:trHeight w:val="234"/>
        </w:trPr>
        <w:tc>
          <w:tcPr>
            <w:tcW w:w="12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960" w:type="dxa"/>
            <w:vAlign w:val="bottom"/>
          </w:tcPr>
          <w:p>
            <w:pPr>
              <w:jc w:val="center"/>
              <w:ind w:right="3070"/>
              <w:spacing w:after="0"/>
              <w:rPr>
                <w:sz w:val="20"/>
                <w:szCs w:val="20"/>
                <w:color w:val="auto"/>
              </w:rPr>
            </w:pPr>
            <w:r>
              <w:rPr>
                <w:rFonts w:ascii="Arial" w:cs="Arial" w:eastAsia="Arial" w:hAnsi="Arial"/>
                <w:sz w:val="18"/>
                <w:szCs w:val="18"/>
                <w:b w:val="1"/>
                <w:bCs w:val="1"/>
                <w:color w:val="auto"/>
              </w:rPr>
              <w:t>PART III</w:t>
            </w:r>
          </w:p>
        </w:tc>
        <w:tc>
          <w:tcPr>
            <w:tcW w:w="840" w:type="dxa"/>
            <w:vAlign w:val="bottom"/>
          </w:tcPr>
          <w:p>
            <w:pPr>
              <w:spacing w:after="0"/>
              <w:rPr>
                <w:sz w:val="20"/>
                <w:szCs w:val="20"/>
                <w:color w:val="auto"/>
              </w:rPr>
            </w:pPr>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10</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Directors, Executive Officers and Corporate Governance</w:t>
              </w:r>
            </w:hyperlink>
          </w:p>
        </w:tc>
        <w:tc>
          <w:tcPr>
            <w:tcW w:w="840" w:type="dxa"/>
            <w:vAlign w:val="bottom"/>
          </w:tcPr>
          <w:p>
            <w:pPr>
              <w:jc w:val="center"/>
              <w:spacing w:after="0"/>
              <w:rPr>
                <w:rFonts w:ascii="Arial" w:cs="Arial" w:eastAsia="Arial" w:hAnsi="Arial"/>
                <w:sz w:val="18"/>
                <w:szCs w:val="18"/>
                <w:u w:val="single" w:color="auto"/>
                <w:color w:val="0000FF"/>
                <w:w w:val="86"/>
              </w:rPr>
            </w:pPr>
            <w:hyperlink w:anchor="page109">
              <w:r>
                <w:rPr>
                  <w:rFonts w:ascii="Arial" w:cs="Arial" w:eastAsia="Arial" w:hAnsi="Arial"/>
                  <w:sz w:val="18"/>
                  <w:szCs w:val="18"/>
                  <w:u w:val="single" w:color="auto"/>
                  <w:color w:val="0000FF"/>
                  <w:w w:val="86"/>
                </w:rPr>
                <w:t>108</w:t>
              </w:r>
            </w:hyperlink>
          </w:p>
        </w:tc>
      </w:tr>
      <w:tr>
        <w:trPr>
          <w:trHeight w:val="230"/>
        </w:trPr>
        <w:tc>
          <w:tcPr>
            <w:tcW w:w="122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11</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Executive Compensation</w:t>
              </w:r>
            </w:hyperlink>
          </w:p>
        </w:tc>
        <w:tc>
          <w:tcPr>
            <w:tcW w:w="840" w:type="dxa"/>
            <w:vAlign w:val="bottom"/>
          </w:tcPr>
          <w:p>
            <w:pPr>
              <w:jc w:val="center"/>
              <w:spacing w:after="0"/>
              <w:rPr>
                <w:rFonts w:ascii="Arial" w:cs="Arial" w:eastAsia="Arial" w:hAnsi="Arial"/>
                <w:sz w:val="18"/>
                <w:szCs w:val="18"/>
                <w:u w:val="single" w:color="auto"/>
                <w:color w:val="0000FF"/>
                <w:w w:val="86"/>
              </w:rPr>
            </w:pPr>
            <w:hyperlink w:anchor="page109">
              <w:r>
                <w:rPr>
                  <w:rFonts w:ascii="Arial" w:cs="Arial" w:eastAsia="Arial" w:hAnsi="Arial"/>
                  <w:sz w:val="18"/>
                  <w:szCs w:val="18"/>
                  <w:u w:val="single" w:color="auto"/>
                  <w:color w:val="0000FF"/>
                  <w:w w:val="86"/>
                </w:rPr>
                <w:t>108</w:t>
              </w:r>
            </w:hyperlink>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12</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Security Ownership of Certain Beneficial Owners and Management and Related Stockholder Matters</w:t>
              </w:r>
            </w:hyperlink>
          </w:p>
        </w:tc>
        <w:tc>
          <w:tcPr>
            <w:tcW w:w="840" w:type="dxa"/>
            <w:vAlign w:val="bottom"/>
          </w:tcPr>
          <w:p>
            <w:pPr>
              <w:jc w:val="center"/>
              <w:spacing w:after="0"/>
              <w:rPr>
                <w:rFonts w:ascii="Arial" w:cs="Arial" w:eastAsia="Arial" w:hAnsi="Arial"/>
                <w:sz w:val="18"/>
                <w:szCs w:val="18"/>
                <w:u w:val="single" w:color="auto"/>
                <w:color w:val="0000FF"/>
                <w:w w:val="86"/>
              </w:rPr>
            </w:pPr>
            <w:hyperlink w:anchor="page109">
              <w:r>
                <w:rPr>
                  <w:rFonts w:ascii="Arial" w:cs="Arial" w:eastAsia="Arial" w:hAnsi="Arial"/>
                  <w:sz w:val="18"/>
                  <w:szCs w:val="18"/>
                  <w:u w:val="single" w:color="auto"/>
                  <w:color w:val="0000FF"/>
                  <w:w w:val="86"/>
                </w:rPr>
                <w:t>108</w:t>
              </w:r>
            </w:hyperlink>
          </w:p>
        </w:tc>
      </w:tr>
      <w:tr>
        <w:trPr>
          <w:trHeight w:val="229"/>
        </w:trPr>
        <w:tc>
          <w:tcPr>
            <w:tcW w:w="122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13</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Certain Relationships and Related Transactions and Director Independence</w:t>
              </w:r>
            </w:hyperlink>
          </w:p>
        </w:tc>
        <w:tc>
          <w:tcPr>
            <w:tcW w:w="840" w:type="dxa"/>
            <w:vAlign w:val="bottom"/>
          </w:tcPr>
          <w:p>
            <w:pPr>
              <w:jc w:val="center"/>
              <w:spacing w:after="0"/>
              <w:rPr>
                <w:rFonts w:ascii="Arial" w:cs="Arial" w:eastAsia="Arial" w:hAnsi="Arial"/>
                <w:sz w:val="18"/>
                <w:szCs w:val="18"/>
                <w:u w:val="single" w:color="auto"/>
                <w:color w:val="0000FF"/>
                <w:w w:val="86"/>
              </w:rPr>
            </w:pPr>
            <w:hyperlink w:anchor="page109">
              <w:r>
                <w:rPr>
                  <w:rFonts w:ascii="Arial" w:cs="Arial" w:eastAsia="Arial" w:hAnsi="Arial"/>
                  <w:sz w:val="18"/>
                  <w:szCs w:val="18"/>
                  <w:u w:val="single" w:color="auto"/>
                  <w:color w:val="0000FF"/>
                  <w:w w:val="86"/>
                </w:rPr>
                <w:t>108</w:t>
              </w:r>
            </w:hyperlink>
          </w:p>
        </w:tc>
      </w:tr>
      <w:tr>
        <w:trPr>
          <w:trHeight w:val="225"/>
        </w:trPr>
        <w:tc>
          <w:tcPr>
            <w:tcW w:w="122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14</w:t>
              </w:r>
            </w:hyperlink>
          </w:p>
        </w:tc>
        <w:tc>
          <w:tcPr>
            <w:tcW w:w="9120" w:type="dxa"/>
            <w:vAlign w:val="bottom"/>
            <w:gridSpan w:val="2"/>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Principal Accountant Fees and Services</w:t>
              </w:r>
            </w:hyperlink>
          </w:p>
        </w:tc>
        <w:tc>
          <w:tcPr>
            <w:tcW w:w="840" w:type="dxa"/>
            <w:vAlign w:val="bottom"/>
          </w:tcPr>
          <w:p>
            <w:pPr>
              <w:jc w:val="center"/>
              <w:spacing w:after="0"/>
              <w:rPr>
                <w:rFonts w:ascii="Arial" w:cs="Arial" w:eastAsia="Arial" w:hAnsi="Arial"/>
                <w:sz w:val="18"/>
                <w:szCs w:val="18"/>
                <w:u w:val="single" w:color="auto"/>
                <w:color w:val="0000FF"/>
                <w:w w:val="86"/>
              </w:rPr>
            </w:pPr>
            <w:hyperlink w:anchor="page109">
              <w:r>
                <w:rPr>
                  <w:rFonts w:ascii="Arial" w:cs="Arial" w:eastAsia="Arial" w:hAnsi="Arial"/>
                  <w:sz w:val="18"/>
                  <w:szCs w:val="18"/>
                  <w:u w:val="single" w:color="auto"/>
                  <w:color w:val="0000FF"/>
                  <w:w w:val="86"/>
                </w:rPr>
                <w:t>108</w:t>
              </w:r>
            </w:hyperlink>
          </w:p>
        </w:tc>
      </w:tr>
      <w:tr>
        <w:trPr>
          <w:trHeight w:val="234"/>
        </w:trPr>
        <w:tc>
          <w:tcPr>
            <w:tcW w:w="12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960" w:type="dxa"/>
            <w:vAlign w:val="bottom"/>
          </w:tcPr>
          <w:p>
            <w:pPr>
              <w:jc w:val="center"/>
              <w:ind w:right="3070"/>
              <w:spacing w:after="0"/>
              <w:rPr>
                <w:sz w:val="20"/>
                <w:szCs w:val="20"/>
                <w:color w:val="auto"/>
              </w:rPr>
            </w:pPr>
            <w:r>
              <w:rPr>
                <w:rFonts w:ascii="Arial" w:cs="Arial" w:eastAsia="Arial" w:hAnsi="Arial"/>
                <w:sz w:val="18"/>
                <w:szCs w:val="18"/>
                <w:b w:val="1"/>
                <w:bCs w:val="1"/>
                <w:color w:val="auto"/>
              </w:rPr>
              <w:t>PART IV</w:t>
            </w:r>
          </w:p>
        </w:tc>
        <w:tc>
          <w:tcPr>
            <w:tcW w:w="840" w:type="dxa"/>
            <w:vAlign w:val="bottom"/>
          </w:tcPr>
          <w:p>
            <w:pPr>
              <w:spacing w:after="0"/>
              <w:rPr>
                <w:sz w:val="20"/>
                <w:szCs w:val="20"/>
                <w:color w:val="auto"/>
              </w:rPr>
            </w:pPr>
          </w:p>
        </w:tc>
      </w:tr>
      <w:tr>
        <w:trPr>
          <w:trHeight w:val="190"/>
        </w:trPr>
        <w:tc>
          <w:tcPr>
            <w:tcW w:w="1220" w:type="dxa"/>
            <w:vAlign w:val="bottom"/>
          </w:tcPr>
          <w:p>
            <w:pPr>
              <w:spacing w:after="0" w:line="190" w:lineRule="exact"/>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Item 15</w:t>
              </w:r>
            </w:hyperlink>
          </w:p>
        </w:tc>
        <w:tc>
          <w:tcPr>
            <w:tcW w:w="9120" w:type="dxa"/>
            <w:vAlign w:val="bottom"/>
            <w:gridSpan w:val="2"/>
          </w:tcPr>
          <w:p>
            <w:pPr>
              <w:spacing w:after="0" w:line="190" w:lineRule="exact"/>
              <w:rPr>
                <w:rFonts w:ascii="Arial" w:cs="Arial" w:eastAsia="Arial" w:hAnsi="Arial"/>
                <w:sz w:val="18"/>
                <w:szCs w:val="18"/>
                <w:color w:val="0000FF"/>
              </w:rPr>
            </w:pPr>
            <w:hyperlink w:anchor="page110">
              <w:r>
                <w:rPr>
                  <w:rFonts w:ascii="Arial" w:cs="Arial" w:eastAsia="Arial" w:hAnsi="Arial"/>
                  <w:sz w:val="18"/>
                  <w:szCs w:val="18"/>
                  <w:color w:val="0000FF"/>
                </w:rPr>
                <w:t>Exhibits and Financial Statement Schedules</w:t>
              </w:r>
            </w:hyperlink>
          </w:p>
        </w:tc>
        <w:tc>
          <w:tcPr>
            <w:tcW w:w="840" w:type="dxa"/>
            <w:vAlign w:val="bottom"/>
          </w:tcPr>
          <w:p>
            <w:pPr>
              <w:jc w:val="center"/>
              <w:spacing w:after="0" w:line="190" w:lineRule="exact"/>
              <w:rPr>
                <w:rFonts w:ascii="Arial" w:cs="Arial" w:eastAsia="Arial" w:hAnsi="Arial"/>
                <w:sz w:val="18"/>
                <w:szCs w:val="18"/>
                <w:u w:val="single" w:color="auto"/>
                <w:color w:val="0000FF"/>
                <w:w w:val="86"/>
              </w:rPr>
            </w:pPr>
            <w:hyperlink w:anchor="page110">
              <w:r>
                <w:rPr>
                  <w:rFonts w:ascii="Arial" w:cs="Arial" w:eastAsia="Arial" w:hAnsi="Arial"/>
                  <w:sz w:val="18"/>
                  <w:szCs w:val="18"/>
                  <w:u w:val="single" w:color="auto"/>
                  <w:color w:val="0000FF"/>
                  <w:w w:val="86"/>
                </w:rPr>
                <w:t>109</w:t>
              </w:r>
            </w:hyperlink>
          </w:p>
        </w:tc>
      </w:tr>
      <w:tr>
        <w:trPr>
          <w:trHeight w:val="250"/>
        </w:trPr>
        <w:tc>
          <w:tcPr>
            <w:tcW w:w="122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Item 16</w:t>
              </w:r>
            </w:hyperlink>
          </w:p>
        </w:tc>
        <w:tc>
          <w:tcPr>
            <w:tcW w:w="3160" w:type="dxa"/>
            <w:vAlign w:val="bottom"/>
            <w:tcBorders>
              <w:top w:val="single" w:sz="8" w:color="0000FF"/>
            </w:tcBorders>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Form 10-K Summary</w:t>
              </w:r>
            </w:hyperlink>
          </w:p>
        </w:tc>
        <w:tc>
          <w:tcPr>
            <w:tcW w:w="5960" w:type="dxa"/>
            <w:vAlign w:val="bottom"/>
          </w:tcPr>
          <w:p>
            <w:pPr>
              <w:spacing w:after="0"/>
              <w:rPr>
                <w:sz w:val="21"/>
                <w:szCs w:val="21"/>
                <w:color w:val="auto"/>
              </w:rPr>
            </w:pPr>
          </w:p>
        </w:tc>
        <w:tc>
          <w:tcPr>
            <w:tcW w:w="840" w:type="dxa"/>
            <w:vAlign w:val="bottom"/>
          </w:tcPr>
          <w:p>
            <w:pPr>
              <w:jc w:val="center"/>
              <w:spacing w:after="0"/>
              <w:rPr>
                <w:rFonts w:ascii="Arial" w:cs="Arial" w:eastAsia="Arial" w:hAnsi="Arial"/>
                <w:sz w:val="18"/>
                <w:szCs w:val="18"/>
                <w:u w:val="single" w:color="auto"/>
                <w:color w:val="0000FF"/>
                <w:w w:val="86"/>
              </w:rPr>
            </w:pPr>
            <w:hyperlink w:anchor="page112">
              <w:r>
                <w:rPr>
                  <w:rFonts w:ascii="Arial" w:cs="Arial" w:eastAsia="Arial" w:hAnsi="Arial"/>
                  <w:sz w:val="18"/>
                  <w:szCs w:val="18"/>
                  <w:u w:val="single" w:color="auto"/>
                  <w:color w:val="0000FF"/>
                  <w:w w:val="86"/>
                </w:rPr>
                <w:t>111</w:t>
              </w:r>
            </w:hyperlink>
          </w:p>
        </w:tc>
      </w:tr>
      <w:tr>
        <w:trPr>
          <w:trHeight w:val="553"/>
        </w:trPr>
        <w:tc>
          <w:tcPr>
            <w:tcW w:w="1220" w:type="dxa"/>
            <w:vAlign w:val="bottom"/>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SIGNATURES</w:t>
              </w:r>
            </w:hyperlink>
          </w:p>
        </w:tc>
        <w:tc>
          <w:tcPr>
            <w:tcW w:w="3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40" w:type="dxa"/>
            <w:vAlign w:val="bottom"/>
          </w:tcPr>
          <w:p>
            <w:pPr>
              <w:jc w:val="center"/>
              <w:spacing w:after="0"/>
              <w:rPr>
                <w:rFonts w:ascii="Arial" w:cs="Arial" w:eastAsia="Arial" w:hAnsi="Arial"/>
                <w:sz w:val="18"/>
                <w:szCs w:val="18"/>
                <w:u w:val="single" w:color="auto"/>
                <w:color w:val="0000FF"/>
                <w:w w:val="86"/>
              </w:rPr>
            </w:pPr>
            <w:hyperlink w:anchor="page112">
              <w:r>
                <w:rPr>
                  <w:rFonts w:ascii="Arial" w:cs="Arial" w:eastAsia="Arial" w:hAnsi="Arial"/>
                  <w:sz w:val="18"/>
                  <w:szCs w:val="18"/>
                  <w:u w:val="single" w:color="auto"/>
                  <w:color w:val="0000FF"/>
                  <w:w w:val="86"/>
                </w:rPr>
                <w:t>112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93" w:right="35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i w:val="1"/>
          <w:iCs w:val="1"/>
          <w:color w:val="auto"/>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78" w:lineRule="exact"/>
        <w:rPr>
          <w:sz w:val="20"/>
          <w:szCs w:val="20"/>
          <w:color w:val="auto"/>
        </w:rPr>
      </w:pPr>
    </w:p>
    <w:p>
      <w:pPr>
        <w:jc w:val="both"/>
        <w:ind w:firstLine="405"/>
        <w:spacing w:after="0" w:line="230"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spacing w:after="0" w:line="203" w:lineRule="exact"/>
        <w:rPr>
          <w:sz w:val="20"/>
          <w:szCs w:val="20"/>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and any potential resurgence of the COVID-19 pandemic, and whether the COVID-19 pandemic will recur in the future;</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that often causes severe lower back pain. As of December 31, 2020, more than 53,000 procedures implanting iFuse have been performed by over 2,300 surgeons in the United States and more than 35 other countries since we introduced iFuse in 2009.</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in which an implant is used and a multi-billion dollar market exists. We believe iFuse is currently the market leading implantable device used in minimally invasive surgical fusions of the sacroiliac joint in the United States.</w:t>
      </w:r>
    </w:p>
    <w:p>
      <w:pPr>
        <w:spacing w:after="0" w:line="17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or hip,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 in the Bedrock technique.</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iFuse implants have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facilitates biologic fixation of the bone onto the implant, or bony ongrowth and ingrowth, that results in fusion. We hold issued patents on implants with cross-sections of many non-round shapes, including the triangular shape of the iFuse implant. We also hold issued patents for the method of placing those implants across the sacroiliac joint, as well as other parts of the spine and pelvis. Each titanium iFuse implant has at least three times the strength of a typical eight-millimeter cannulated surgical screw, and the large porous surface area of our implants allows for bony ingrowth.</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introduced iFuse-3D, our second-generation implant, in 2017. This patented titanium implant combines the triangular cross-section of the iFuse implant with the proprietary 3D-printed porous surface and a fenestrated design. This design also allows the surgeon to fill the implant with ground-up bone before implantation, which some surgeons believe accelerates bone through-growth and biological fixation. iFuse-3D implants have shown positive bony ingrowth, ongrowth and through-growth in cell culture and animal studies, whether or not ground-up bone is used. We hold issued patents on 3D-printed triangular implants with fenestrations, or holes, which allow bone to grow into and through the implants.</w:t>
      </w:r>
    </w:p>
    <w:p>
      <w:pPr>
        <w:spacing w:after="0" w:line="17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 In January 2021, we received CE marking for a similarly expanded indication for use to support our trauma program in Europe.</w:t>
      </w:r>
    </w:p>
    <w:p>
      <w:pPr>
        <w:spacing w:after="0" w:line="12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We market our products primarily with a direct sales force as well as a number of distributors in the United States, and with a combination of a direct sales force and distributors in other countries. We generate substantially all of our revenues from sales of the iFuse Implant system.</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2020 and 2019, we generated revenue of $73.4 million and $67.3 million, respectively, a growth rate of 9%, and incurred net losses of $43.7 million and $38.4 million, respectively. Our gross margins were 88% and 90% for 2020 and 2019, respectively.</w:t>
      </w:r>
    </w:p>
    <w:p>
      <w:pPr>
        <w:spacing w:after="0" w:line="170"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In October 2018, we completed our initial public offering (“IPO”) with net proceeds to us of $113.4 million. In January and February 2020, we received a total of $63.0 million of net proceeds from our first follow-on public offering of our common stock. In October 2020, we received a total of $71.6 million of net proceeds from our second follow-on offering of our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Over 30 million American adults are estimated to have chronic lower back pain</w:t>
      </w:r>
      <w:r>
        <w:rPr>
          <w:rFonts w:ascii="Arial" w:cs="Arial" w:eastAsia="Arial" w:hAnsi="Arial"/>
          <w:sz w:val="18"/>
          <w:szCs w:val="18"/>
          <w:i w:val="1"/>
          <w:iCs w:val="1"/>
          <w:color w:val="auto"/>
        </w:rPr>
        <w:t>.</w:t>
      </w:r>
      <w:r>
        <w:rPr>
          <w:rFonts w:ascii="Arial" w:cs="Arial" w:eastAsia="Arial" w:hAnsi="Arial"/>
          <w:sz w:val="18"/>
          <w:szCs w:val="18"/>
          <w:color w:val="auto"/>
        </w:rPr>
        <w:t xml:space="preserve"> Our experience in both clinical trials and commercial settings indicates that at least 30% of patients whose chronic lower back pain stems from the sacroiliac joint may be candidates for surgery with iFuse. Based on our market experience and internal estimates, and the assumption that the average person suffering from sacroiliac joint dysfunction has been in pain for five years, we estimate that the potential market for iFuse in the United States could be 279,000 patients annually, for a potential annual market in the United States of approximately $2.5 billion. While we have made significant progress in penetrating this market, U.S. patients received approximately 7,500 and 6,400 iFuse procedures in 2020 and 2019, respectively. Globally, the number of iFuse procedures performed in 2020 and 2019 was approximately 8,900 and 8,000, respectively.</w:t>
      </w:r>
    </w:p>
    <w:p>
      <w:pPr>
        <w:spacing w:after="0" w:line="19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that Americans spend approximately $85.9 billion per year on spine problems and that approximately 65% of people who suffer from sacroiliac pain are women. Sacroiliac joint patients may have experienced one or more of the following events that have contributed to disruption and/or degeneration of the sacroiliac joint: pregnancy, falls, previous lumbar surgery, automobile accidents, and aging, which may cause degeneration of the cushioning in the joint much like other joints. In patients with traumatic injury to the sacroiliac joint, surgeons are increasingly using iFuse for treatment of the initial traumatic injury, rather than using it to treat chronic sacroiliac joint dysfunction and the pain that it causes as the disease and pain progresses. We recently received FDA clearance for expanded indications for the use of iFuse in the treatment of pelvic trauma, including for stabilization of the sacroiliac joint in conjunction with the treatment of fractures involving the sacroiliac joint. We continue to invest in the development of products and techniques to help surgeons improve the treatment of these patients, and anticipate continuing to build products and pursue indications that can be used to treat pelvic trauma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Diagnosis</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It is often difficult to identify the source of lower back pain. As a result, some surgical procedures performed on the spine have a sub-optimal success rate. For example, published studies of lumbar fusion have shown success rates of only approximately 60%. Unsuccessful spine surgery may result in failed back surgery syndrome, which has been shown to result in high healthcare costs with poor overall relief of pain. Published studies have shown that the sacroiliac joint is a cause of the pain in 32% to 43% of patients who have previously had lumbar fusion surgery and are experiencing recurrent low back pain. We believe low success rates of lumbar fusion are likely related, in many cases, to failure to diagnose the sacroiliac joint as the correct cause of pain.</w:t>
      </w:r>
    </w:p>
    <w:p>
      <w:pPr>
        <w:spacing w:after="0" w:line="16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Since we launched iFuse, we have made considerable investments in teaching healthcare professionals to accurately diagnose sacroiliac joint disorders. We provide instruction and training on how to perform the provocative maneuvers in a physician’s office that can help establish the sacroiliac joint as the source of pain. If provocative tests are positive, surgeons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25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Patients with sacroiliac joint dysfunction frequently experience significant pain simply from sitting, standing, or rolling over in bed. These activities result in small movements of the sacroiliac joints and pressure transferred across the joints. The pain can be exacerbated with activity - when a patient walks or runs, for example, the shock from each step is transmitted up the leg, through the iliac bones of the pelvis to the sacroiliac joint. The initial goal in fusion of the sacroiliac joint is to immediately stabilize the joint which rapidly reduces the pain. Following initial stabilization of the sacroiliac joint, the goal is to permanently fuse the joint. We believe our proprietary triangular implants stabilize the joint better and more quickly than competing technologies.</w:t>
      </w:r>
    </w:p>
    <w:p>
      <w:pPr>
        <w:spacing w:after="0" w:line="1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Due to its infrequent use and invasive nature, resulting in post-operative pain and lengthy recovery,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our randomized controlled clinical trials. Non-surgical treatments include:</w:t>
      </w:r>
    </w:p>
    <w:p>
      <w:pPr>
        <w:spacing w:after="0" w:line="197"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therapy, including opiates and non-steroidal anti-inflammatory medications.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Physical therapy, which can involve exercises as well as massage.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Intra-articular injections of steroid medications, which are typically performed by physicians who specialize in pain treatment or anesthesia.</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Radiofrequency ablation, or the cauterizing, of the lateral branches of the sacral nerve roots.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 The iFuse Implant System</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iFuse system, which includes our implants and instruments, is designed to address the shortcomings of alternative treatments, including open surgery, non-surgical management, and screw-based and other minimally invasive stabilization and fusion procedures. As shown in the graphic below, our iFuse implants are triangular, and three implants are typically used in each procedure. Our implants are made of titanium and have a porous surface. Each iFuse implant is at least three times the strength of a typical eight-millimeter surgical screw, and the large porous surface area allows adherence of the bone to the implants. We introduced the original iFuse implants in 2009, and our second-generation iFuse-3D implants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111760</wp:posOffset>
            </wp:positionV>
            <wp:extent cx="3814445" cy="127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1444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and in the case of iFuse-3D into, the implants and across the joint, permanently stabilizing or fusing the joint.</w:t>
      </w:r>
    </w:p>
    <w:p>
      <w:pPr>
        <w:spacing w:after="0" w:line="19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By contrast, open and other techniques for sacroiliac joint fusion typically use screws, plates and/or bone graft for fixation. When placed across the sacroiliac joint, standard orthopedic screws, which lack features to encourage biologic fixation, tend to rotate and loosen over time. 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16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Typically, surgeons recommend protected weight-bearing for three weeks. However, post-operative instructions are patient-specific and some patients are allowed to perform weight-bearing activities sooner. Follow-up studies have shown that bony bridging across the sacroiliac joint is present in the majority of cases five years after the iFuse procedure.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ind w:right="20" w:firstLine="405"/>
        <w:spacing w:after="0" w:line="277" w:lineRule="auto"/>
        <w:rPr>
          <w:sz w:val="20"/>
          <w:szCs w:val="20"/>
          <w:color w:val="auto"/>
        </w:rPr>
      </w:pPr>
      <w:r>
        <w:rPr>
          <w:rFonts w:ascii="Arial" w:cs="Arial" w:eastAsia="Arial" w:hAnsi="Arial"/>
          <w:sz w:val="18"/>
          <w:szCs w:val="18"/>
          <w:color w:val="auto"/>
        </w:rPr>
        <w:t>Three implants are used in most lateral iFuse procedures. Each implant crosses the joint from the iliac bone into the sacrum. Placing each implant requires four basic steps:</w:t>
      </w:r>
    </w:p>
    <w:p>
      <w:pPr>
        <w:spacing w:after="0" w:line="166"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Broach</w:t>
      </w:r>
      <w:r>
        <w:rPr>
          <w:rFonts w:ascii="Arial" w:cs="Arial" w:eastAsia="Arial" w:hAnsi="Arial"/>
          <w:sz w:val="16"/>
          <w:szCs w:val="16"/>
          <w:color w:val="auto"/>
        </w:rPr>
        <w:t>. The surgeon impacts a triangular broach over the pin which prepares a triangular channel that is slightly smaller than the iFuse implant.</w:t>
      </w:r>
    </w:p>
    <w:p>
      <w:pPr>
        <w:spacing w:after="0" w:line="248" w:lineRule="exact"/>
        <w:rPr>
          <w:rFonts w:ascii="Arial" w:cs="Arial" w:eastAsia="Arial" w:hAnsi="Arial"/>
          <w:sz w:val="16"/>
          <w:szCs w:val="16"/>
          <w:color w:val="auto"/>
        </w:rPr>
      </w:pPr>
    </w:p>
    <w:p>
      <w:pPr>
        <w:ind w:left="820" w:hanging="326"/>
        <w:spacing w:after="0" w:line="282"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the implant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sacrum. The channel is slightly smaller than the implant, which produces an interference fit.</w:t>
      </w:r>
    </w:p>
    <w:p>
      <w:pPr>
        <w:spacing w:after="0" w:line="16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in many orthopedic procedures, a member of our team is normally present in the operating suite during surgery to provide technical assistance for the use of iFuse.</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offer three custom instrument sets for surgical placement of iFuse implants in the body. The standard set comprises largely stainless steel materials; the XL (Extra Long) set is the same as the standard set but most instruments are elongated by three inches for treatment of larger patients; and the radiolucent set comprises instruments made with more radiolucent (transparent to X-rays) materials, such as PEEK and aluminum, to improve visualization under fluoroscopy during an iFuse procedure.</w:t>
      </w:r>
    </w:p>
    <w:p>
      <w:pPr>
        <w:spacing w:after="0" w:line="2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our iFuse and iFuse-3D platform technologies, we also provide enabling technologies for our surgeons. We introduced an instrument set that is cleared for use with Medtronic’s surgical navigation system, allowing the surgeon to visualize the 3D positioning of certain instruments intra-operatively. In March 2018, we introduced surgical pins cleared for use with the Mazor surgical robot, allowing the surgeon to robotically place the guide pin according to a computer-generated surgical plan. In early 2019, we introduced our Decortication and Graft Delivery Systems that allow surgeons to remove intra-articular cartilage and deliver flowable bone graft materials.</w:t>
      </w:r>
    </w:p>
    <w:p>
      <w:pPr>
        <w:spacing w:after="0" w:line="18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in which three iFuse implants are placed across one sacroiliac joint via a lateral transarticular approach through the ilium and into the sacrum. The Bedrock technique is performed to increase the overall strength and stability at the base of a long construct for multilevel spinal fusion. Biomechanical testing has shown that iFuse implants placed in this position reduce sacroiliac joint motion by approximately 30% in conjunction with a long construct.</w:t>
      </w:r>
    </w:p>
    <w:p>
      <w:pPr>
        <w:spacing w:after="0" w:line="19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6"/>
          <w:szCs w:val="16"/>
          <w:color w:val="auto"/>
        </w:rPr>
        <w:t>In addition to our iFuse and iFuse-3D platform technologies, we also provide enabling technologies for our surgeons. We introduced an instrument set that is cleared for use with Medtronic’s surgical navigation system, allowing the surgeon to visualize the 3D positioning of certain instruments intra-operatively. In March 2018, we introduced surgical pins cleared for use with the Mazor surgical robot, allowing the surgeon to robotically place the guide pin according to a computer-generated surgical plan. In early 2019, we introduced our Decortication and Graft Delivery Systems that allow surgeons to remove intra-articular cartilage and deliver flowable bone graft materials. In mid-2019, we introduced the iFuse Bedrock technique that supplements pelvic fixation in deformity and degeneration cases and provides enhanced initial stabilization and long-term SI joint fusion. 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Published Studies</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iFuse is the only minimally invasive product for sacroiliac joint fusion commercially available in the United States that, to our knowledge, is supported by substantial high-quality published evidence of safety, clinical effectiveness, durability, and economic utility. Our implants have a triangular cross section, which resists rotation of the implant within the bone in which it is implanted, helping stabilize the joint even before fixation of the bone onto the implant, or bony ingrowth, which results in fusion. Products from our competitors use screws to treat the sacroiliac joint, which we believe do not resist rotation within the bone as effectively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safety, durable effectiveness and cost effectiveness of iFuse are all supported by a large number of studies that have resulted in more than 90 published papers. Several of these papers publish results from five prospective multi-center studies (INSITE, iMIA, SIFI, LOIS and SALLY) that we sponsored, two of which were randomized controlled clinical trials. LOIS provided long-term (5-year) data to support sustained improvements in pain, disability and quality of life, as well as radiographic evidence of progressive fusion of the joint. Additionally, there have been several studies showing longer-term follow-up of up to six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INSITE Clinical Trial</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INSITE is a randomized controlled study conducted in the United States. Positive 24-month follow-up results were published in August 2016 in the </w:t>
      </w:r>
      <w:r>
        <w:rPr>
          <w:rFonts w:ascii="Arial" w:cs="Arial" w:eastAsia="Arial" w:hAnsi="Arial"/>
          <w:sz w:val="18"/>
          <w:szCs w:val="18"/>
          <w:i w:val="1"/>
          <w:iCs w:val="1"/>
          <w:color w:val="auto"/>
        </w:rPr>
        <w:t xml:space="preserve">International Journal of Spine Surgery </w:t>
      </w:r>
      <w:r>
        <w:rPr>
          <w:rFonts w:ascii="Arial" w:cs="Arial" w:eastAsia="Arial" w:hAnsi="Arial"/>
          <w:sz w:val="18"/>
          <w:szCs w:val="18"/>
          <w:color w:val="auto"/>
        </w:rPr>
        <w:t>showing statistically significant and clinically important reduction in pain and disability after sacroiliac joint fusion</w:t>
      </w:r>
      <w:r>
        <w:rPr>
          <w:rFonts w:ascii="Arial" w:cs="Arial" w:eastAsia="Arial" w:hAnsi="Arial"/>
          <w:sz w:val="18"/>
          <w:szCs w:val="18"/>
          <w:i w:val="1"/>
          <w:iCs w:val="1"/>
          <w:color w:val="auto"/>
        </w:rPr>
        <w:t xml:space="preserve"> </w:t>
      </w:r>
      <w:r>
        <w:rPr>
          <w:rFonts w:ascii="Arial" w:cs="Arial" w:eastAsia="Arial" w:hAnsi="Arial"/>
          <w:sz w:val="18"/>
          <w:szCs w:val="18"/>
          <w:color w:val="auto"/>
        </w:rPr>
        <w:t>but very little response to maximal non-surgical treatment.</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INSITE clinical trial included 148 subjects treated at 19 centers in the United States, with subjects randomized in a two-to-one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primarily because they derived little clinical benefit from non-surgical treatments. The study’s results can be summarized as follows:</w:t>
      </w:r>
    </w:p>
    <w:p>
      <w:pPr>
        <w:spacing w:after="0" w:line="184" w:lineRule="exact"/>
        <w:rPr>
          <w:sz w:val="20"/>
          <w:szCs w:val="20"/>
          <w:color w:val="auto"/>
        </w:rPr>
      </w:pPr>
    </w:p>
    <w:p>
      <w:pPr>
        <w:jc w:val="both"/>
        <w:ind w:left="740" w:hanging="327"/>
        <w:spacing w:after="0" w:line="272" w:lineRule="auto"/>
        <w:tabs>
          <w:tab w:leader="none" w:pos="73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statistically significant and clinically important pain reduction in subjects treated with iFuse as compared to very</w:t>
      </w:r>
      <w:r>
        <w:rPr>
          <w:rFonts w:ascii="Arial" w:cs="Arial" w:eastAsia="Arial" w:hAnsi="Arial"/>
          <w:sz w:val="17"/>
          <w:szCs w:val="17"/>
          <w:b w:val="1"/>
          <w:bCs w:val="1"/>
          <w:color w:val="auto"/>
        </w:rPr>
        <w:t xml:space="preserve"> </w:t>
      </w:r>
      <w:r>
        <w:rPr>
          <w:rFonts w:ascii="Arial" w:cs="Arial" w:eastAsia="Arial" w:hAnsi="Arial"/>
          <w:sz w:val="17"/>
          <w:szCs w:val="17"/>
          <w:color w:val="auto"/>
        </w:rPr>
        <w:t>small responses in the same measures in those treated with non-surgical management. Subjects surgically treated with iFuse had mean 52- 54-and 55-point reductions in sacroiliac joint pain at 6, 12 and 24 months, respectively, as measured by the Visual Analog Scale (“VAS”). By contrast, subjects in the non-surgical management group had only a mean 12-point reduction (p&lt;0.0001) at six months. 12 points is below the commonly accepted 20-point threshold for clinically important improvement.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due to the assigned treatment only was 83% in the iFuse group and 10% in the non-surgical management group.</w:t>
      </w:r>
    </w:p>
    <w:p>
      <w:pPr>
        <w:spacing w:after="0" w:line="171" w:lineRule="exact"/>
        <w:rPr>
          <w:rFonts w:ascii="Arial" w:cs="Arial" w:eastAsia="Arial" w:hAnsi="Arial"/>
          <w:sz w:val="17"/>
          <w:szCs w:val="17"/>
          <w:b w:val="1"/>
          <w:bCs w:val="1"/>
          <w:color w:val="auto"/>
        </w:rPr>
      </w:pPr>
    </w:p>
    <w:p>
      <w:pPr>
        <w:jc w:val="both"/>
        <w:ind w:left="740" w:hanging="327"/>
        <w:spacing w:after="0" w:line="270" w:lineRule="auto"/>
        <w:tabs>
          <w:tab w:leader="none" w:pos="73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Reduction in Disability</w:t>
      </w:r>
      <w:r>
        <w:rPr>
          <w:rFonts w:ascii="Arial" w:cs="Arial" w:eastAsia="Arial" w:hAnsi="Arial"/>
          <w:sz w:val="17"/>
          <w:szCs w:val="17"/>
          <w:color w:val="auto"/>
        </w:rPr>
        <w:t>. There was a statistically significant and clinically important reduction in disability in subjects treated with iFuse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very little response in those treated with non-surgical management. Subjects surgically treated with iFuse had a mean 27-point reduction in disability at six months, on the 0–100 Oswestry Disability Index (“ODI”), while subjects in the non-surgical management group had only a mean five-point reduction (p&lt;0.0001). Five points is less than the commonly accepted 15-point threshold to denote a clinically important response. At 24 months, the iFuse group had a mean 28-point reduction in ODI. At six months, the proportion of subjects with ODI improvements of at least 15 points was 72.5% with iFuse treatment and only 13.0% in those undergoing non-surgical management (p&lt;0.0001 for difference in response rate).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with the assigned treatment only was 68.2% and 7.5% in the iFuse and non-surgical management groups, respectively (p&lt;0.0001 for difference in response 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iFuse Implant System Minimally Invasive Arthrodesis ("iMIA") is a second prospective, randomized clinical trial of sacroiliac joint fusion using iFuse compared to non-surgical management with a design very similar to that of INSITE. iMIA is a randomized controlled study conducted in Europe. Positive 24-month results were published in March 2019 in </w:t>
      </w:r>
      <w:r>
        <w:rPr>
          <w:rFonts w:ascii="Arial" w:cs="Arial" w:eastAsia="Arial" w:hAnsi="Arial"/>
          <w:sz w:val="17"/>
          <w:szCs w:val="17"/>
          <w:i w:val="1"/>
          <w:iCs w:val="1"/>
          <w:color w:val="auto"/>
        </w:rPr>
        <w:t>The Journal of Bone and Joint Surgery</w:t>
      </w:r>
      <w:r>
        <w:rPr>
          <w:rFonts w:ascii="Arial" w:cs="Arial" w:eastAsia="Arial" w:hAnsi="Arial"/>
          <w:sz w:val="17"/>
          <w:szCs w:val="17"/>
          <w:color w:val="auto"/>
        </w:rPr>
        <w:t>. Like INSITE, results from iMIA show statistically significant and clinically profound reduction in pain and disability after SI joint fusion but little improvement after non-surgical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26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Sacroiliac Joint Fusion with iFuse Implant System (“SIFI”), is a prospective, multicenter single-arm clinical trial. Eligibility criteria and endpoints were identical to INSITE. SIFI is a single-arm study conducted in the United States. Positive 24-month follow-up results were published in the </w:t>
      </w:r>
      <w:r>
        <w:rPr>
          <w:rFonts w:ascii="Arial" w:cs="Arial" w:eastAsia="Arial" w:hAnsi="Arial"/>
          <w:sz w:val="18"/>
          <w:szCs w:val="18"/>
          <w:i w:val="1"/>
          <w:iCs w:val="1"/>
          <w:color w:val="auto"/>
        </w:rPr>
        <w:t xml:space="preserve">International Journal of Spine Surgery </w:t>
      </w:r>
      <w:r>
        <w:rPr>
          <w:rFonts w:ascii="Arial" w:cs="Arial" w:eastAsia="Arial" w:hAnsi="Arial"/>
          <w:sz w:val="18"/>
          <w:szCs w:val="18"/>
          <w:color w:val="auto"/>
        </w:rPr>
        <w:t>in April 2016, showing substantial and sustained reduction in pain and disability.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LOIS Clinical Trial</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Long-term follow-up in INSITE/SIFI ("LOIS") is a prospective follow-on study, enrolling subjects at a subset of INSITE and SIFI sites treated with iFuse. Study outcomes at four years were published in July 2018 in the medical journal </w:t>
      </w:r>
      <w:r>
        <w:rPr>
          <w:rFonts w:ascii="Arial" w:cs="Arial" w:eastAsia="Arial" w:hAnsi="Arial"/>
          <w:sz w:val="18"/>
          <w:szCs w:val="18"/>
          <w:i w:val="1"/>
          <w:iCs w:val="1"/>
          <w:color w:val="auto"/>
        </w:rPr>
        <w:t>Medical Devices: Evidence and Research</w:t>
      </w:r>
      <w:r>
        <w:rPr>
          <w:rFonts w:ascii="Arial" w:cs="Arial" w:eastAsia="Arial" w:hAnsi="Arial"/>
          <w:sz w:val="18"/>
          <w:szCs w:val="18"/>
          <w:color w:val="auto"/>
        </w:rPr>
        <w:t>. In September 2019, we announced the publication of the 5-year results, which showed excellent durability of clinical responses and positive radiographic outcomes for SI joint fusion using triangular titanium implants. Among 103 enrolled subjects, mean sacroiliac joint pain scores decreased 54 points from baseline prior to surgery. Disability scores decreased 26 points and quality of life improved 0.29 points, all of which are statistically significant, clinically meaningful and consistent with previously published LOIS 4-year results. The 5-year results from LOIS demonstrated that improvements in pain, patient function and quality of life demonstrated at two years in INSITE and SIFI were durable and sustained at five years. Independent radiographic analysis of CT scans at five years showed a high rate of bony apposition to implants on both the sacral and iliac sides (98%) as well as a high rate of SI joint fusion (88% bridging bone). Patient satisfaction remained high for patients treated with the iFuse Implant. There were no reported adverse events related to the study device or procedure at five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SALLY Clinical Trial</w:t>
      </w:r>
    </w:p>
    <w:p>
      <w:pPr>
        <w:spacing w:after="0" w:line="2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Study of Bone Growth in the Sacroiliac Joint After Minimally Invasive Surgery with Titanium Implants ("SALLY") is a prospective single-arm multicenter trial of iFuse-3D for the treatment of sacroiliac joint dysfunction. The enrolled patient population was very similar to that of INSITE, SIFI and iMIA. A one-year manuscript, published in early 2020, showed improvements in pain, disability and quality of life similar to prior studies as well as CT evidence of earlier fusion of the SI joint. The study also showed marked reduction in opioid use and improvement in objective functional tests.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SILVIA Clinical Trial</w:t>
      </w:r>
    </w:p>
    <w:p>
      <w:pPr>
        <w:spacing w:after="0" w:line="239"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We are currently enrolling subjects in SI Joint Stabilization in Long Fusion to the Pelvis: Randomized Controlled Trial ("SILVIA"), a prospective, single-blinded international multicenter randomized controlled trial of use of iFuse during multilevel spine fusions with fixation to the pelvis. This patient population is distinct from prior studies in the following ways: 1) the patients have degenerative scoliosis of the spine and are in need of complex spine surgery to correct spine malalignment, which is associated with substantial low back symptoms and disability; 2) all are undergoing pelvic fixation, meaning anchoring of the spine constructs into the pelvis; and 3) some, but not all, have diagnosed SI joint pain. The goal of this study is to show that placement of iFuse in the Bedrock configuration reduces the rate of postoperative SI joint pain and improves the longevity of pelvic fixation hardware, failures of which are fairly common.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Published Clinical Studies</w:t>
      </w:r>
    </w:p>
    <w:p>
      <w:pPr>
        <w:spacing w:after="0" w:line="22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To date, several studies, some of which we did not sponsor, have been published on the safety and effectiveness of sacroiliac joint fusion using iFuse. These are prospective or retrospective, single site or multi-site, and U.S. or Europe-based. These clinical studies demonstrate the iFuse procedure to be safe and effective. These studies demonstrate pain reduction and/or ODI improvement that is statistically significant and clinically important. These additional studies are consistent with the results of INSITE, iMIA, and SIFI, including the types and rates of adverse events observed.</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At the last follow-up visit, 84% of patients who received non-surgical management were using opioids, while only 7% of patients treated with iFuse were using opioids.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 w:name="page11"/>
    <w:bookmarkEnd w:id="10"/>
    <w:p>
      <w:pPr>
        <w:ind w:firstLine="405"/>
        <w:spacing w:after="0" w:line="342" w:lineRule="auto"/>
        <w:rPr>
          <w:sz w:val="20"/>
          <w:szCs w:val="20"/>
          <w:color w:val="auto"/>
        </w:rPr>
      </w:pPr>
      <w:r>
        <w:rPr>
          <w:rFonts w:ascii="Arial" w:cs="Arial" w:eastAsia="Arial" w:hAnsi="Arial"/>
          <w:sz w:val="16"/>
          <w:szCs w:val="16"/>
          <w:color w:val="auto"/>
        </w:rPr>
        <w:t xml:space="preserve">In addition to clinical evidence, a number of economic publications we financially supported, including those in </w:t>
      </w:r>
      <w:r>
        <w:rPr>
          <w:rFonts w:ascii="Arial" w:cs="Arial" w:eastAsia="Arial" w:hAnsi="Arial"/>
          <w:sz w:val="16"/>
          <w:szCs w:val="16"/>
          <w:i w:val="1"/>
          <w:iCs w:val="1"/>
          <w:color w:val="auto"/>
        </w:rPr>
        <w:t>ClinicoEconomics and Outcomes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demonstrate that the iFuse procedure provides a cost savings to the healthcare system when compared to non-surgical management over time.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 for both the surgeon's professional fee and the facility fee which covers, among other things, the cost of implants used in iFuse procedures.</w:t>
      </w:r>
    </w:p>
    <w:p>
      <w:pPr>
        <w:spacing w:after="0" w:line="1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Medicare program is commonly used as a model for how private payors and other governmental payors develop their coverage and reimbursement policies for healthcare items and services, including iFuse procedures. Unless a national coverage policy exists for a particular technology, each of the Medicare Administrative Contractors is permitted to make its own determination of whether that item or service is covered by Medicare. 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from year to year. In addition, Congress can alter reimbursement rates at any time by mandating changes to Medicare’s payment methodologies.</w:t>
      </w:r>
    </w:p>
    <w:p>
      <w:pPr>
        <w:spacing w:after="0" w:line="17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United States, the American Medical Association (“AMA”), generally creates specific billing codes for surgical procedures under a coding system known as Current Procedural Terminology (“CPT”), which surgeons must use to bill and receive reimbursement for our iFuse procedure. Once a CPT code is established, the Centers for Medicare &amp; Medicaid Services (“CMS”), typically establishes payment levels under Medicare while private payors establish rates and coverage rules independently.</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 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by the surgeon using the general Category I CPT code for sacroiliac fusion surgery. This coding change was accompanied by the establishment of a Medicare hospital outpatient prospective payment rate for facilities to bill for procedures with the new code. Following the creation of the new Category III CPT code, a number of papers demonstrating the clinical success of the iFuse procedure were published. As a result of these studies, along with the support of several professional medical specialty societies and leading academic surgeons, the AMA CPT Editorial Panel established a new Category I CPT code specifically for sacroiliac joint fusion surgery using a minimally invasive or percutaneous approach. This new Category I CPT code became effective on January 1, 2015. However, the new code did not immediately lead to positive coverage decisions by payors. 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March 2015, six-month follow-up results from our INSITE randomized controlled clinical trial were published. In June 2015, the largest spine society in the world, the North American Spine Society (“NASS”), published a positive coverage recommendation, based on the clinical evidence, signaling to insurance companies and Medicare Administrative Contractors that sacroiliac joint fusion using a minimally invasive surgical approach should be routinely reimbursed. In March 2015, the International Society for Advancement of Spine Surgery (“ISASS”), also published a similar, updated positive coverage document signaling to insurance companies in the U.S. that evidence supports reimbursement for the procedure.</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Coverage decisions for this code are made independently by each private insurance company and each of the Medicare Administrative Contractors that help manage Medicare. Around the second quarter of 2016, because of the iFuse clinical evidence, all Medicare Administrative Contractors were covering the procedure. At the time, very few private payors were covering. As of December 31, 2020 and 2019, U.S. payors covering 311.6 million and 282.7 million lives, respectively, regularly reimbursed for the iFuse procedures.</w:t>
      </w:r>
    </w:p>
    <w:p>
      <w:pPr>
        <w:spacing w:after="0" w:line="21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Third-party payors, whether governmental or commercial, are also developing increasingly sophisticated methods of controlling healthcare costs. No uniform policy of coverage and reimbursement for medical device products and services exists among third-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41" w:lineRule="auto"/>
        <w:rPr>
          <w:sz w:val="20"/>
          <w:szCs w:val="20"/>
          <w:color w:val="auto"/>
        </w:rPr>
      </w:pPr>
      <w:r>
        <w:rPr>
          <w:rFonts w:ascii="Arial" w:cs="Arial" w:eastAsia="Arial" w:hAnsi="Arial"/>
          <w:sz w:val="18"/>
          <w:szCs w:val="18"/>
          <w:color w:val="auto"/>
        </w:rPr>
        <w:t>party payors in the United States. Therefore, coverage and reimbursement for medical device products and services can differ significantly from payor to payor. In addition, payors continually review new technologies for possible coverage and can, without notice, deny coverage for these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uncertainties surrounding coverage policies, there are periodic changes to reimbursement. Third-party payors regularly update reimbursement amounts and sometimes revise the methodologies used to determine reimbursement amounts. This includes annual updates to payments to physicians, hospitals, and ambulatory surgical centers for procedures during which our products are used. For example, the Medicare program updates hospital and physician payments annually pursuant to applicable law and regulations.</w:t>
      </w:r>
    </w:p>
    <w:p>
      <w:pPr>
        <w:spacing w:after="0" w:line="18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Specialty benefit managers and companies which perform healthcare technology assessments have significant influence on coverage decisions. In May 2016, the ECRI Institute Health Technology Assessment Information Service published a positive review of the iFuse Implant System, citing our clinical evidence. In January 2018, the Blue Cross Blue Shield Association, the licensor to all 36 Blue Cross and Blue Shield insurers across the United States, wrote a favorable review of the clinical evidence conferring a positive coverage recommendation for minimally invasive sacroiliac fusion, but only when performed with iFuse. In February 2018, Milliman Care Guidelines, a Hearst Company publication, also recommended coverage and in May 2018, AIM Specialty Health, owned by Anthem, established coverage for only iFuse and none of our competitors. In October 2018, eviCore recommended our iFuse system exclusively for sacroiliac joint fusion or stabilization. In 2020, Magellan Healthcare issued surgery guidelines for percutaneous sacroiliac joint fusion, which requires case-by-case review of authorization requests and follows NASS guidelines.</w:t>
      </w:r>
    </w:p>
    <w:p>
      <w:pPr>
        <w:spacing w:after="0" w:line="161"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Private Payors</w:t>
      </w:r>
      <w:r>
        <w:rPr>
          <w:rFonts w:ascii="Arial" w:cs="Arial" w:eastAsia="Arial" w:hAnsi="Arial"/>
          <w:sz w:val="18"/>
          <w:szCs w:val="18"/>
          <w:color w:val="auto"/>
        </w:rPr>
        <w:t>. Private payors decide whether to cover and how much to pay on an individual basis. We target and track 65 of the largest U.S.</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payors. As of December 31, 2020, of the targeted and tracked U.S. private payors, 56 were covering regularly, or had announced coverage for, the iFuse procedure, while the remaining U.S. private payors were reevaluating their coverage policies. As of December 31, 2020, of the U.S. private payors covering regularly, 35 have issued positive coverage policies exclusive to iFuse for sacroiliac joint fusion and 21 U.S. private payors are covering iFuse and other sacroiliac joint fusion products.</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the total covered lives with access to minimally invasive SI joint fusion and those with coverage exclusive to iFuse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17" w:lineRule="exact"/>
        <w:rPr>
          <w:sz w:val="20"/>
          <w:szCs w:val="20"/>
          <w:color w:val="auto"/>
        </w:rPr>
      </w:pPr>
    </w:p>
    <w:tbl>
      <w:tblPr>
        <w:tblLayout w:type="fixed"/>
        <w:tblInd w:w="1660" w:type="dxa"/>
        <w:tblCellMar>
          <w:top w:w="0" w:type="dxa"/>
          <w:left w:w="0" w:type="dxa"/>
          <w:bottom w:w="0" w:type="dxa"/>
          <w:right w:w="0" w:type="dxa"/>
        </w:tblCellMar>
      </w:tblPr>
      <w:tr>
        <w:trPr>
          <w:trHeight w:val="184"/>
        </w:trPr>
        <w:tc>
          <w:tcPr>
            <w:tcW w:w="5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Covered lives (in millions)</w:t>
            </w:r>
          </w:p>
        </w:tc>
        <w:tc>
          <w:tcPr>
            <w:tcW w:w="15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 coverage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Exclusive iFuse</w:t>
            </w: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coverage</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195.8</w:t>
            </w:r>
          </w:p>
        </w:tc>
        <w:tc>
          <w:tcPr>
            <w:tcW w:w="2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74.1</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Medicaid</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38.2</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Military/Federal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15.1</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311.6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79.7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Note that because many individuals are covered by more than one health insurance plan or may switch plans during the year, the total number of covered lives reported by the payors represented above may be larger than the number of individuals who have access to the iFuse procedure through their health insurance provider at any given time.</w:t>
      </w:r>
    </w:p>
    <w:p>
      <w:pPr>
        <w:spacing w:after="0" w:line="211"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In December 2019, CIGNA established a positive coverage policy for minimally invasive SI joint fusion using the iFuse Implant System. CIGNA is the fourth largest commercial health plan in the United States with approximately 14.6 million members. In May 2020, Aetna adopted a new coverage policy for minimally invasive arthrodesis of the sacroiliac joint for sacroiliac joint syndrome and sacroiliac joint pain. Aetna is the third largest commercial health plan in the United States with over 22 million members. Currently, covered lives counts do not include Anthem, which covers minimally invasive sacroiliac fusion procedures in the event of pelvic girdle trauma only. On October 1, 2020, Anthem published an update to its sacroiliac joint fusion medical policy. This update retained policy language limiting indications for iFuse to cases involving a history of pelvic girdle trauma, similar to earlier versions of the policy, and did not reflect the feedback from specialists Anthem received in mid-2020, or other substantive updates to the evidence base. Anthem has communicated to us that this feedback and additional evidence may be taken into consideration in future policy updates in 2021. In December 2020, Humana adopted a new coverage policy for minimally invasive arthrodesis of the sacroiliac joint exclusively when using titanium triangular implants (e.g., iFuse).</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are other large and small private payors that have not published positive coverage policies for the procedure. Some of these non-covering payors are reevaluating coverage given the latest data, but there can be no assurance they will reach positive coverage decisions. In most cases, the payors who are not covering are reevaluating coverage. Many payors will only review their coverage policies for a procedure on a scheduled basis, which can be every few months or as infrequently as once per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ind w:firstLine="405"/>
        <w:spacing w:after="0" w:line="255" w:lineRule="auto"/>
        <w:rPr>
          <w:sz w:val="20"/>
          <w:szCs w:val="20"/>
          <w:color w:val="auto"/>
        </w:rPr>
      </w:pPr>
      <w:r>
        <w:rPr>
          <w:rFonts w:ascii="Arial" w:cs="Arial" w:eastAsia="Arial" w:hAnsi="Arial"/>
          <w:sz w:val="18"/>
          <w:szCs w:val="18"/>
          <w:color w:val="auto"/>
        </w:rPr>
        <w:t>Prior to payor coverage, surgeons have been reluctant to get trained on a procedure for which they could not reliably be reimbursed. While we believe the increased coverage described above will have a positive effect on the number of iFuse procedures and our associated revenue in the future, the effect likely will happen with a lag time because, after a positive coverage decision is made, a number of months may pass before it impacts the number of procedures and associated revenue, since the surgeons have to be made aware of the coverage decision, in some cases attend one of our training courses to learn the surgical technique, schedule re-examinations of patients who were candidates for surgery, and then schedule surgeries for the patients who are still candidates.</w:t>
      </w:r>
    </w:p>
    <w:p>
      <w:pPr>
        <w:spacing w:after="0" w:line="13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believe that it generally takes between six and 24 months for a surgeon to fully incorporate iFuse into his or her practice after payors initiate coverage and the surgeon is trained. Further, the administrative burden on surgical practices can be substantial for patients where reimbursement coverage is new, and some surgeons do not believe that the current average surgeon reimbursement is yet adequate to compensate them. However, as reimbursement coverage has improved, surgeon interest in learning to diagnose the sacroiliac joint and perform iFuse procedures has been increasing.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Outside the United States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w:t>
      </w:r>
    </w:p>
    <w:p>
      <w:pPr>
        <w:spacing w:after="0" w:line="111" w:lineRule="exact"/>
        <w:rPr>
          <w:sz w:val="20"/>
          <w:szCs w:val="20"/>
          <w:color w:val="auto"/>
        </w:rPr>
      </w:pPr>
    </w:p>
    <w:p>
      <w:pPr>
        <w:jc w:val="both"/>
        <w:ind w:firstLine="405"/>
        <w:spacing w:after="0" w:line="217" w:lineRule="exact"/>
        <w:rPr>
          <w:sz w:val="20"/>
          <w:szCs w:val="20"/>
          <w:color w:val="auto"/>
        </w:rPr>
      </w:pPr>
      <w:r>
        <w:rPr>
          <w:rFonts w:ascii="Arial" w:cs="Arial" w:eastAsia="Arial" w:hAnsi="Arial"/>
          <w:sz w:val="17"/>
          <w:szCs w:val="17"/>
          <w:color w:val="auto"/>
        </w:rPr>
        <w:t>Health Technology Assessment (“HTA”) of medical devices is, however, becoming an increasingly common part of the pricing and reimbursement procedures in some EU Member States, including the United Kingdom, France, Germany, Ireland, Italy, Spain and Sweden. HTA is the procedure according to which the assessment of the public health impact, therapeutic impact and the economic and societal impact of use of a given medical device in the national healthcare systems of the individual country is conducted. HTA generally focuses on the clinical efficacy and effectiveness, safety, and cost</w:t>
      </w:r>
      <w:r>
        <w:rPr>
          <w:rFonts w:ascii="MS PGothic" w:cs="MS PGothic" w:eastAsia="MS PGothic" w:hAnsi="MS PGothic"/>
          <w:sz w:val="17"/>
          <w:szCs w:val="17"/>
          <w:color w:val="auto"/>
        </w:rPr>
        <w:t>‑</w:t>
      </w:r>
      <w:r>
        <w:rPr>
          <w:rFonts w:ascii="Arial" w:cs="Arial" w:eastAsia="Arial" w:hAnsi="Arial"/>
          <w:sz w:val="17"/>
          <w:szCs w:val="17"/>
          <w:color w:val="auto"/>
        </w:rPr>
        <w:t>effectiveness of individual products as well as their potential implications for the healthcare system. Those elements of medical devices are compared with other treatment options available on the market. The outcome of HTA regarding specific medical devices will often influence the pricing and reimbursement status granted to these products by the competent authorities of individual EU Member States. The extent to which pricing and reimbursement decisions are influenced by the HTA of the specific medical device varies between EU Member States. In addition, pursuant to Directive 2011/24/EU on the application of patients’ rights in cross</w:t>
      </w:r>
      <w:r>
        <w:rPr>
          <w:rFonts w:ascii="MS PGothic" w:cs="MS PGothic" w:eastAsia="MS PGothic" w:hAnsi="MS PGothic"/>
          <w:sz w:val="17"/>
          <w:szCs w:val="17"/>
          <w:color w:val="auto"/>
        </w:rPr>
        <w:t>‑</w:t>
      </w:r>
      <w:r>
        <w:rPr>
          <w:rFonts w:ascii="Arial" w:cs="Arial" w:eastAsia="Arial" w:hAnsi="Arial"/>
          <w:sz w:val="17"/>
          <w:szCs w:val="17"/>
          <w:color w:val="auto"/>
        </w:rPr>
        <w:t>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spacing w:after="0" w:line="20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a further step in this direction, on January 31, 2018, the European Commission adopted a proposal for a regulation on HTA. This legislative proposal is intended to increase cooperation among EU Member States in assessing health technologies, including new medical devices, and providing the basis for cooperation at the EU level for joint clinical assessments in these areas. The proposal would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The European Commission has stated that the role of the draft HTA regulation is not to influence pricing and reimbursement decisions in the individual EU Member States. However, this consequence cannot be excluded.</w:t>
      </w:r>
    </w:p>
    <w:p>
      <w:pPr>
        <w:spacing w:after="0" w:line="18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April 2017, the UK’s National Institute for Health and Care Excellence (“NICE”), published guidance on minimally invasive sacroiliac joint fusion, recommending that the procedure be available to properly diagnosed patients in the UK National Health System. NICE develops guidance and quality standards in health and social care and is a worldwide leader in technology evaluations. The recommendation states that the safety and efficacy of minimally invasive sacroiliac joint fusion surgery is adequate provided that standard arrangements are in place. Use with standard arrangements is the most positive recommendation that NICE can make for an interventional procedure such as minimally invasive SI joint fusion. In October 2018, NICE published medical technology guidance specific to the iFuse Implant System, recommending that it be used in the National Health System because of the evidence demonstrating that treatment with iFuse improves pain, quality of life, and disability in properly selected patients. The continued relevance of the NICE guidance following the departure of the UK from the EU on January 31, 2020 is yet to be determined. Additionally, in August 2018, the public hospital system in France announced it would initiate coverage for iFuse exclusively beginning September 6, 2018.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Medical Affairs and Education</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medical affairs team provides high quality educational programs internally and externally. Internally, specialized medical knowledge, and practical experience with iFuse are used to help educate our sales, marketing, quality, reimbursement, clinical, regulatory, engineering, and product development teams. This same specialized medical knowledge and practical iFuse experience provides the foundation for a wide variety of educational programs provided to both surgeons who will perform the iFuse procedure and the broader medical community that see and treat these patients. The medical affairs team is led by a fellowship trained orthopedic spine surgeon. As of December 31, 2020, we contracted with over 300 healthcare practitioners in various medical specialties, such as surgeons, pain management physicians, nurse practitioners/physician’s assistants and physical therapists, to help educate healthcare professionals about the sacroiliac joint as a component of lower back pain, proper diagnosis of SI joint dysfunction, non-surgical treatment options and surgical treatment with iFuse.</w:t>
      </w:r>
    </w:p>
    <w:p>
      <w:pPr>
        <w:spacing w:after="0" w:line="21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surgeon training programs are for orthopedic spine surgeons, neurosurgeons, general orthopedic surgeons, and orthopedic trauma surgeons. Since we began training surgeons, over 2,300 surgeons have treated patients with iFuse. We grew our active surgeon base to 588 surgeons as of December 31, 2020, compared to 539 active surgeons as of December 31, 2019. We define an active surgeon to be a surgeon who has performed at least one iFuse case in the last three months. The increase in active surgeons is primarily due to training of additional surgeons throughout the year. We will continue to pursue the remainder of the approximately 7,500 target surgeons in the United States, as well as international surgeons for training in the future. The COVID-19 outbreak challenged our traditional method of hands-on cadaveric and dry-lab training. In early 2020, the medical affairs team implemented a virtual education series for surgeons and mid-level practitioners. In July 2020, we began using an innovative, fully portable surgeon training simulator. This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training platform allows us to train surgeons without need for an operating room or a fluoroscope. The computer-based surgeon training simulator provides</w:t>
      </w:r>
    </w:p>
    <w:p>
      <w:pPr>
        <w:spacing w:after="0" w:line="7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quality haptics, or the realistic feel during the surgeon’s use of the instruments, and the training is performed without any radiation. One key advantage of this surgeon training simulator is that the surgeon can now be trained locally in their office or a hospital conference room in 2 to 3 hours, and the surgeon does not need to travel to a cadaver lab, which sometimes requires being away from their practice for as much as a day and a half. The simulator uses the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same instruments and implants as those that are used during surgery. The simulator is used to train surgeons to perform SI joint injections and iFuse sacroiliac joint fusions, as well as the iFuse Bedrock procedure. We plan to expand the use of simulators for training purposes both in the United States and internationally. We will utilize the simulators and our existing programs to train new surgeons, increase the knowledge and proficiency of existing iFuse surgeons, and re-engage inactive surgeons.</w:t>
      </w:r>
    </w:p>
    <w:p>
      <w:pPr>
        <w:spacing w:after="0" w:line="18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conduct a large number of educational programs for the broader medical community including primary care physicians, pain management physicians and other healthcare practitioners that may manage a sacroiliac joint patient non-surgically, such as physical therapists and chiropractors. In addition to these general educational programs, we provide continuing education programs focused on SI joint diagnosis and treatment to physical therapists and case managers. We are able to provide these programs for both groups in all 50 states and the District of Columbia. We have trained over 6,600 physical therapists through our continuing education program as of December 31, 2020. Case managers, who typically are nurses, work in facilities where the iFuse procedure is performed, such as hospitals, or for payors or health plans. Case managers help patients navigate the healthcare system so that they receive the most appropriate treatment. As of December 31, 2020, we have trained over 1,300 case managers in the United States through our continuing education program. Our medical affairs team works with leading spine surgeons to educate other orthopedic and neurosurgeons on the differential diagnosis of sacroiliac joint disorders and the use of iFuse. We also work closely with medical specialty societies to raise the awareness of and teach the appropriate diagnosis of sacroiliac joint dysfunction and the associated treatment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direct sales organization in the United States covered twelve sales regions as of December 31, 2020. In each region, a number of territory sales managers act as the primary customer contact. Our territory sales managers have extensive training and experience selling medical devices for spine problems and pain management, generally focusing on emerging technologies and markets. For large and/or high volume territories, we also employ territory associate representatives who cover cases. As of December 31, 2020, our U.S. sales force consisted of 64 territory sales managers and 58 clinical specialists directly employed by us, and 41 third-party distributors. As of December 31, 2020, we had 39 employees working in our European operations, and have established operations in Italy (2010), Germany (2014), the United Kingdom (2015) and France (2019). As of December 31, 2020, our international sales force consisted of 20 sales representatives directly employed by us and 31 exclusive third-party distributors, which together had sales in 35 countries through December 31, 2020. As of December 31, 2020, beyond Europe and the U.S., surgeons had performed the first iFuse procedures in Australia, Bahrain, Canada, Cayman Islands, Hong Kong, Israel, Japan, Kuwait, New Zealand, Saudi Arabia, South Africa, and Turkey.</w:t>
      </w:r>
    </w:p>
    <w:p>
      <w:pPr>
        <w:spacing w:after="0" w:line="16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We have made significant investments in our sales force since our initial public offering in 2018. We have built a valuable sales team, and we believe they are the key to the recovery we expect following the pandemic. As such, we have made it a top priority to support and retain our sales force through this challenging period. We limited new sales force hiring in the second and third quarter of 2020 due to uncertainty from the COVID-19 pandemic and focused on sales force productivity during this period, but resumed hiring of salespeople in the fourth quarter of 2020 based upon our favorable financial position and opportunity for future revenue growth. Our sales and marketing spending reflected normal business activities into mid-March 2020. Due to the COVID-19 pandemic, we focused on protecting key investments in our field force while curtailing most other areas of sales and marketing spend during the second and third quarter of 2020. For example, we guaranteed certain levels of incentive compensation to members of our field sales organization in order to retain these employees and partially mitigate the impact of the pandemic to their compensation. In contrast, we reduced certain other spending during the COVID-19 pandemic, such as travel and related expenses, regional surgeon training, trade shows, and discretionary marketing. As revenue growth returned to the levels that we were experiencing prior to the pandemic, we increased our sales and marketing expense accordingly in the third and fourth quarters of 2020.</w:t>
      </w:r>
    </w:p>
    <w:p>
      <w:pPr>
        <w:spacing w:after="0" w:line="18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intend to continue to grow our specialized sales force to foster relationships with surgeons and support revenue growth. Our territory sales managers are senior representatives who educate surgeons on the sacroiliac joint as a primary cause of lower back pain. The territory sales manager identifies new surgeons who are interested in learning more about the sacroiliac joint and the iFuse procedure and/or the Bedrock technique. The sales representative works closely with our medical affairs team to train surgeons on the anatomy, diagnosis, and surgical technique. Once trained, the sales representative works with the surgeon to incorporate into their practices the diagnosis of sacroiliac joint pain and the iFuse procedure to treat patients suffering from sacroiliac joint pain. Our clinical support specialists assist the territory sales managers to identify surgeons interested in training. The clinical support specialists also regularly cover cases, bringing our implants and instrument trays into the operating room for use by surgeons.</w:t>
      </w:r>
    </w:p>
    <w:p>
      <w:pPr>
        <w:spacing w:after="0" w:line="16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Over 30 million American adults are estimated to have chronic lower back pain. It is often difficult to identify the source of the pain and traditional methods of spine surgery do not have high success rates. We believe it is essential to raise awareness among lower back pain sufferers that their symptoms may be the result of sacroiliac joint disorders and that minimally invasive surgical treatments are available. We have implemented targeted marketing, education and direct outreach programs. We continually update our social media initiatives and post content to educate and engage patients who may be candidates for the iFuse procedure. We plan to make additional investments to further increase patient awareness, primarily through digital and broadcast marketing, including TV and radio ads, paid search, display advertising, social media and public relations.</w:t>
      </w:r>
    </w:p>
    <w:p>
      <w:pPr>
        <w:spacing w:after="0" w:line="16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insurance coverage limits. However, taken as a whole, seasonality does not have a material impact on our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Since our initial launch of the iFuse Implant System, we have introduced a number of new product and procedure enhancements. An example is the iFuse-3D implant, which we developed over several years and launched in 2017. The most notable instrument enhancement was the release of the revamped instrument set that included a number of radiolucent instruments.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ind w:firstLine="405"/>
        <w:spacing w:after="0" w:line="255" w:lineRule="auto"/>
        <w:rPr>
          <w:sz w:val="20"/>
          <w:szCs w:val="20"/>
          <w:color w:val="auto"/>
        </w:rPr>
      </w:pPr>
      <w:r>
        <w:rPr>
          <w:rFonts w:ascii="Arial" w:cs="Arial" w:eastAsia="Arial" w:hAnsi="Arial"/>
          <w:sz w:val="18"/>
          <w:szCs w:val="18"/>
          <w:color w:val="auto"/>
        </w:rPr>
        <w:t>In 2017, we also introduced an instrument set that is cleared for use with Medtronic’s surgical navigation system, allowing the surgeon to visualize the 3D positioning of certain instruments intra-operatively. In March 2018, we introduced surgical pins which may be used with the Mazor surgical robot, allowing the surgeon to robotically place the guide pin according to a computer-generated surgical plan. In early 2019, we introduced our Decortication and Graft Delivery Systems that allow surgeons to remove intra-articular cartilage and deliver flowable bone graft materials. In mid-2019, we introduced the iFuse Bedrock technique that supplements pelvic fixation in deformity and degeneration cases and provides enhanced initial stabilization and long-term SI joint fusion.</w:t>
      </w:r>
    </w:p>
    <w:p>
      <w:pPr>
        <w:spacing w:after="0" w:line="2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expect to continue developing enhancements to iFuse to meet our customers’ changing needs and improve the surgery’s effectiveness. For example, we know that some surgeons use iFuse to treat trauma patients post-stabilization. We are developing products and techniques to help surgeons improve the treatment of these patients. We may seek regulatory clearances for additional indications as required.</w:t>
      </w:r>
    </w:p>
    <w:p>
      <w:pPr>
        <w:spacing w:after="0" w:line="19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continued our research and development activities during the COVID-19 pandemic. Clinical study expenses declined during mid-March through April due to hospital postponement of trials as a result of the COVID-19 pandemic. However, most hospitals allowed the resumption of clinical trials starting in May 2020. As such, we anticipate that research and development expenses will continue to increase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believe that we were the first company to develop, manufacture, and market a minimally invasive implant cleared by the FDA expressly for sacroiliac joint fusion other than a modified screw. Over the past several years, other companies have subsequently recognized the opportunity and have entered the minimally invasive sacroiliac joint fusion market.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create a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We also expect there to be a continued push for non-surgical alternatives.</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United States, we believe that our primary competitors currently are Globus Medical, Inc. and Medtronic plc. Our primary competitors in Europe are Globus Medical and SIGNUS Medizintechnik GmbH. However, these competitors sell screw-based products, which we believe to be weaker and less able to resist rotation than our triangular iFuse implants. We also compete against non-hardware products, such as allograft bone implants. These allograft products comprise human cells or tissues and are generally regulated by the FDA differently from implantable medical devices made of metallic or other non-tissue based materials, unless these competitors' allograft products fail to meet the FDA's criteria for regulation as a human cell or tissue product.</w:t>
      </w:r>
    </w:p>
    <w:p>
      <w:pPr>
        <w:spacing w:after="0" w:line="19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Based on our commercial experience and market research, we believe iFuse is currently used in the majority of minimally invasive surgical fusions of the sacroiliac joint in the United States. Our triangular titanium implant is differentiated from other screw-based technologies on the market.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90 published papers. We have received exclusive reimbursement coverage in the United States by certain payors based upon our differentiated product and quality of our evidence. We believe these factors provide competitive advantages to us in the market. The following are the primary competitive factors on which companies compete in our industry:</w:t>
      </w:r>
    </w:p>
    <w:p>
      <w:pPr>
        <w:spacing w:after="0" w:line="204"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protect our intellectual property through our pending patent applications and issued patents. As of December 31, 2020, we had been issued 40 patents in the United States, and 14 patents outside of the United States. Also, as of December 31, 2020, we have 29 pending patent applications in the United States and six pending patent applications outside of the United States.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October 2031.</w:t>
      </w:r>
    </w:p>
    <w:p>
      <w:pPr>
        <w:spacing w:after="0" w:line="20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We have 13 registered trademarks in the United States and have filed for 16 more. In other countries, we have focused on registering three primary trademarks: “iFuse Implant System,” “SI-BONE,” and the SI-BONE logo. As of December 31, 2020, we have sought protection for at least two of these trademarks in 60 countries including the 27 European member countries of the Madrid Protocol. The trademarks registered in the EU are also now protected by “clone” registrations in the U.K.</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agreements.</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(“FDCA”) as implemented and enforced by the FDA.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The FDA governs the following activities that we perform or that are performed on our behalf, to ensure that medical products distributed domestically or exported internationally are safe and effective for their intended uses:</w:t>
      </w:r>
    </w:p>
    <w:p>
      <w:pPr>
        <w:spacing w:after="0" w:line="202"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design, research, development, and manufacture;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marketing, promotion, advertising, sales, distribution, export, and import; and</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numerous FDA regulatory requirements governing the clearance or approval and marketing of our products. These include:</w:t>
      </w:r>
    </w:p>
    <w:p>
      <w:pPr>
        <w:spacing w:after="0" w:line="252"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System Regulation (“QSR”), which requires manufacturers, including third-party manufacturers, to follow stringent design, testing, control, documentation and other quality assurance procedures during all aspects of the manufacturing process;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28" w:lineRule="exact"/>
        <w:rPr>
          <w:rFonts w:ascii="Arial" w:cs="Arial" w:eastAsia="Arial" w:hAnsi="Arial"/>
          <w:sz w:val="17"/>
          <w:szCs w:val="17"/>
          <w:color w:val="auto"/>
        </w:rPr>
      </w:pPr>
    </w:p>
    <w:p>
      <w:pPr>
        <w:ind w:left="8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17" w:lineRule="exact"/>
        <w:rPr>
          <w:rFonts w:ascii="Arial" w:cs="Arial" w:eastAsia="Arial" w:hAnsi="Arial"/>
          <w:sz w:val="18"/>
          <w:szCs w:val="18"/>
          <w:color w:val="auto"/>
        </w:rPr>
      </w:pPr>
    </w:p>
    <w:p>
      <w:pPr>
        <w:jc w:val="both"/>
        <w:ind w:left="820" w:hanging="326"/>
        <w:spacing w:after="0" w:line="263"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Unless an exemption applies, each medical device we wish to commercially distribute in the United States will require either premarket notification, or 510(k), clearance or approval of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510(k) Clearance</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By regulation, the FDA has 90 days from acceptance of the 510(k) submission for review to review and issue a determination. As a practical matter, clearance often takes longer. The FDA may require additional information, including clinical data, to make a determination regarding substantial equivalence.</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or not a modification could significantly affect the device’s safety or effectiveness is initially left to the manufacturer using available FDA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guidance. Many minor modifications today are accomplished by a “letter to file” in which the manufacturer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PMA Approval</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 PMA must be submitted to the FDA for any device that is classified in Class III or otherwise cannot be cleared through the 510(k) process (although the FDA has discretion to continue to allow certain pre-amendment Class III devices to use the 510(k) process). PMA applications must be supported by, among other things, valid scientific evidence demonstrating the safety and effectiveness of the device, which typically requires extensive data, including technical, preclinical, clinical and manufacturing data. The PMA must also contain a full description of the device and its components, a full description of the methods, facilities, and controls used for manufacturing, and proposed labeling. Following receipt of a PMA application, once the FDA determines that the application is sufficiently complete to permit a substantive review, the FDA will formally accept the application for review. The FDA, by statute and by regulation, has 180 days to review an “accepted” PMA application, although the review of an application more often occurs over a significantly longer period of time, and can take up to several years. During the review period, the FDA will typically request additional information or clarification of the information already provided. Also, an advisory panel of experts from outside the FDA may be convened to review and evaluate the application and provide recommendations to the FDA as to the approvability of the device. The FDA may or may not accept the panel’s recommendation.</w:t>
      </w:r>
    </w:p>
    <w:p>
      <w:pPr>
        <w:spacing w:after="0" w:line="16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addition, the FDA will generally conduct a pre-approval inspection of the manufacturing facility or facilities to ensure compliance with the QSR. If the FDA evaluations of both the PMA application and the manufacturing facilities are favorable, the FDA will either issue an approval letter or an approvable letter, which usually contains a number of conditions that must be met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Once granted, PMA approval may be withdrawn by the FDA if compliance with post-approval requirements, conditions of approval or other regulatory standards is not maintained or problems are identified following initial marketing. In approving a PMA the FDA may also require some form of post-market surveillance when necessary to protect the public health or to provide additional safety and effectiveness data for the device. In such cases, the manufacturer might be required to follow certain patient groups for a number of years and makes periodic reports to the FDA on the clinical status of those patients.</w:t>
      </w:r>
    </w:p>
    <w:p>
      <w:pPr>
        <w:spacing w:after="0" w:line="19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New PMAs or PMA supplements are required for modifications that affect the safety or effectiveness of a PMA-approved device, including, for example, certain types of modifications to the device’s indication for use, manufacturing process, labeling and design.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Manufacturers may request de novo classification directly without first submitting a 510(k) premarket notification to the FDA and receiving a not substantially equivalent determination.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Regulation of Human Cell and Tissue Based Products</w:t>
      </w:r>
    </w:p>
    <w:p>
      <w:pPr>
        <w:spacing w:after="0" w:line="212"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6"/>
          <w:szCs w:val="16"/>
          <w:color w:val="auto"/>
        </w:rPr>
        <w:t>Our iFuse Bone products are derived from human tissue (demineralized bone tissue). The FDA has specific regulations governing human cells, tissues, and cellular and tissue-based products ("HCT/Ps"). HCT/Ps regulated by the FDA under the authority of section 361 of the Public Health service Act must be not more than minimally manipulated and be for homologous use. They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 Our bone tissue products are regulated as 361 HCT/Ps.</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AATB has issued operating standards for tissue banking. Accreditation is voluntary, but compliance with these standards is a requirement to become an AATB-accredited tissue establishment. In addition, some states have their own tissue banking regulations. We are licensed or have permits for tissue banking in California, Florida, New York, Maryland, and other states that require specific licensing or registration.</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Procurement of certain human organs and tissue for transplantation is subject to the restrictions of the National Organ Transplant Act (NOTA), which prohibits the transfer of certain human organs, including bone tissue for valuable consideration, but permits reasonable payments associated with removal, transportation, implantation, processing, preservation, quality control and storage.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1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Clinical trials are generally required to support a PMA application and are sometimes required for 510(k) clearance. Such trials for implanted devices such as iFuse generally require an investigational device exemption application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(“IRB”), and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252"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indications;</w:t>
      </w:r>
    </w:p>
    <w:p>
      <w:pPr>
        <w:spacing w:after="0" w:line="128" w:lineRule="exact"/>
        <w:rPr>
          <w:rFonts w:ascii="Arial" w:cs="Arial" w:eastAsia="Arial" w:hAnsi="Arial"/>
          <w:sz w:val="17"/>
          <w:szCs w:val="17"/>
          <w:color w:val="auto"/>
        </w:rPr>
      </w:pPr>
    </w:p>
    <w:p>
      <w:pPr>
        <w:ind w:left="8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17" w:lineRule="exact"/>
        <w:rPr>
          <w:rFonts w:ascii="Arial" w:cs="Arial" w:eastAsia="Arial" w:hAnsi="Arial"/>
          <w:sz w:val="18"/>
          <w:szCs w:val="18"/>
          <w:color w:val="auto"/>
        </w:rPr>
      </w:pPr>
    </w:p>
    <w:p>
      <w:pPr>
        <w:jc w:val="both"/>
        <w:ind w:left="820" w:hanging="326"/>
        <w:spacing w:after="0" w:line="263"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2" w:name="page23"/>
    <w:bookmarkEnd w:id="22"/>
    <w:p>
      <w:pPr>
        <w:ind w:left="820" w:hanging="32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have registered our facility with the FDA as a medical device manufacturer. The FDA has broad post-market and regulatory enforcement powers. We are subject to announced and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292"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FDA inspected our facilities again in December 2016. No findings were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Promotional Materials - “Off-Label” Promotion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we could be subject to additional significant penalties, such as exclusion from participation in federal healthcare programs, and our reputation could be damaged and adoption of the products would be impaired.</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under the federal Lanham Act and similar state laws, competitors, and others can initiate litigation relating to advertising claims.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research, development and clinical programs, as well as our manufacturing and marketing operations, are subject to extensive regulation in other countries. For example, in the European Economic Area (“EEA”) our devices are currently required to comply with the Essential Requirements concerning medical devices that are imposed by the Medical Device Directive (Council Directive 93/42/EEC) and the related national implementing legislation of individual EU member states as well as related guidance. Demonstration of compliance with these requirements entitles us to affix the CE mark to our medical devices, without which they cannot be commercialized in the EEA.</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ind w:firstLine="405"/>
        <w:spacing w:after="0" w:line="271" w:lineRule="auto"/>
        <w:rPr>
          <w:sz w:val="20"/>
          <w:szCs w:val="20"/>
          <w:color w:val="auto"/>
        </w:rPr>
      </w:pPr>
      <w:r>
        <w:rPr>
          <w:rFonts w:ascii="Arial" w:cs="Arial" w:eastAsia="Arial" w:hAnsi="Arial"/>
          <w:sz w:val="17"/>
          <w:szCs w:val="17"/>
          <w:color w:val="auto"/>
        </w:rPr>
        <w:t>To demonstrate compliance with the Essential Requirements, we must undergo a conformity assessment procedure, which varies according to the type of medical device and its classification. Except for low risk medical devices, a conformity assessment procedure requires a Notified Body to conduct conformity assessments. The Notified Body typically audits and examines products’ Technical File and the quality system for the manufacture, clinical evaluation report, design and final inspection of our devices before issuing a CE Certificate of Conformity.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 to:</w:t>
      </w:r>
    </w:p>
    <w:p>
      <w:pPr>
        <w:spacing w:after="0" w:line="248"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From May 26, 2021, the Medical Device Regulation (Regulations 2017/745) will repeal and replace the Medical Device Directive and the Active Implantable Medical Device Directive and will apply in the EU Member States, Iceland, Lichtenstein and Norway. The Medical Device Regulation is, among other things, intended to establish a uniform, transparent, predictable and sustainable regulatory framework across the EEA for medical devices and ensure a high level of safety and health while supporting innovation. Once applicable, the Medical Device Regulation will, among other things:</w:t>
      </w:r>
    </w:p>
    <w:p>
      <w:pPr>
        <w:spacing w:after="0" w:line="15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strengthen the rules on placing medical devices on the market and reinforce surveillance once they are available;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European Union;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strengthen the rules for the assessment of certain high-risk devices, such as implants, which may have to undergo an additional check by experts before they are placed on the market.</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Medical Device Regulation substantially augments those aspects of the Medical Device Directive governing clinical investigations of medical devices.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exist to compensate clinical investigation participants who are harmed in that jurisdiction due to their participation.</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Once applicable, the Medical Device Regulation will impose increased compliance obligations, which we must respect if we wish to continue to access the EU market. This includes the up-classification of some of our devices. Moreover, the scrutiny imposed by Notified Bodies for the technical documentation related these devices will increase considerably.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jc w:val="both"/>
        <w:ind w:firstLine="405"/>
        <w:spacing w:after="0" w:line="257" w:lineRule="auto"/>
        <w:rPr>
          <w:sz w:val="20"/>
          <w:szCs w:val="20"/>
          <w:color w:val="auto"/>
        </w:rPr>
      </w:pPr>
      <w:r>
        <w:rPr>
          <w:rFonts w:ascii="Arial" w:cs="Arial" w:eastAsia="Arial" w:hAnsi="Arial"/>
          <w:sz w:val="18"/>
          <w:szCs w:val="18"/>
          <w:color w:val="auto"/>
        </w:rPr>
        <w:t>Further, the advertising and promotion of our products in the EEA is currently subject to the provisions of the Medical Devices Directive, Directive 2006/114/EC concerning misleading and comparative advertising, Directive 2005/29/EC on unfair commercial practices, and from 26 May 2020, the Medical Device Regulation,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November 2008, we received 510(k) clearance to market our first generation iFuse implant from the FDA. Since 2008, we have received additional FDA 510(k) clearances for new instruments, additional implant sizes and labeling changes. In the United States, the iFuse Implant System is intended for sacroiliac fusion for the following conditions: sacroiliac joint dysfunction that is a direct result of sacroiliac joint disruptions and degenerative sacroiliitis, which includes conditions where symptoms began during pregnancy or in the peripartum period and have persisted postpartum for more than six months; to augment immobilization and stabilization of the sacroiliac joint in skeletally mature patients undergoing sacropelvic fixation as part of a lumbar or thoracolumbar fusion; and acute, non-acute, and non-traumatic fractures involving the sacroiliac joint. In the future, we plan to pursue additional 510(k) clearances for new products and changes to the current indication for iFuse.</w:t>
      </w:r>
    </w:p>
    <w:p>
      <w:pPr>
        <w:spacing w:after="0" w:line="17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November 2010, we obtained a CE Certificate of Conformity and affixed a CE mark to our iFuse Implant System to allow commercialization of iFuse in the EEA. In the EEA and Switzerland, iFuse is intended for sacroiliac joint fusion, including use in high and low energy fractures of the pelvic ring.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 Current delays in the revisions to the current bilateral agreement between the EU and Switzerland necessary to ensure the ongoing supply of our CE marked medical devices in Switzerland following entry into application of the Medical Device Regulation may, however, affect this plan.</w:t>
      </w:r>
    </w:p>
    <w:p>
      <w:pPr>
        <w:spacing w:after="0" w:line="195"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Since July 2013, we have obtained approval for iFuse in regions beyond the United States and the EEA, including Australia, Canada, Hong Kong, Israel, Malaysia, New Zealand, Saudi Arabia, Singapore and Taiwan. We are currently collecting information to determine our regulatory strategy in Japan.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outsource substantially all the manufacturing of our products, therefore we have not incurred significant expenses relating to our compliance with federal, state, or local environmental laws and do not expect to incur significant expenses in the foreseeable future. However, due to the nature of our operations and the frequently changing nature of environmental compliance standards and technology, we cannot predict with any certainty that future material capital or operating expenditures will not be required in order to comply with applicable environmental laws and regulations.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Fraud and Abuse</w:t>
      </w:r>
    </w:p>
    <w:p>
      <w:pPr>
        <w:spacing w:after="0" w:line="22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spacing w:after="0" w:line="176" w:lineRule="exact"/>
        <w:rPr>
          <w:sz w:val="20"/>
          <w:szCs w:val="20"/>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 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spacing w:after="0" w:line="19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by a private individual in the name of the government and to share in</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5" w:name="page26"/>
    <w:bookmarkEnd w:id="25"/>
    <w:p>
      <w:pPr>
        <w:ind w:left="660" w:right="20"/>
        <w:spacing w:after="0" w:line="277" w:lineRule="auto"/>
        <w:rPr>
          <w:sz w:val="20"/>
          <w:szCs w:val="20"/>
          <w:color w:val="auto"/>
        </w:rPr>
      </w:pPr>
      <w:r>
        <w:rPr>
          <w:rFonts w:ascii="Arial" w:cs="Arial" w:eastAsia="Arial" w:hAnsi="Arial"/>
          <w:sz w:val="18"/>
          <w:szCs w:val="18"/>
          <w:color w:val="auto"/>
        </w:rPr>
        <w:t>any monetary recovery. There are also criminal penalties for making or presenting a false or fictitious or fraudulent claim to the federal government;</w:t>
      </w:r>
    </w:p>
    <w:p>
      <w:pPr>
        <w:spacing w:after="0" w:line="170" w:lineRule="exact"/>
        <w:rPr>
          <w:sz w:val="20"/>
          <w:szCs w:val="20"/>
          <w:color w:val="auto"/>
        </w:rPr>
      </w:pPr>
    </w:p>
    <w:p>
      <w:pPr>
        <w:jc w:val="both"/>
        <w:ind w:left="660" w:hanging="328"/>
        <w:spacing w:after="0" w:line="27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76" w:lineRule="exact"/>
        <w:rPr>
          <w:rFonts w:ascii="Arial" w:cs="Arial" w:eastAsia="Arial" w:hAnsi="Arial"/>
          <w:sz w:val="17"/>
          <w:szCs w:val="17"/>
          <w:color w:val="auto"/>
        </w:rPr>
      </w:pPr>
    </w:p>
    <w:p>
      <w:pPr>
        <w:jc w:val="both"/>
        <w:ind w:left="660" w:hanging="328"/>
        <w:spacing w:after="0" w:line="271"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Physician Payment Sunshine Act, implemented by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and teaching hospitals, and requires applicable manufacturers to report annually to CMS ownership and investment interests held by physicians and their immediate family members and payments or other “transfers of value” to such physician owners. Beginning in 2022, applicable manufacturers also will be required to report information regarding payments and transfers of value provided (beginning in 2021) to physician assistants, nurse practitioners, clinical nurse specialists, anesthesiologist assistants, certified nurse anesthetists, and certified nurse-midwives; and</w:t>
      </w:r>
    </w:p>
    <w:p>
      <w:pPr>
        <w:spacing w:after="0" w:line="178" w:lineRule="exact"/>
        <w:rPr>
          <w:rFonts w:ascii="Arial" w:cs="Arial" w:eastAsia="Arial" w:hAnsi="Arial"/>
          <w:sz w:val="17"/>
          <w:szCs w:val="17"/>
          <w:color w:val="auto"/>
        </w:rPr>
      </w:pPr>
    </w:p>
    <w:p>
      <w:pPr>
        <w:jc w:val="both"/>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9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we or our employees are found to have violated any of the above laws we may be subject to administrative, civil and criminal penalties, including imprisonment, exclusion from participation in federal health care programs, such as Medicare and Medicaid,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in the Risks Related to Our Legal and Regulatory Environment section of Item 1A of this Annual Report on Form 10-K.</w:t>
      </w:r>
    </w:p>
    <w:p>
      <w:pPr>
        <w:spacing w:after="0" w:line="17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U.S. Foreign Corrupt Practices Act (“FCPA”) and similar anti-bribery laws in other countries, such as the United Kingdom Bribery Act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and its implementing regulations, as amended by Health Information Technology for Economic and Clinical Health Act enacted under the American Recovery and Reinvestment Act 2009 (“ARRA”) (collectively, “HIPAA”), in the United States.</w:t>
      </w:r>
    </w:p>
    <w:p>
      <w:pPr>
        <w:spacing w:after="0" w:line="171"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HIPAA imposes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HIPAA also requires the notification of patients, reporting to the U.S. Department of Health and Human Services (“HHS”), and other compliance actions, in the event of a breach of unsecured Protected Health Information (“PHI”). Required notification must be provided without unreasonable delay and in no event later than 60 calendar days after discovery of the breach, under HIPAA. In addition, if the PHI of 500 or more individuals is improperly used or disclosed, HHS would post the notification on its website, and we may be required to notify the media. Failure to comply with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jc w:val="both"/>
        <w:ind w:right="20"/>
        <w:spacing w:after="0" w:line="261" w:lineRule="auto"/>
        <w:rPr>
          <w:sz w:val="20"/>
          <w:szCs w:val="20"/>
          <w:color w:val="auto"/>
        </w:rPr>
      </w:pPr>
      <w:r>
        <w:rPr>
          <w:rFonts w:ascii="Arial" w:cs="Arial" w:eastAsia="Arial" w:hAnsi="Arial"/>
          <w:sz w:val="18"/>
          <w:szCs w:val="18"/>
          <w:color w:val="auto"/>
        </w:rPr>
        <w:t>HIPAA privacy and security standards can result in significant civil monetary penalties, and, in certain circumstances, criminal penalties, including imprisonment.</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w:t>
      </w:r>
    </w:p>
    <w:p>
      <w:pPr>
        <w:spacing w:after="0" w:line="1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European Union (“EU”), we are subject to laws relating to our collection, control, processing and other use of personal data (i.e. data relating to an identifiable living individual). We process personal data in relation to our operations. We process data of our employees, consultants, certain individuals who may be affiliated with our customers, including physician users of our products and, in the context of clinical investigations, patients. The personal data may include sensitive personal data including health information. The data privacy regime in the EU includes the EU General Data Protection Regulation, or the GDPR, effective on May 25, 2018 and the E-Privacy Directive 2002/58/EC and the national laws implementing it.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9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GDPR is directly applicable in each EU Member State. This should, in principle, result in a more uniform application of data privacy laws across the EU. The GDPR imposes onerous accountability obligations requiring data controllers and processors to maintain a record of their data processing and policies. It requires data controllers to be transparent and to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Each EU Member State may also adopt additional related legislation and guidance in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8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subject to the supervision of local data protection authorities in those jurisdictions where we are established or otherwise subject to applicable law. 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applicable laws, and that they have sufficient technical and organizational security measures in place to fulfil their related obligations.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use third-party manufacturers to produce our implants and instruments. Our primary supplier for implants is rms Company (“RMS”) for iFuse-3D. To mitigate supply risk, we use a rolling twelve month forecast and take into consideration production lead times to maintain adequate levels of inventory for both our iFuse-3D and iFuse. Most of our instruments have secondary manufacturing suppliers and we continually work with additional manufacturers as our secondary suppliers. Substantially all of our products, including all of our implants, are manufactured in the United States.</w:t>
      </w:r>
    </w:p>
    <w:p>
      <w:pPr>
        <w:spacing w:after="0" w:line="15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entered into a non-exclusive Manufacturing, Quality and Supply Agreement with RMS in January 2017, which was amended in July 2020. Pursuant to such agreement, RMS manufactures certain of our implants in accordance with our specifications, including both purchased and sterilized iFuse-3D implants, as well as uncoated machined implants which are subsequently coated to become our finished first generation iFuse implants. While the agreement provides that we are required to purchase the amounts forecasted in a blanket purchase order, we are not required to purchase product in excess of such forecasted amounts. The prices we pay for products are fixed under the agreement provided that if order volumes deviate from forecasted amounts beyond certain thresholds, we or RMS may request to negotiate further price changes. The agreement automatically renews for successive one-year periods; provided, however, the agreement may be terminated early by either party, as specified in the agreement. RMS is currently our only supplier of iFuse-3D implants.</w:t>
      </w:r>
    </w:p>
    <w:p>
      <w:pPr>
        <w:spacing w:after="0" w:line="19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Quality System Regulation, codified at 21 CFR Part 820,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including those issued by DEKRA Certification, B.V., our notified body. DEKRA has issued the following international certifications: Quality Management System ISO13485:2016 for our locations in Santa Clara, California, and Gallarate Italy; Full Quality Assurance Certification for the design and manufacture of iFuse; and a Design Examination certificate for iFuse.</w:t>
      </w:r>
    </w:p>
    <w:p>
      <w:pPr>
        <w:spacing w:after="0" w:line="19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operations ran at suboptimal capacity as a result of decreased iFuse demand from worldwide restrictions on elective procedures due to the COVID-19 pandemic during the second quarter of 2020. Accordingly, in the second quarter of 2020, we expensed certain labor and overhead costs as incurred which impacted our gross profit and gross margin. We saw a more normalized operations capacity during the second half of 2020 as case volumes began to recover. We may experience similar issues in future quarters due to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ind w:firstLine="405"/>
        <w:spacing w:after="0" w:line="257" w:lineRule="auto"/>
        <w:rPr>
          <w:sz w:val="20"/>
          <w:szCs w:val="20"/>
          <w:color w:val="auto"/>
        </w:rPr>
      </w:pPr>
      <w:r>
        <w:rPr>
          <w:rFonts w:ascii="Arial" w:cs="Arial" w:eastAsia="Arial" w:hAnsi="Arial"/>
          <w:sz w:val="18"/>
          <w:szCs w:val="18"/>
          <w:color w:val="auto"/>
        </w:rPr>
        <w:t>Maintaining a sufficient number of skilled employees in each respective department is a key focus of our human capital efforts. Our ability to recruit, develop and retain highly skilled talent is a significant determinant of our success. To facilitate talent attraction, retention, and development, we strive to make SI-BONE an inclusive, diverse, and safe workplace with opportunities for our employees to grow and develop in their careers, supported by strong compensation, benefits, and health and wellness programs, as well as by programs that build connections between our employees and the communities in which they live and work.</w:t>
      </w:r>
    </w:p>
    <w:p>
      <w:pPr>
        <w:spacing w:after="0" w:line="215"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As of December 31, 2020, we had 295 employees, including sales and marketing, product development, general administrative and accounting, both domestically and internationally. As of December 31, 2020, we had a direct field sales organization of 122 in the United States and 20 in Europe. During 2020, our turnover rate was less than 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order to realize our mission and vision, we are committed to actively fostering workforce diversity and an environment of cultural inclusion</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throughout the company. In 2020, we adopted a Diversity and Inclusion Plan, overseen by our Nominating and Corporate Governance Committee. Our program goal is to increase gender and ethnic diversity in our workforce and leadership over three years, while continuing to provide equal employment</w:t>
      </w:r>
    </w:p>
    <w:p>
      <w:pPr>
        <w:jc w:val="both"/>
        <w:spacing w:after="0" w:line="263" w:lineRule="auto"/>
        <w:rPr>
          <w:sz w:val="20"/>
          <w:szCs w:val="20"/>
          <w:color w:val="auto"/>
        </w:rPr>
      </w:pPr>
      <w:r>
        <w:rPr>
          <w:rFonts w:ascii="Arial" w:cs="Arial" w:eastAsia="Arial" w:hAnsi="Arial"/>
          <w:sz w:val="18"/>
          <w:szCs w:val="18"/>
          <w:color w:val="auto"/>
        </w:rPr>
        <w:t>opportunities to all candidates and employees without regard to any protected status. Accordingly, we track gender diversity among our global and U.S. workforce, the percentage of employees above director level who are female, the representation of women and underrepresented communities on our Board of Directors and the diversity of our U.S. workforce.</w:t>
      </w:r>
    </w:p>
    <w:p>
      <w:pPr>
        <w:spacing w:after="0" w:line="211" w:lineRule="exact"/>
        <w:rPr>
          <w:sz w:val="20"/>
          <w:szCs w:val="20"/>
          <w:color w:val="auto"/>
        </w:rPr>
      </w:pPr>
    </w:p>
    <w:p>
      <w:pPr>
        <w:jc w:val="both"/>
        <w:ind w:firstLine="405"/>
        <w:spacing w:after="0" w:line="357" w:lineRule="auto"/>
        <w:rPr>
          <w:sz w:val="20"/>
          <w:szCs w:val="20"/>
          <w:color w:val="auto"/>
        </w:rPr>
      </w:pPr>
      <w:r>
        <w:rPr>
          <w:rFonts w:ascii="Arial" w:cs="Arial" w:eastAsia="Arial" w:hAnsi="Arial"/>
          <w:sz w:val="17"/>
          <w:szCs w:val="17"/>
          <w:color w:val="auto"/>
        </w:rPr>
        <w:t>We aim to maintain a mix of backgrounds, skills and experiences in our board composition to understand and reflect the needs of our diverse stakeholders. Currently, three of our nine board members are women and one of our board members self-identifies as Asian American.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health, safety, and wellness of our employees is a priority in which we have always invested and intend to continue to do. We provide our employees and their families with access to a variety of innovative, flexible, and convenient health and wellness programs. These benefits are intended to provide protection and security, so employees can have peace of mind concerning events that may require time away from work or that may impact their financial well-being. Additionally, we offer programs to help support employee physical and mental health by providing tools and resources to help them improve or maintain their health status, encourage engagement in healthy behaviors, and offer choices where possible so they are customized to meet their needs and the needs of their families.</w:t>
      </w:r>
    </w:p>
    <w:p>
      <w:pPr>
        <w:spacing w:after="0" w:line="21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light of the COVID-19 pandemic, the prioritization of employee health, safety, and wellness took on particular significance in 2020. We implemented significant changes that we determined were in the best interest of our employees, as well as the communities in which we operate, in compliance with government regulations. This includes having the majority of our office-based employees work from home, while implementing additional safety measures for employees continuing critical on-site work or work at customer facilities. A number of employees critical to maintaining our essential operating functions have continued to work from our office in Santa Clara, California. To protect and support our essential team members, we have implemented health and safety measures that include maximizing personal workspaces, adopting shift-based schedules to mitigate contagion risk, providing personal protective equipment (PPE), and instituting mandatory screening before accessing our offices.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9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6"/>
          <w:szCs w:val="16"/>
          <w:color w:val="auto"/>
        </w:rPr>
        <w:t>We provide compensation and benefits programs to help meet the needs of our employees. In addition to base compensation, these programs, which vary by country, include annual bonuses, restricted stock unit awards, an Employee Stock Purchase Plan, 401(k), healthcare and insurance benefits, health</w:t>
      </w:r>
    </w:p>
    <w:p>
      <w:pPr>
        <w:jc w:val="both"/>
        <w:spacing w:after="0" w:line="290" w:lineRule="auto"/>
        <w:rPr>
          <w:sz w:val="20"/>
          <w:szCs w:val="20"/>
          <w:color w:val="auto"/>
        </w:rPr>
      </w:pPr>
      <w:r>
        <w:rPr>
          <w:rFonts w:ascii="Arial" w:cs="Arial" w:eastAsia="Arial" w:hAnsi="Arial"/>
          <w:sz w:val="17"/>
          <w:szCs w:val="17"/>
          <w:color w:val="auto"/>
        </w:rPr>
        <w:t>savings and flexible spending accounts, paid time off, family leave, and flexible work schedules, among many others. As a response to the COVID-19 pandemic, we supported employees with standard merit increases, paid full-time wages to hourly employees when they were not able to access our</w:t>
      </w:r>
    </w:p>
    <w:p>
      <w:pPr>
        <w:jc w:val="both"/>
        <w:spacing w:after="0" w:line="277" w:lineRule="auto"/>
        <w:rPr>
          <w:sz w:val="20"/>
          <w:szCs w:val="20"/>
          <w:color w:val="auto"/>
        </w:rPr>
      </w:pPr>
      <w:r>
        <w:rPr>
          <w:rFonts w:ascii="Arial" w:cs="Arial" w:eastAsia="Arial" w:hAnsi="Arial"/>
          <w:sz w:val="18"/>
          <w:szCs w:val="18"/>
          <w:color w:val="auto"/>
        </w:rPr>
        <w:t>facilities, and guaranteed certain commissions to our salespeople. We did not furlough or terminate any of our employees due to economic concerns arising from COVID-19 in 2020.</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Ensuring fair and equitable pay is integral to our commitment to our employees. Our executive team and Board of Directors strongly support this</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commitment. In 2020, we conducted our first pay equity review with the assistance of an independent consulting firm. The consultant reviewed our employee compensation to determine whether any statistically significant pay differences existed between women and men and between minorities and</w:t>
      </w:r>
    </w:p>
    <w:p>
      <w:pPr>
        <w:spacing w:after="0"/>
        <w:rPr>
          <w:sz w:val="20"/>
          <w:szCs w:val="20"/>
          <w:color w:val="auto"/>
        </w:rPr>
      </w:pPr>
      <w:r>
        <w:rPr>
          <w:rFonts w:ascii="Arial" w:cs="Arial" w:eastAsia="Arial" w:hAnsi="Arial"/>
          <w:sz w:val="18"/>
          <w:szCs w:val="18"/>
          <w:color w:val="auto"/>
        </w:rPr>
        <w:t>non-minorities performing similar job functions. The review provided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information to help us understand whether our compensation structure was appropriate and to identify what improvements can be made. In areas where pay disparities were identified, we conducted further evaluation to determine where adjustments were appropriate.</w:t>
      </w:r>
    </w:p>
    <w:p>
      <w:pPr>
        <w:spacing w:after="0" w:line="2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part of our Diversity and Inclusion Program, we implemented an applicant tracking system in 2020. In addition to automating our recruiting and onboarding processes, the applicant tracking system also helps us determine whether there is a mix of new hire candidates in the system from different genders and ethnicities for open positions.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value our employees and the passion, commitment, and professional depth they provide. To enhance employee retention and job satisfaction, we offer ongoing learning and leadership training opportunities that support growth.</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human resources and sales enablement teams transitioned much of our leadership training from in-person sessions to remote learning with the emergence of COVID-19 in 2020. Our scaled learning platforms of on-demand and virtual classroom learning eliminates travel and allows employees to access development at their convenience.</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robust annual performance review processes for reviewing employees’ performance and pay. To support our managers, we train them on conducting effective performance reviews and making compensation recommendations, which take into consideration market pay data and performance, as well as experience in an employee’s respective role.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Programs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that building connections between our employees, their families, and our communities creates a more meaningful, fulfilling, and enjoyable workplace. Through our engagement programs, our employees can pursue their interests and hobbies, connect to volunteering and giving opportunities, and enjoy unique recreational experiences with family members.</w:t>
      </w:r>
    </w:p>
    <w:p>
      <w:pPr>
        <w:spacing w:after="0" w:line="251" w:lineRule="exact"/>
        <w:rPr>
          <w:sz w:val="20"/>
          <w:szCs w:val="20"/>
          <w:color w:val="auto"/>
        </w:rPr>
      </w:pPr>
    </w:p>
    <w:p>
      <w:pPr>
        <w:jc w:val="both"/>
        <w:ind w:firstLine="405"/>
        <w:spacing w:after="0" w:line="334" w:lineRule="auto"/>
        <w:rPr>
          <w:sz w:val="20"/>
          <w:szCs w:val="20"/>
          <w:color w:val="auto"/>
        </w:rPr>
      </w:pPr>
      <w:r>
        <w:rPr>
          <w:rFonts w:ascii="Arial" w:cs="Arial" w:eastAsia="Arial" w:hAnsi="Arial"/>
          <w:sz w:val="16"/>
          <w:szCs w:val="16"/>
          <w:color w:val="auto"/>
        </w:rPr>
        <w:t>Our employees engage in a variety of activities to support their local communities. We acknowledge that community involvement is important to our employees and we support their interests in the communities in which they live. Prior to COVID-19, we hosted events at our corporate campus, including</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food, clothing, and toy drives. During 2020, we organized employee cash donations to food banks to support the neediest individuals in San Francisco Bay Area communities.</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encourage you to review our ESG Shareholder Letter in the Governance Documents of the Corporate Governance section of our Investor website for more detailed information regarding our human capital programs and initiatives. Nothing on our website, including our ESG Shareholder Letter, shall be deemed part of or incorporated by reference into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qualify as an “emerging growth company” as defined in Section 101 of the Jumpstart Our Business Startups Act of 2012 (“JOBS Act”). We will continue to be an emerging growth company until December 31, 2023, unless one of the following occurs: (i) if our total annual gross revenues are $1.07 billion or more; or (ii) if we issued more than $1.0 billion in non-convertible debt in the past three years; or (iii) if we become a “large accelerated filer,” as defined in Rule 12b-2 of the Exchange Act.</w:t>
      </w:r>
    </w:p>
    <w:p>
      <w:pPr>
        <w:spacing w:after="0" w:line="21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As an emerging growth company under the JOBS Act, we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5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an emerging growth company, we are also exempt from Section 404(b) of the Sarbanes-Oxley Act of 2002 and Section 14A(a) and (b) of the Exchange Act. Section 404(b) of the Sarbanes-Oxley Act of 2002 requires a public company’s auditor to attest to, and report on, management’s assessment of its internal controls. Sections 14A(a) and (b) of the Exchange Act, implemented by Section 951 of the Dodd-Frank Act, require companies to hold shareholder advisory votes on executive compensation and golden parachute compensation. As long as we qualify as an emerging growth company, we will not be required to comply with the requirements of Section 404(b) of the Sarbanes-Oxley Act of 2002 and Section 14A(a) and (b) of the Exchange Act.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Smaller Reporting Company Status</w:t>
      </w:r>
    </w:p>
    <w:p>
      <w:pPr>
        <w:spacing w:after="0" w:line="256" w:lineRule="exact"/>
        <w:rPr>
          <w:sz w:val="20"/>
          <w:szCs w:val="20"/>
          <w:color w:val="auto"/>
        </w:rPr>
      </w:pPr>
    </w:p>
    <w:p>
      <w:pPr>
        <w:jc w:val="both"/>
        <w:ind w:firstLine="405"/>
        <w:spacing w:after="0" w:line="219" w:lineRule="exact"/>
        <w:rPr>
          <w:sz w:val="20"/>
          <w:szCs w:val="20"/>
          <w:color w:val="auto"/>
        </w:rPr>
      </w:pPr>
      <w:r>
        <w:rPr>
          <w:rFonts w:ascii="Arial" w:cs="Arial" w:eastAsia="Arial" w:hAnsi="Arial"/>
          <w:sz w:val="18"/>
          <w:szCs w:val="18"/>
          <w:color w:val="auto"/>
        </w:rPr>
        <w:t>We qualify as a “smaller reporting company” as defined under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 We will continue to qualify as a smaller reporting company if: (i) our public float is less than $250.0 million; or (ii) our annual revenues is less than $100.0 million and our public float is less than $700.0 million. As per guidance, we determine whether we qualify as a smaller reporting company annually as of the last business day of our second fiscal quarter. As a smaller reporting company, we may use the smaller reporting company scaled disclosure accommodations of Regulation S-K and S-X in our filings, including among others:</w:t>
      </w:r>
    </w:p>
    <w:p>
      <w:pPr>
        <w:spacing w:after="0" w:line="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 years of income statements rather than three years as required by Rule 8-02 of Regulation S-X;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two-year management discussions and analysis comparison rather than three-year comparison as required by Item 303 of Regulation S-K;</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requirement to provide selected financial data table required by Item 301 of Regulation S-K;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requirement to provide market risk disclosures required by Item 305 of Regulation S-K;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requirement to provide supplemental financial information required by Item 302 of Regulation S-K; and</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extensive narrative disclosure than required of other reporting companies, particularly in the description of executive compensation as required by Item 402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SI-BONE was founded in 2008 by the main inventor of iFuse, orthopedist Mark A. Reiley, M.D., our President, Chief Executive Officer, and Chairman, Jeffrey W. Dunn, and orthopedic surgeon Leonard Rudolf, M.D. Dr. Reiley previously invented balloon kyphoplasty and founded Kyphon Inc., which was sold to Medtronic plc in 2007. Dr. Reiley also invented the INBONE total ankle replacement system, which was sold to Wright Medical Technology, Inc. in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 xml:space="preserve">We were incorporated in March 2008 in Delaware. Our principal executive offices are located at 471 El Camino Real, Suite 101, Santa Clara, California 95050 and our telephone number is (408) 207-0700. Our website address is </w:t>
      </w:r>
      <w:r>
        <w:rPr>
          <w:rFonts w:ascii="Arial" w:cs="Arial" w:eastAsia="Arial" w:hAnsi="Arial"/>
          <w:sz w:val="18"/>
          <w:szCs w:val="18"/>
          <w:u w:val="single" w:color="auto"/>
          <w:color w:val="auto"/>
        </w:rPr>
        <w:t>www.si-bone.com</w:t>
      </w:r>
      <w:r>
        <w:rPr>
          <w:rFonts w:ascii="Arial" w:cs="Arial" w:eastAsia="Arial" w:hAnsi="Arial"/>
          <w:sz w:val="18"/>
          <w:szCs w:val="18"/>
          <w:color w:val="auto"/>
        </w:rPr>
        <w:t>. We completed our initial public offering in October 2018, and our common stock is listed on the Nasdaq Global Market under the symbol “SIBN.”</w:t>
      </w:r>
    </w:p>
    <w:p>
      <w:pPr>
        <w:spacing w:after="0" w:line="183" w:lineRule="exact"/>
        <w:rPr>
          <w:sz w:val="20"/>
          <w:szCs w:val="20"/>
          <w:color w:val="auto"/>
        </w:rPr>
      </w:pPr>
    </w:p>
    <w:p>
      <w:pPr>
        <w:jc w:val="both"/>
        <w:ind w:firstLine="405"/>
        <w:spacing w:after="0" w:line="329"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660" w:hanging="328"/>
        <w:spacing w:after="0" w:line="261" w:lineRule="auto"/>
        <w:tabs>
          <w:tab w:leader="none" w:pos="65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170" w:lineRule="exact"/>
        <w:rPr>
          <w:rFonts w:ascii="Arial" w:cs="Arial" w:eastAsia="Arial" w:hAnsi="Arial"/>
          <w:sz w:val="18"/>
          <w:szCs w:val="18"/>
          <w:b w:val="1"/>
          <w:bCs w:val="1"/>
          <w:color w:val="auto"/>
        </w:rPr>
      </w:pPr>
    </w:p>
    <w:p>
      <w:pPr>
        <w:jc w:val="both"/>
        <w:ind w:left="660" w:hanging="328"/>
        <w:spacing w:after="0" w:line="248"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Epidemic diseases, or the perception of their effects, or extreme weather events have had and could have (or, in the case of the COVID-19 pandemic, will continue to have during its duration) a material adverse effect on our business, financial condition, results of operations, or cash flows;</w:t>
      </w:r>
    </w:p>
    <w:p>
      <w:pPr>
        <w:spacing w:after="0" w:line="181" w:lineRule="exact"/>
        <w:rPr>
          <w:rFonts w:ascii="Arial" w:cs="Arial" w:eastAsia="Arial" w:hAnsi="Arial"/>
          <w:sz w:val="18"/>
          <w:szCs w:val="18"/>
          <w:b w:val="1"/>
          <w:bCs w:val="1"/>
          <w:i w:val="1"/>
          <w:iCs w:val="1"/>
          <w:color w:val="auto"/>
        </w:rPr>
      </w:pPr>
    </w:p>
    <w:p>
      <w:pPr>
        <w:ind w:left="660" w:hanging="328"/>
        <w:spacing w:after="0" w:line="324" w:lineRule="auto"/>
        <w:tabs>
          <w:tab w:leader="none" w:pos="655"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color w:val="auto"/>
        </w:rPr>
        <w:t>If hospitals, surgeons, and other healthcare providers are unable to obtain and maintain coverage and reimbursement from third-party payors for procedures performed using our products, adoption of our products may be delayed, and it is unlikely that they will gain further acceptance;</w:t>
      </w:r>
    </w:p>
    <w:p>
      <w:pPr>
        <w:spacing w:after="0" w:line="124" w:lineRule="exact"/>
        <w:rPr>
          <w:rFonts w:ascii="Arial" w:cs="Arial" w:eastAsia="Arial" w:hAnsi="Arial"/>
          <w:sz w:val="16"/>
          <w:szCs w:val="16"/>
          <w:b w:val="1"/>
          <w:bCs w:val="1"/>
          <w:i w:val="1"/>
          <w:iCs w:val="1"/>
          <w:color w:val="auto"/>
        </w:rPr>
      </w:pPr>
    </w:p>
    <w:p>
      <w:pPr>
        <w:ind w:left="660" w:hanging="328"/>
        <w:spacing w:after="0" w:line="291" w:lineRule="auto"/>
        <w:tabs>
          <w:tab w:leader="none" w:pos="65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46" w:lineRule="exact"/>
        <w:rPr>
          <w:rFonts w:ascii="Arial" w:cs="Arial" w:eastAsia="Arial" w:hAnsi="Arial"/>
          <w:sz w:val="17"/>
          <w:szCs w:val="17"/>
          <w:b w:val="1"/>
          <w:bCs w:val="1"/>
          <w:i w:val="1"/>
          <w:iCs w:val="1"/>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demonstrate to physicians that iFuse is an attractive alternative to our competitors’ products and that our procedure is an attractive alternative to existing surgical and non-surgical treatments of the sacroiliac joint;</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70"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81" w:lineRule="exact"/>
        <w:rPr>
          <w:rFonts w:ascii="Arial" w:cs="Arial" w:eastAsia="Arial" w:hAnsi="Arial"/>
          <w:sz w:val="18"/>
          <w:szCs w:val="18"/>
          <w:b w:val="1"/>
          <w:bCs w:val="1"/>
          <w:i w:val="1"/>
          <w:iCs w:val="1"/>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70" w:lineRule="exact"/>
        <w:rPr>
          <w:rFonts w:ascii="Arial" w:cs="Arial" w:eastAsia="Arial" w:hAnsi="Arial"/>
          <w:sz w:val="18"/>
          <w:szCs w:val="18"/>
          <w:b w:val="1"/>
          <w:bCs w:val="1"/>
          <w:i w:val="1"/>
          <w:iCs w:val="1"/>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adversely affected;</w:t>
      </w:r>
    </w:p>
    <w:p>
      <w:pPr>
        <w:spacing w:after="0" w:line="170"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color w:val="auto"/>
        </w:rPr>
        <w:t>We currently manufacture and sell a single family of products focused on procedures, the goal of which is to stabilize and fuse the sacroiliac joint. Reliance on a single family of products and single procedure could negatively affect our results of operations and financial condition;</w:t>
      </w:r>
    </w:p>
    <w:p>
      <w:pPr>
        <w:spacing w:after="0" w:line="146" w:lineRule="exact"/>
        <w:rPr>
          <w:rFonts w:ascii="Arial" w:cs="Arial" w:eastAsia="Arial" w:hAnsi="Arial"/>
          <w:sz w:val="17"/>
          <w:szCs w:val="17"/>
          <w:b w:val="1"/>
          <w:bCs w:val="1"/>
          <w:i w:val="1"/>
          <w:iCs w:val="1"/>
          <w:color w:val="auto"/>
        </w:rPr>
      </w:pPr>
    </w:p>
    <w:p>
      <w:pPr>
        <w:ind w:left="660" w:hanging="328"/>
        <w:spacing w:after="0" w:line="261"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70" w:lineRule="exact"/>
        <w:rPr>
          <w:rFonts w:ascii="Arial" w:cs="Arial" w:eastAsia="Arial" w:hAnsi="Arial"/>
          <w:sz w:val="18"/>
          <w:szCs w:val="18"/>
          <w:b w:val="1"/>
          <w:bCs w:val="1"/>
          <w:i w:val="1"/>
          <w:iCs w:val="1"/>
          <w:color w:val="auto"/>
        </w:rPr>
      </w:pPr>
    </w:p>
    <w:p>
      <w:pPr>
        <w:ind w:left="660" w:hanging="328"/>
        <w:spacing w:after="0" w:line="261"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maintain our network of direct sales representatives and third-party distributors, we may not be able to generate anticipated sales;</w:t>
      </w:r>
    </w:p>
    <w:p>
      <w:pPr>
        <w:spacing w:after="0" w:line="170"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We, our suppliers, and our third-party manufacturers are subject to extensive governmental regulation both in the U.S. 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abroad, and failure to comply with applicable requirements could cause our business to suffer;</w:t>
      </w:r>
    </w:p>
    <w:p>
      <w:pPr>
        <w:spacing w:after="0" w:line="212" w:lineRule="exact"/>
        <w:rPr>
          <w:sz w:val="20"/>
          <w:szCs w:val="20"/>
          <w:color w:val="auto"/>
        </w:rPr>
      </w:pPr>
    </w:p>
    <w:p>
      <w:pPr>
        <w:jc w:val="both"/>
        <w:ind w:left="660" w:hanging="328"/>
        <w:spacing w:after="0" w:line="248" w:lineRule="auto"/>
        <w:tabs>
          <w:tab w:leader="none" w:pos="6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and</w:t>
      </w:r>
    </w:p>
    <w:p>
      <w:pPr>
        <w:spacing w:after="0" w:line="181"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r>
        <w:rPr>
          <w:rFonts w:ascii="Arial" w:cs="Arial" w:eastAsia="Arial" w:hAnsi="Arial"/>
          <w:sz w:val="18"/>
          <w:szCs w:val="18"/>
          <w:b w:val="1"/>
          <w:bCs w:val="1"/>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0"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have incurred net losses since our inception in 2008. For the years ended December 31, 2020 and 2019, we had net losses of $43.7 million and $38.4 million, respectively. As of December 31, 2020, we had an accumulated deficit of $239.3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As COVID-19-related restrictions are lifted and as we are able to resume more normalized levels of operations,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180" w:lineRule="exact"/>
        <w:rPr>
          <w:sz w:val="20"/>
          <w:szCs w:val="20"/>
          <w:color w:val="auto"/>
        </w:rPr>
      </w:pPr>
    </w:p>
    <w:p>
      <w:pPr>
        <w:jc w:val="both"/>
        <w:ind w:right="20" w:firstLine="405"/>
        <w:spacing w:after="0" w:line="362" w:lineRule="auto"/>
        <w:rPr>
          <w:sz w:val="20"/>
          <w:szCs w:val="20"/>
          <w:color w:val="auto"/>
        </w:rPr>
      </w:pPr>
      <w:r>
        <w:rPr>
          <w:rFonts w:ascii="Arial" w:cs="Arial" w:eastAsia="Arial" w:hAnsi="Arial"/>
          <w:sz w:val="15"/>
          <w:szCs w:val="15"/>
          <w:b w:val="1"/>
          <w:bCs w:val="1"/>
          <w:i w:val="1"/>
          <w:iCs w:val="1"/>
          <w:color w:val="auto"/>
        </w:rPr>
        <w:t>Epidemic diseases, or the perception of their effects, or extreme weather events have had and could have (or, in the case of the COVID-19 pandemic, will continue to have during its duration) a material adverse effect on our business, financial condition, results of operations, or cash flows.</w:t>
      </w:r>
    </w:p>
    <w:p>
      <w:pPr>
        <w:spacing w:after="0" w:line="10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outbreak of COVID-19 could also negatively affect hospital admission rates and the decision by patients to undergo elective surgery, which could decrease demand for procedures using our iFuse implants and cause other disruptions to our business. Business disruptions could include disruptions or restrictions on our ability to travel or to distribute our products, government orders suspending the performance of elective surgical procedures such as the iFuse procedure,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iFuse implants that are performed and have a material adverse effect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jc w:val="both"/>
        <w:ind w:firstLine="445"/>
        <w:spacing w:after="0" w:line="270" w:lineRule="auto"/>
        <w:rPr>
          <w:sz w:val="20"/>
          <w:szCs w:val="20"/>
          <w:color w:val="auto"/>
        </w:rPr>
      </w:pPr>
      <w:r>
        <w:rPr>
          <w:rFonts w:ascii="Arial" w:cs="Arial" w:eastAsia="Arial" w:hAnsi="Arial"/>
          <w:sz w:val="16"/>
          <w:szCs w:val="16"/>
          <w:color w:val="auto"/>
        </w:rPr>
        <w:t>To date, COVID-19 has had, and we expect will continue to have, an adverse impact on our operations as a result of preventive and precautionary measures that we, other businesses, health systems and governments are taking. Due to these impacts and measures, we have experienced and expect to continue to experience significant and unpredictable reductions in the demand for our products, negatively impacted hospital admission rates and the decision by patients to undergo elective surgery, each of which has decreased and may continue to impact the demand for procedures using our iFuse implants. These developments and effects are expected to continue and may also significantly affect our business across the United States and other countries where COVID-19 has spread and may continue to spread. There are numerous uncertainties associated with this COVID-19 outbreak, including the number of individuals who will become infected, when vaccines or one or more therapies that mitigate the effect of the virus will be widely available, the extent of the protective and preventative measures that have been put in place by both governmental entities and other businesses and those that may be put in place in the future, the effect that testing for COVID-19 and antibodies will enable relaxation of protective measures for a subset of the population, and numerous other uncertainties. We intend to continue to execute on our strategic plans and operational initiatives during the COVID-19 outbreak. However, the aforementioned uncertainties may result in delays or modifications to these plans and initiatives.</w:t>
      </w:r>
    </w:p>
    <w:p>
      <w:pPr>
        <w:spacing w:after="0" w:line="167"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Existing travel restrictions, and the risk that countries may continue to close borders, impose prolonged quarantines, and further restrict travel, limit our ability to reach surgeons with our goal of increasing surgeon activity by educating them to include the sacroiliac joint in their differential diagnosis of lower back pain and to regularly perform the iFuse procedure for patients for whom the procedure is indicated.</w:t>
      </w:r>
    </w:p>
    <w:p>
      <w:pPr>
        <w:spacing w:after="0" w:line="18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increased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existence and further duration of the COVID-19 pandemic may also further exacerbate certain of the risks described below.</w:t>
      </w:r>
    </w:p>
    <w:p>
      <w:pPr>
        <w:spacing w:after="0" w:line="21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If hospitals, surgeons, and other healthcare providers are unable to obtain and maintain coverage and reimbursement from third-party payors for procedures performed using our products, adoption of our products may be delayed, and it is unlikely that they will gain further acceptance.</w:t>
      </w:r>
    </w:p>
    <w:p>
      <w:pPr>
        <w:spacing w:after="0" w:line="124"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8"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Adequate coverage and reimbursement for procedures performed with our products is central to the acceptance of our current and future products. We may be unable to sell our products on a profitable basis if third-party payors deny coverage or reduce their current levels of payment, or if reimbursement levels are insufficient to support use of our products or compensate surgeons for their time spent diagnosing patients and performing procedures using our products. For example, our sales decreased significantly after minimally invasive sacroiliac joint fusion was assigned to a Category III Current Procedural Terminology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9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Many private payors refer to coverage decisions and payment amounts determined by the Centers for Medicare &amp; Medicaid Services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some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jc w:val="both"/>
        <w:ind w:firstLine="405"/>
        <w:spacing w:after="0" w:line="253" w:lineRule="auto"/>
        <w:rPr>
          <w:sz w:val="20"/>
          <w:szCs w:val="20"/>
          <w:color w:val="auto"/>
        </w:rPr>
      </w:pPr>
      <w:r>
        <w:rPr>
          <w:rFonts w:ascii="Arial" w:cs="Arial" w:eastAsia="Arial" w:hAnsi="Arial"/>
          <w:sz w:val="17"/>
          <w:szCs w:val="17"/>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84"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171"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63"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Effective January 1, 2021, the national average Medicare payment to hospital outpatient departments is $15,868 and the Medicare payment to an ambulatory surgery center for a sacroiliac joint fusion is $12,974.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55"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Effective January 1, 2021, the average Medicare payment for the Category I CPT code for minimally invasive SI joint fusion is $888.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63"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jc w:val="both"/>
        <w:ind w:firstLine="445"/>
        <w:spacing w:after="0" w:line="268" w:lineRule="auto"/>
        <w:rPr>
          <w:sz w:val="20"/>
          <w:szCs w:val="20"/>
          <w:color w:val="auto"/>
        </w:rPr>
      </w:pPr>
      <w:r>
        <w:rPr>
          <w:rFonts w:ascii="Arial" w:cs="Arial" w:eastAsia="Arial" w:hAnsi="Arial"/>
          <w:sz w:val="16"/>
          <w:szCs w:val="16"/>
          <w:color w:val="auto"/>
        </w:rPr>
        <w:t>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or collectively, the Affordable Care Act, among other things, reduced and/or limited Medicare reimbursement to certain providers. Legislative changes to the Affordable Care Act remain possible. We expect that the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There have been executive, legislative and judicial challenges to the Affordable Care Act. For example, the United States Supreme Court is currently reviewing the constitutionality of the Affordable Care Act, but it is unclear when a decision will be made. Other federal laws further reduce Medicare’s payments to providers by two percent through 2030. However, COVID-19 relief support legislation suspended the 2% Medicare reductions from May 1, 2020 through March 31, 2021.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2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As of December 31, 2020, 37 of the largest 65 U.S.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7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We may not be able to demonstrate to physicians that iFuse is an attractive alternative to our competitors’ products and that our procedure is an attractive alternative to existing surgical and non-surgical treatments of the sacroiliac joint.</w:t>
      </w:r>
    </w:p>
    <w:p>
      <w:pPr>
        <w:spacing w:after="0" w:line="1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Surgeons, in consultation with their patients, play the primary role in determining the course of treatment and, ultimately, any product that will be used in treatment. In order for us to sell our iFuse system successfully, we must demonstrate to surgeons through education and training that treatment with iFuse is beneficial, safe, and cost-effective for patients as compared to our competitors’ products. If we are not successful in demonstrating the merits of iFuse to surgeons, their use of our products may decline, adversely affecting our revenues and profitability.</w:t>
      </w:r>
    </w:p>
    <w:p>
      <w:pPr>
        <w:spacing w:after="0" w:line="17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As a result, some patients with lower back pain resulting from sacroiliac joint dysfunction have been misdiagnosed.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212" w:lineRule="exact"/>
        <w:rPr>
          <w:sz w:val="20"/>
          <w:szCs w:val="20"/>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jc w:val="both"/>
        <w:ind w:firstLine="445"/>
        <w:spacing w:after="0" w:line="262"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17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demonstrate to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7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Unites States and the EU as well.</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spacing w:after="0" w:line="182"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8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jc w:val="both"/>
        <w:ind w:firstLine="445"/>
        <w:spacing w:after="0" w:line="252"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8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do not engage with PODs. The proliferation of PODs could result in increased pricing pressure on our products or harm our ability to sell our products to physicians who own or are affiliated with those distributorships and therefore choose to use competing products.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Practice trends or other factors, including the COVID-19 pandemic, may cause procedures to shift from the hospital environment to ambulatory surgical centers, or ASCs, where pressure on the prices of our products is generally more acute.</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Because ASC facility fee reimbursement is typically less than facility fee reimbursement for hospitals, we typically experience more pressure on the pricing of our products by ASCs than by hospitals, and the average price for which we sell our products to ASCs is less than the average prices we charge to hospitals. An accelerated shift of procedures using our products to ASCs as a result of the COVID-19 pandemic could adversely impact the average selling prices of our products and our revenues could suffer as a result.</w:t>
      </w:r>
    </w:p>
    <w:p>
      <w:pPr>
        <w:spacing w:after="0" w:line="1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1"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8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The number of competitors that we are aware of marketing sacroiliac joint fusion products in the Unites States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w:t>
      </w:r>
    </w:p>
    <w:p>
      <w:pPr>
        <w:spacing w:after="0" w:line="180"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In the Unites States,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ind w:firstLine="445"/>
        <w:spacing w:after="0" w:line="261" w:lineRule="auto"/>
        <w:rPr>
          <w:sz w:val="20"/>
          <w:szCs w:val="20"/>
          <w:color w:val="auto"/>
        </w:rPr>
      </w:pPr>
      <w:r>
        <w:rPr>
          <w:rFonts w:ascii="Arial" w:cs="Arial" w:eastAsia="Arial" w:hAnsi="Arial"/>
          <w:sz w:val="18"/>
          <w:szCs w:val="18"/>
          <w:color w:val="auto"/>
        </w:rPr>
        <w:t>Some of our competitors are considerably larger than us, or are subsidiaries of larger companies. These competitors may enjoy several competitive advantages over us, including:</w:t>
      </w:r>
    </w:p>
    <w:p>
      <w:pPr>
        <w:spacing w:after="0" w:line="171" w:lineRule="exact"/>
        <w:rPr>
          <w:sz w:val="20"/>
          <w:szCs w:val="20"/>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57" w:lineRule="exact"/>
        <w:rPr>
          <w:rFonts w:ascii="Arial" w:cs="Arial" w:eastAsia="Arial" w:hAnsi="Arial"/>
          <w:sz w:val="18"/>
          <w:szCs w:val="18"/>
          <w:color w:val="auto"/>
        </w:rPr>
      </w:pPr>
    </w:p>
    <w:p>
      <w:pPr>
        <w:ind w:left="900" w:right="20" w:hanging="406"/>
        <w:spacing w:after="0" w:line="261" w:lineRule="auto"/>
        <w:tabs>
          <w:tab w:leader="none" w:pos="7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12"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8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manufacture and sell a single family of products focused on procedures, the goal of which is to stabilize and fuse the sacroiliac joint.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single family of products and single procedure could negatively affect our results of operations and financial condition.</w:t>
      </w:r>
    </w:p>
    <w:p>
      <w:pPr>
        <w:spacing w:after="0" w:line="207"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Substantially all of our revenue comes from the sale of iFuse-3D and iFuse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4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i w:val="1"/>
          <w:iCs w:val="1"/>
          <w:color w:val="auto"/>
        </w:rPr>
        <w:t>If we are unable to maintain our network of direct sales representatives and third-party distributors, we may not be able to generate anticipated sales.</w:t>
      </w:r>
    </w:p>
    <w:p>
      <w:pPr>
        <w:spacing w:after="0" w:line="2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December 31, 2020, our U.S. sales force consisted of 64 territory sales managers and 58 clinical support specialists directly employed by us and 41 third-party distributors. As of December 31, 2020, our international sales force consisted of 20 sales representatives directly employed by us and 31 exclusive third-party distributors, which together have had sales in 35 countries through December 31, 2020. Our operating results are directly dependent upon the sales and marketing efforts of both our direct sales force and of our third-party distributors.</w:t>
      </w:r>
    </w:p>
    <w:p>
      <w:pPr>
        <w:spacing w:after="0" w:line="171"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6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9"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17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212" w:lineRule="exact"/>
        <w:rPr>
          <w:sz w:val="20"/>
          <w:szCs w:val="20"/>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57" w:lineRule="exact"/>
        <w:rPr>
          <w:rFonts w:ascii="Arial" w:cs="Arial" w:eastAsia="Arial" w:hAnsi="Arial"/>
          <w:sz w:val="18"/>
          <w:szCs w:val="18"/>
          <w:color w:val="auto"/>
        </w:rPr>
      </w:pPr>
    </w:p>
    <w:p>
      <w:pPr>
        <w:ind w:left="900" w:right="20" w:hanging="406"/>
        <w:spacing w:after="0" w:line="261" w:lineRule="auto"/>
        <w:tabs>
          <w:tab w:leader="none" w:pos="8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57" w:lineRule="exact"/>
        <w:rPr>
          <w:rFonts w:ascii="Arial" w:cs="Arial" w:eastAsia="Arial" w:hAnsi="Arial"/>
          <w:sz w:val="18"/>
          <w:szCs w:val="18"/>
          <w:color w:val="auto"/>
        </w:rPr>
      </w:pPr>
    </w:p>
    <w:p>
      <w:pPr>
        <w:ind w:left="900" w:hanging="406"/>
        <w:spacing w:after="0" w:line="261" w:lineRule="auto"/>
        <w:tabs>
          <w:tab w:leader="none" w:pos="7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us to temporarily or permanently take our approved product off the market or to conduct other field safety corrective actions;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Unfavorable media reports or other negative publicity concerning both alleged improper methods of tissue recovery from donors and disease transmission from donated tissue could limit widespread acceptance of some of our products.</w:t>
      </w:r>
    </w:p>
    <w:p>
      <w:pPr>
        <w:spacing w:after="0" w:line="171"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For example, the media has reported examples of alleged illegal harvesting of body parts from cadavers and resulting recalls conducted by certain companies selling human tissue-based products affected by the alleged illegal harvesting. These reports and others could have a negative effect on sales of iFuse Bone.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182" w:lineRule="exact"/>
        <w:rPr>
          <w:sz w:val="20"/>
          <w:szCs w:val="20"/>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large-scale epidemics of communicable diseases such as COVID-19;</w:t>
      </w:r>
    </w:p>
    <w:p>
      <w:pPr>
        <w:spacing w:after="0" w:line="157" w:lineRule="exact"/>
        <w:rPr>
          <w:rFonts w:ascii="Arial" w:cs="Arial" w:eastAsia="Arial" w:hAnsi="Arial"/>
          <w:sz w:val="18"/>
          <w:szCs w:val="18"/>
          <w:color w:val="auto"/>
        </w:rPr>
      </w:pPr>
    </w:p>
    <w:p>
      <w:pPr>
        <w:ind w:left="900" w:hanging="406"/>
        <w:spacing w:after="0" w:line="261" w:lineRule="auto"/>
        <w:tabs>
          <w:tab w:leader="none" w:pos="7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116" w:lineRule="exact"/>
        <w:rPr>
          <w:rFonts w:ascii="Arial" w:cs="Arial" w:eastAsia="Arial" w:hAnsi="Arial"/>
          <w:sz w:val="18"/>
          <w:szCs w:val="18"/>
          <w:color w:val="auto"/>
        </w:rPr>
      </w:pPr>
    </w:p>
    <w:p>
      <w:pPr>
        <w:ind w:left="900" w:right="340" w:hanging="406"/>
        <w:spacing w:after="0" w:line="261" w:lineRule="auto"/>
        <w:tabs>
          <w:tab w:leader="none" w:pos="7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or field safety corrective action with respect to such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could be adversely impacted.</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2"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jc w:val="both"/>
        <w:ind w:firstLine="445"/>
        <w:spacing w:after="0" w:line="270" w:lineRule="auto"/>
        <w:rPr>
          <w:sz w:val="20"/>
          <w:szCs w:val="20"/>
          <w:color w:val="auto"/>
        </w:rPr>
      </w:pPr>
      <w:r>
        <w:rPr>
          <w:rFonts w:ascii="Arial" w:cs="Arial" w:eastAsia="Arial" w:hAnsi="Arial"/>
          <w:sz w:val="17"/>
          <w:szCs w:val="17"/>
          <w:color w:val="auto"/>
        </w:rPr>
        <w:t>In addition, future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generally use a small number of suppliers for our instruments and currently rely on RMS for iFuse-3D implants and Orchid for iFuse implants.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such a limited number of suppliers exposes us to risks, including, among other things:</w:t>
      </w:r>
    </w:p>
    <w:p>
      <w:pPr>
        <w:spacing w:after="0" w:line="196" w:lineRule="exact"/>
        <w:rPr>
          <w:sz w:val="20"/>
          <w:szCs w:val="20"/>
          <w:color w:val="auto"/>
        </w:rPr>
      </w:pPr>
    </w:p>
    <w:p>
      <w:pPr>
        <w:ind w:left="900" w:right="20" w:hanging="406"/>
        <w:spacing w:after="0" w:line="261" w:lineRule="auto"/>
        <w:tabs>
          <w:tab w:leader="none" w:pos="8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16" w:lineRule="exact"/>
        <w:rPr>
          <w:rFonts w:ascii="Arial" w:cs="Arial" w:eastAsia="Arial" w:hAnsi="Arial"/>
          <w:sz w:val="18"/>
          <w:szCs w:val="18"/>
          <w:color w:val="auto"/>
        </w:rPr>
      </w:pPr>
    </w:p>
    <w:p>
      <w:pPr>
        <w:ind w:left="900" w:hanging="406"/>
        <w:spacing w:after="0" w:line="291" w:lineRule="auto"/>
        <w:tabs>
          <w:tab w:leader="none" w:pos="86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92" w:lineRule="exact"/>
        <w:rPr>
          <w:rFonts w:ascii="Arial" w:cs="Arial" w:eastAsia="Arial" w:hAnsi="Arial"/>
          <w:sz w:val="17"/>
          <w:szCs w:val="17"/>
          <w:color w:val="auto"/>
        </w:rPr>
      </w:pPr>
    </w:p>
    <w:p>
      <w:pPr>
        <w:ind w:left="900" w:hanging="406"/>
        <w:spacing w:after="0" w:line="261" w:lineRule="auto"/>
        <w:tabs>
          <w:tab w:leader="none" w:pos="7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key component suppliers may not currently be or may not continue to be in compliance with all applicable regulatory requirements;</w:t>
      </w:r>
    </w:p>
    <w:p>
      <w:pPr>
        <w:spacing w:after="0" w:line="180" w:lineRule="exact"/>
        <w:rPr>
          <w:rFonts w:ascii="Arial" w:cs="Arial" w:eastAsia="Arial" w:hAnsi="Arial"/>
          <w:sz w:val="16"/>
          <w:szCs w:val="16"/>
          <w:color w:val="auto"/>
        </w:rPr>
      </w:pPr>
    </w:p>
    <w:p>
      <w:pPr>
        <w:ind w:left="900" w:hanging="406"/>
        <w:spacing w:after="0" w:line="261" w:lineRule="auto"/>
        <w:tabs>
          <w:tab w:leader="none" w:pos="7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116" w:lineRule="exact"/>
        <w:rPr>
          <w:rFonts w:ascii="Arial" w:cs="Arial" w:eastAsia="Arial" w:hAnsi="Arial"/>
          <w:sz w:val="18"/>
          <w:szCs w:val="18"/>
          <w:color w:val="auto"/>
        </w:rPr>
      </w:pPr>
    </w:p>
    <w:p>
      <w:pPr>
        <w:ind w:left="900" w:hanging="406"/>
        <w:spacing w:after="0" w:line="261" w:lineRule="auto"/>
        <w:tabs>
          <w:tab w:leader="none" w:pos="8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116" w:lineRule="exact"/>
        <w:rPr>
          <w:rFonts w:ascii="Arial" w:cs="Arial" w:eastAsia="Arial" w:hAnsi="Arial"/>
          <w:sz w:val="18"/>
          <w:szCs w:val="18"/>
          <w:color w:val="auto"/>
        </w:rPr>
      </w:pPr>
    </w:p>
    <w:p>
      <w:pPr>
        <w:ind w:left="900" w:hanging="406"/>
        <w:spacing w:after="0" w:line="291" w:lineRule="auto"/>
        <w:tabs>
          <w:tab w:leader="none" w:pos="792"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92" w:lineRule="exact"/>
        <w:rPr>
          <w:rFonts w:ascii="Arial" w:cs="Arial" w:eastAsia="Arial" w:hAnsi="Arial"/>
          <w:sz w:val="17"/>
          <w:szCs w:val="17"/>
          <w:color w:val="auto"/>
        </w:rPr>
      </w:pPr>
    </w:p>
    <w:p>
      <w:pPr>
        <w:ind w:left="740" w:hanging="246"/>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180" w:lineRule="exact"/>
        <w:rPr>
          <w:rFonts w:ascii="Arial" w:cs="Arial" w:eastAsia="Arial" w:hAnsi="Arial"/>
          <w:sz w:val="16"/>
          <w:szCs w:val="16"/>
          <w:color w:val="auto"/>
        </w:rPr>
      </w:pPr>
    </w:p>
    <w:p>
      <w:pPr>
        <w:ind w:left="900" w:hanging="406"/>
        <w:spacing w:after="0" w:line="261"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169" w:lineRule="exact"/>
        <w:rPr>
          <w:rFonts w:ascii="Arial" w:cs="Arial" w:eastAsia="Arial" w:hAnsi="Arial"/>
          <w:sz w:val="17"/>
          <w:szCs w:val="17"/>
          <w:color w:val="auto"/>
        </w:rPr>
      </w:pPr>
    </w:p>
    <w:p>
      <w:pPr>
        <w:ind w:left="900" w:hanging="406"/>
        <w:spacing w:after="0" w:line="261" w:lineRule="auto"/>
        <w:tabs>
          <w:tab w:leader="none" w:pos="8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116" w:lineRule="exact"/>
        <w:rPr>
          <w:rFonts w:ascii="Arial" w:cs="Arial" w:eastAsia="Arial" w:hAnsi="Arial"/>
          <w:sz w:val="18"/>
          <w:szCs w:val="18"/>
          <w:color w:val="auto"/>
        </w:rPr>
      </w:pPr>
    </w:p>
    <w:p>
      <w:pPr>
        <w:ind w:left="900" w:hanging="406"/>
        <w:spacing w:after="0" w:line="261" w:lineRule="auto"/>
        <w:tabs>
          <w:tab w:leader="none" w:pos="7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jc w:val="both"/>
        <w:ind w:firstLine="445"/>
        <w:spacing w:after="0" w:line="270"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6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5"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6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82"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12" w:lineRule="exact"/>
        <w:rPr>
          <w:sz w:val="20"/>
          <w:szCs w:val="20"/>
          <w:color w:val="auto"/>
        </w:rPr>
      </w:pPr>
    </w:p>
    <w:p>
      <w:pPr>
        <w:ind w:firstLine="445"/>
        <w:spacing w:after="0" w:line="324" w:lineRule="auto"/>
        <w:rPr>
          <w:sz w:val="20"/>
          <w:szCs w:val="20"/>
          <w:color w:val="auto"/>
        </w:rPr>
      </w:pPr>
      <w:r>
        <w:rPr>
          <w:rFonts w:ascii="Arial" w:cs="Arial" w:eastAsia="Arial" w:hAnsi="Arial"/>
          <w:sz w:val="16"/>
          <w:szCs w:val="16"/>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23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In order to increase our market share in the sacroiliac joint fusion and related markets,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74"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57" w:lineRule="exact"/>
        <w:rPr>
          <w:rFonts w:ascii="Arial" w:cs="Arial" w:eastAsia="Arial" w:hAnsi="Arial"/>
          <w:sz w:val="18"/>
          <w:szCs w:val="18"/>
          <w:color w:val="auto"/>
        </w:rPr>
      </w:pPr>
    </w:p>
    <w:p>
      <w:pPr>
        <w:ind w:left="900" w:hanging="406"/>
        <w:spacing w:after="0" w:line="261" w:lineRule="auto"/>
        <w:tabs>
          <w:tab w:leader="none" w:pos="8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223"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55"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jc w:val="both"/>
        <w:ind w:firstLine="445"/>
        <w:spacing w:after="0" w:line="252"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international business effectively.</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212"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57" w:lineRule="exact"/>
        <w:rPr>
          <w:rFonts w:ascii="Arial" w:cs="Arial" w:eastAsia="Arial" w:hAnsi="Arial"/>
          <w:sz w:val="18"/>
          <w:szCs w:val="18"/>
          <w:color w:val="auto"/>
        </w:rPr>
      </w:pPr>
    </w:p>
    <w:p>
      <w:pPr>
        <w:ind w:left="900" w:hanging="406"/>
        <w:spacing w:after="0" w:line="261" w:lineRule="auto"/>
        <w:tabs>
          <w:tab w:leader="none" w:pos="7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12"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7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171"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212" w:lineRule="exact"/>
        <w:rPr>
          <w:sz w:val="20"/>
          <w:szCs w:val="20"/>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18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0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82"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6" w:name="page47"/>
    <w:bookmarkEnd w:id="46"/>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1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8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8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term loan contains covenants that may restrict our business and financing activities.</w:t>
      </w:r>
    </w:p>
    <w:p>
      <w:pPr>
        <w:spacing w:after="0" w:line="225"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On May 29, 2020, we entered into a Loan and Security Agreement with Solar Capital Ltd. (“Solar”), pursuant to which we borrowed $40.0 million pursuant to a term loan (the “Solar Term Loan”). The Loan and Security Agreement with Solar contains customary events of default, including bankruptcy, the failure to make payments when due, the occurrence of a material impairment on the lenders’ security interest over the collateral, a material adverse change, the occurrence of a default under certain other indebtedness of us or our subsidiaries, the rendering of certain types of judgments against us or our subsidiaries, the revocation of certain government approvals, violation of covenants, and incorrectness of representations and warranties in any material respect. The Loan and Security Agreement with Solar also contains certain restrictive covenants that limit our ability to incur additional indebtedness and liens, merge with other companies or consummate certain changes of control, acquire other companies, engage in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7" w:name="page48"/>
    <w:bookmarkEnd w:id="47"/>
    <w:p>
      <w:pPr>
        <w:jc w:val="both"/>
        <w:spacing w:after="0" w:line="261" w:lineRule="auto"/>
        <w:rPr>
          <w:sz w:val="20"/>
          <w:szCs w:val="20"/>
          <w:color w:val="auto"/>
        </w:rPr>
      </w:pPr>
      <w:r>
        <w:rPr>
          <w:rFonts w:ascii="Arial" w:cs="Arial" w:eastAsia="Arial" w:hAnsi="Arial"/>
          <w:sz w:val="18"/>
          <w:szCs w:val="18"/>
          <w:color w:val="auto"/>
        </w:rPr>
        <w:t>new lines of business, make certain investments, pay dividends, transfer or dispose of assets, amend certain material agreements or enter into various specified transactions, as well as financial reporting requirements.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The Solar Term Loan is secured by substantially all of our assets. The Loan and Security Agreement with Solar also contains a financial covenant related to our liquidity based on our trailing twelve-month net product revenues. We are required to hold at least $15.0 million in cash and cash equivalents so long as trailing twelve-month net product revenues are less than $75.0 million and at least $7.5 million in cash and cash equivalents so long as trailing twelve-month net product revenues are greater than or equal to $75.0 million but less than $100.0 million (collectively “Minimum Liquidity Requirements”). We are not subject to a Minimum Liquidity Requirement when trailing twelve-month net product revenues exceeds $100.0 million.</w:t>
      </w:r>
    </w:p>
    <w:p>
      <w:pPr>
        <w:spacing w:after="0" w:line="159"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covenants in the Solar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Due to uncertainties surrounding the impact of COVID-19 pandemic, there is a substantial risk that we may not meet the minimum trailing 12-month product revenue in future period. If not waived, future defaults could cause all of the outstanding indebtedness under our Loan and Security Agreement to become immediately due and payable.</w:t>
      </w:r>
    </w:p>
    <w:p>
      <w:pPr>
        <w:spacing w:after="0" w:line="18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47"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57" w:lineRule="exact"/>
        <w:rPr>
          <w:rFonts w:ascii="Arial" w:cs="Arial" w:eastAsia="Arial" w:hAnsi="Arial"/>
          <w:sz w:val="18"/>
          <w:szCs w:val="18"/>
          <w:color w:val="auto"/>
        </w:rPr>
      </w:pPr>
    </w:p>
    <w:p>
      <w:pPr>
        <w:ind w:left="900" w:hanging="406"/>
        <w:spacing w:after="0" w:line="261" w:lineRule="auto"/>
        <w:tabs>
          <w:tab w:leader="none" w:pos="8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8" w:name="page49"/>
    <w:bookmarkEnd w:id="48"/>
    <w:p>
      <w:pPr>
        <w:jc w:val="both"/>
        <w:ind w:firstLine="445"/>
        <w:spacing w:after="0" w:line="255"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12"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2"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8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the EEA, our medical devices must currently comply with the Essential Requirements set forth in Annex I to the EU Medical Devices Directive (Council Directive 93/42/EEC). Compliance with these requirements is a prerequisite to being able to affix the CE mark to our medical devices, without which they cannot be marketed or sold in the EEA. Compliance with the Essential Requirements is confirmed by a Notified Body, a third party organization designated by the competent authorities of a EEA country to conduct conformity assessments.</w:t>
      </w:r>
    </w:p>
    <w:p>
      <w:pPr>
        <w:spacing w:after="0" w:line="188"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9" w:name="page50"/>
    <w:bookmarkEnd w:id="49"/>
    <w:p>
      <w:pPr>
        <w:jc w:val="both"/>
        <w:ind w:firstLine="405"/>
        <w:spacing w:after="0" w:line="277" w:lineRule="auto"/>
        <w:rPr>
          <w:sz w:val="20"/>
          <w:szCs w:val="20"/>
          <w:color w:val="auto"/>
        </w:rPr>
      </w:pPr>
      <w:r>
        <w:rPr>
          <w:rFonts w:ascii="Arial" w:cs="Arial" w:eastAsia="Arial" w:hAnsi="Arial"/>
          <w:sz w:val="18"/>
          <w:szCs w:val="18"/>
          <w:color w:val="auto"/>
        </w:rPr>
        <w:t>In May 2017, the EU Medical Device Regulation, (Regulation 2017/745) was adopted, as described in “Item 1. Business - Regulation - International Regulation of Our Products.”</w:t>
      </w:r>
    </w:p>
    <w:p>
      <w:pPr>
        <w:spacing w:after="0" w:line="170"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212" w:lineRule="exact"/>
        <w:rPr>
          <w:sz w:val="20"/>
          <w:szCs w:val="20"/>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169" w:lineRule="exact"/>
        <w:rPr>
          <w:rFonts w:ascii="Arial" w:cs="Arial" w:eastAsia="Arial" w:hAnsi="Arial"/>
          <w:sz w:val="17"/>
          <w:szCs w:val="17"/>
          <w:color w:val="auto"/>
        </w:rPr>
      </w:pPr>
    </w:p>
    <w:p>
      <w:pPr>
        <w:ind w:left="900" w:hanging="406"/>
        <w:spacing w:after="0" w:line="261" w:lineRule="auto"/>
        <w:tabs>
          <w:tab w:leader="none" w:pos="7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spacing w:after="0" w:line="18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Healthcare providers, distributors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6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0" w:name="page51"/>
    <w:bookmarkEnd w:id="50"/>
    <w:p>
      <w:pPr>
        <w:jc w:val="both"/>
        <w:ind w:firstLine="445"/>
        <w:spacing w:after="0" w:line="253" w:lineRule="auto"/>
        <w:rPr>
          <w:sz w:val="20"/>
          <w:szCs w:val="20"/>
          <w:color w:val="auto"/>
        </w:rPr>
      </w:pPr>
      <w:r>
        <w:rPr>
          <w:rFonts w:ascii="Arial" w:cs="Arial" w:eastAsia="Arial" w:hAnsi="Arial"/>
          <w:sz w:val="17"/>
          <w:szCs w:val="17"/>
          <w:color w:val="auto"/>
        </w:rPr>
        <w:t>Certain states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84"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188"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6"/>
          <w:szCs w:val="16"/>
          <w:color w:val="auto"/>
        </w:rPr>
        <w:t>We have entered into consulting agreements and royalty agreements with surgeons,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69"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7"/>
          <w:szCs w:val="17"/>
          <w:color w:val="auto"/>
        </w:rPr>
        <w:t>In certain cases, federal, state and foreign authorities pursue actions for false claims on the basis that manufacturers and distributors are promoting unapproved, or “off-label” uses of their products. Pursuant to FDA regulations, we can only market our products for cleared or approved uses. Although surgeons are permitted, in their independent medical judgement,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state and foreign authorities also pursue actions for false claims based upon improper billing and coding advice or recommendations, as well as decisions related to the medical necessity of procedures, including the site-of-service where procedures are performed, which could result in significant penalties.</w:t>
      </w:r>
    </w:p>
    <w:p>
      <w:pPr>
        <w:spacing w:after="0" w:line="184" w:lineRule="exact"/>
        <w:rPr>
          <w:sz w:val="20"/>
          <w:szCs w:val="20"/>
          <w:color w:val="auto"/>
        </w:rPr>
      </w:pPr>
    </w:p>
    <w:p>
      <w:pPr>
        <w:jc w:val="both"/>
        <w:ind w:firstLine="450"/>
        <w:spacing w:after="0" w:line="252" w:lineRule="auto"/>
        <w:rPr>
          <w:sz w:val="20"/>
          <w:szCs w:val="20"/>
          <w:color w:val="auto"/>
        </w:rPr>
      </w:pPr>
      <w:r>
        <w:rPr>
          <w:rFonts w:ascii="Arial" w:cs="Arial" w:eastAsia="Arial" w:hAnsi="Arial"/>
          <w:sz w:val="17"/>
          <w:szCs w:val="17"/>
          <w:color w:val="auto"/>
        </w:rPr>
        <w:t>Various state and federal regulatory and enforcement agencies continue actively to investigate violations of health care laws and regulations, and the U.S. Congress continues to strengthen the arsenal of enforcement tools. The Bipartisan Budget Act of 2018 increased the criminal and civil penalties that can be imposed for violating certain federal health care laws, including the federal Anti- Kickback Statute.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86"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6"/>
          <w:szCs w:val="16"/>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2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w:t>
      </w:r>
    </w:p>
    <w:p>
      <w:pPr>
        <w:spacing w:after="0" w:line="19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June 2018, California enacted the California Consumer Privacy Act (“CCPA”). The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 per consumer per data breach. 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191"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1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6"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jc w:val="both"/>
        <w:spacing w:after="0" w:line="248"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8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47" w:lineRule="exact"/>
        <w:rPr>
          <w:sz w:val="20"/>
          <w:szCs w:val="20"/>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180" w:lineRule="exact"/>
        <w:rPr>
          <w:rFonts w:ascii="Arial" w:cs="Arial" w:eastAsia="Arial" w:hAnsi="Arial"/>
          <w:sz w:val="16"/>
          <w:szCs w:val="16"/>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3" w:name="page54"/>
    <w:bookmarkEnd w:id="53"/>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7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18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4" w:name="page55"/>
    <w:bookmarkEnd w:id="54"/>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8"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the EEA, we must comply with the EU Medical Device Vigilance System. Under this system, incidents must be reported to the relevant authorities of the Member States of the EEA, and manufacturers are required to take Field Safety Corrective Actions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 The entry into application in May 2021 of the Medical Device Regulation will increase the obligation that we must fulfill in relation to vigilance and post-market surveillance obligations.</w:t>
      </w:r>
    </w:p>
    <w:p>
      <w:pPr>
        <w:spacing w:after="0" w:line="19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8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80"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5" w:name="page56"/>
    <w:bookmarkEnd w:id="55"/>
    <w:p>
      <w:pPr>
        <w:jc w:val="both"/>
        <w:spacing w:after="0" w:line="324"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2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18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6"/>
          <w:szCs w:val="16"/>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159"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2"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8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212"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We currently market our products in a number of jurisdictions internationally. International jurisdictions require separate regulatory approvals and compliance with numerous and varying regulatory requirements.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88"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6" w:name="page57"/>
    <w:bookmarkEnd w:id="56"/>
    <w:p>
      <w:pPr>
        <w:jc w:val="both"/>
        <w:spacing w:after="0" w:line="259" w:lineRule="auto"/>
        <w:rPr>
          <w:sz w:val="20"/>
          <w:szCs w:val="20"/>
          <w:color w:val="auto"/>
        </w:rPr>
      </w:pPr>
      <w:r>
        <w:rPr>
          <w:rFonts w:ascii="Arial" w:cs="Arial" w:eastAsia="Arial" w:hAnsi="Arial"/>
          <w:sz w:val="17"/>
          <w:szCs w:val="17"/>
          <w:color w:val="auto"/>
        </w:rPr>
        <w:t>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88"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Initiating and completing clinical trials necessary to support a De Novo 510(k) or PMA application for our future products and additional safety and effectiveness data beyond that typically required for a 510(k) clearance for iFuse, as well as other possible future product candidates, and to support a conformity assessment procedure to support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189"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223"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7" w:name="page58"/>
    <w:bookmarkEnd w:id="57"/>
    <w:p>
      <w:pPr>
        <w:jc w:val="both"/>
        <w:spacing w:after="0" w:line="324"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2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will enter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89"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9"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Another example can be found in the EEA. The Medical Devices Regulation became effective on May 25, 2017. Following its entry into application on May 26, 2021, the Medical Devices Regulation will introduce substantial changes to the obligations with which medical device manufacturers must comply in the EEA. High risk medical devices will be subject to additional scrutiny during the conformity assessment procedure. Specifically, the Medical Devices Regulation repeals and replaces the EU Medical Devices Directive. Unlike directives, which must be implemented into the national laws of the EEA Member States, regulations are directly applicable, i.e., without the need for adoption of national legislation in EEA Member States implementing them. The purpose of regulations is to eliminate current differences in regulation of medical devices among EEA Member States. The Medical Devices Regulation, among other things, is intended to establish a uniform, transparent, predictable and sustainable regulatory framework across the EEA for</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medical devices to ensure a high level of safety and health while supporting innovation. These regulations will substantially impact medical devices manufacturers. Examples of the changes which will be introduced by these regulations include the following:</w:t>
      </w:r>
    </w:p>
    <w:p>
      <w:pPr>
        <w:spacing w:after="0" w:line="158" w:lineRule="exact"/>
        <w:rPr>
          <w:sz w:val="20"/>
          <w:szCs w:val="20"/>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57" w:lineRule="exact"/>
        <w:rPr>
          <w:rFonts w:ascii="Arial" w:cs="Arial" w:eastAsia="Arial" w:hAnsi="Arial"/>
          <w:sz w:val="18"/>
          <w:szCs w:val="18"/>
          <w:color w:val="auto"/>
        </w:rPr>
      </w:pPr>
    </w:p>
    <w:p>
      <w:pPr>
        <w:ind w:left="900" w:hanging="406"/>
        <w:spacing w:after="0" w:line="261" w:lineRule="auto"/>
        <w:tabs>
          <w:tab w:leader="none" w:pos="8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57" w:lineRule="exact"/>
        <w:rPr>
          <w:rFonts w:ascii="Arial" w:cs="Arial" w:eastAsia="Arial" w:hAnsi="Arial"/>
          <w:sz w:val="18"/>
          <w:szCs w:val="18"/>
          <w:color w:val="auto"/>
        </w:rPr>
      </w:pPr>
    </w:p>
    <w:p>
      <w:pPr>
        <w:jc w:val="both"/>
        <w:ind w:left="900" w:hanging="406"/>
        <w:spacing w:after="0" w:line="248" w:lineRule="auto"/>
        <w:tabs>
          <w:tab w:leader="none" w:pos="8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The Medical Device Regulation substantially augments the provisions of the Medical Device Directive governing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8" w:name="page59"/>
    <w:bookmarkEnd w:id="58"/>
    <w:p>
      <w:pPr>
        <w:jc w:val="both"/>
        <w:ind w:firstLine="445"/>
        <w:spacing w:after="0" w:line="261" w:lineRule="auto"/>
        <w:rPr>
          <w:sz w:val="20"/>
          <w:szCs w:val="20"/>
          <w:color w:val="auto"/>
        </w:rPr>
      </w:pPr>
      <w:r>
        <w:rPr>
          <w:rFonts w:ascii="Arial" w:cs="Arial" w:eastAsia="Arial" w:hAnsi="Arial"/>
          <w:sz w:val="17"/>
          <w:szCs w:val="17"/>
          <w:color w:val="auto"/>
        </w:rPr>
        <w:t>Transition from the regulation of our products under the current Medical Device Directive, and implementing legislation in each EU Member State, to regulation under the Medical Devices Regulation may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1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8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22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 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or could be subject to additional regulations and requirements.</w:t>
      </w:r>
    </w:p>
    <w:p>
      <w:pPr>
        <w:spacing w:after="0" w:line="2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spacing w:after="0" w:line="186"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In addition, procurement of certain human organs and tissue for transplantation is subject to the National Organ Transplant Act, or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 for processing. We include in our pricing structure amounts paid to tissue banks to reimburse them for their expenses associated with the recovery and transportation of the tissue, in addition to certain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9" w:name="page60"/>
    <w:bookmarkEnd w:id="59"/>
    <w:p>
      <w:pPr>
        <w:jc w:val="both"/>
        <w:spacing w:after="0" w:line="241" w:lineRule="auto"/>
        <w:rPr>
          <w:sz w:val="20"/>
          <w:szCs w:val="20"/>
          <w:color w:val="auto"/>
        </w:rPr>
      </w:pPr>
      <w:r>
        <w:rPr>
          <w:rFonts w:ascii="Arial" w:cs="Arial" w:eastAsia="Arial" w:hAnsi="Arial"/>
          <w:sz w:val="18"/>
          <w:szCs w:val="18"/>
          <w:color w:val="auto"/>
        </w:rPr>
        <w:t>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8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UK’s withdrawal from the EU and uncertainty regarding tariffs affecting U.S. imports and exports may have a negative effect on global economic conditions, financial markets and our business.</w:t>
      </w:r>
    </w:p>
    <w:p>
      <w:pPr>
        <w:spacing w:after="0" w:line="171"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8"/>
          <w:szCs w:val="18"/>
          <w:color w:val="auto"/>
        </w:rPr>
        <w:t>On January 31, 2020, the UK withdrew from the EU. The UK’s withdrawal from the EU is commonly referred to as Brexit. From that date until December 2020 the UK and the EU negotiated an agreement as to the future customs and trading relationship between the UK and the EU; however, as this agreement was reached in December 2020, it is unclear whether the provisions set forth in the agreement will work as expected and how well the relationship between the UK and the EU will continue in practical terms. Brexit has created significant uncertainty concerning the future relationship between the UK and the EU. In light of the fact that a significant portion of the regulatory framework in the UK is derived from EU laws, the real world effects of Brexit under the new agreement could materially impact the regulatory regime with respect to the development, manufacture, importation, approval and commercialization of our product in the UK or the EU. Any changes in our manufacturing or commercialization activities as a result of Brexit, could increase our costs and otherwise adversely affect our business. In addition, currency exchange rates for the British Pound and the euro with respect to each other and to the U.S. dollar have already been, and may continue to be, negatively affected by Brexit, which could cause volatility in our financial results.</w:t>
      </w:r>
    </w:p>
    <w:p>
      <w:pPr>
        <w:spacing w:after="0" w:line="18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6"/>
          <w:szCs w:val="16"/>
          <w:color w:val="auto"/>
        </w:rPr>
        <w:t>We do not know to what extent, or when, the UK’s withdrawal from the EU or any other future changes to membership in the EU will impact our business. The UK could lose the benefits of global trade agreements negotiated by the EU on behalf of its members, possibly resulting in increased trade</w:t>
      </w:r>
    </w:p>
    <w:p>
      <w:pPr>
        <w:jc w:val="both"/>
        <w:spacing w:after="0" w:line="268" w:lineRule="auto"/>
        <w:rPr>
          <w:sz w:val="20"/>
          <w:szCs w:val="20"/>
          <w:color w:val="auto"/>
        </w:rPr>
      </w:pPr>
      <w:r>
        <w:rPr>
          <w:rFonts w:ascii="Arial" w:cs="Arial" w:eastAsia="Arial" w:hAnsi="Arial"/>
          <w:sz w:val="18"/>
          <w:szCs w:val="18"/>
          <w:color w:val="auto"/>
        </w:rPr>
        <w:t>barriers, which could make doing business in the UK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4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 disclosure agreements and other methods, to protect our proprietary technologies and know-how. As of December 31, 2020, we owned 40 issued U.S. patents and had 29 pending U.S. patent applications, and we owned 14 issued foreign patents and had 6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October 2031.</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As of December 31, 2020, we have 13 registered trademarks in the U.S. and have filed for 16 more. We have sought protection for at least 2 of these trademarks in 60 countries including the 27 European member countries of the Madrid Protocol.</w:t>
      </w:r>
    </w:p>
    <w:p>
      <w:pPr>
        <w:spacing w:after="0" w:line="17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0" w:name="page61"/>
    <w:bookmarkEnd w:id="60"/>
    <w:p>
      <w:pPr>
        <w:jc w:val="both"/>
        <w:ind w:firstLine="445"/>
        <w:spacing w:after="0"/>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8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81"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3"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8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2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1" w:name="page62"/>
    <w:bookmarkEnd w:id="61"/>
    <w:p>
      <w:pPr>
        <w:jc w:val="both"/>
        <w:spacing w:after="0" w:line="362"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0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83"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82" w:lineRule="exact"/>
        <w:rPr>
          <w:sz w:val="20"/>
          <w:szCs w:val="20"/>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57" w:lineRule="exact"/>
        <w:rPr>
          <w:rFonts w:ascii="Arial" w:cs="Arial" w:eastAsia="Arial" w:hAnsi="Arial"/>
          <w:sz w:val="18"/>
          <w:szCs w:val="18"/>
          <w:color w:val="auto"/>
        </w:rPr>
      </w:pPr>
    </w:p>
    <w:p>
      <w:pPr>
        <w:ind w:left="900" w:hanging="406"/>
        <w:spacing w:after="0" w:line="261" w:lineRule="auto"/>
        <w:tabs>
          <w:tab w:leader="none" w:pos="8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57" w:lineRule="exact"/>
        <w:rPr>
          <w:rFonts w:ascii="Arial" w:cs="Arial" w:eastAsia="Arial" w:hAnsi="Arial"/>
          <w:sz w:val="18"/>
          <w:szCs w:val="18"/>
          <w:color w:val="auto"/>
        </w:rPr>
      </w:pPr>
    </w:p>
    <w:p>
      <w:pPr>
        <w:ind w:left="900" w:hanging="406"/>
        <w:spacing w:after="0" w:line="261" w:lineRule="auto"/>
        <w:tabs>
          <w:tab w:leader="none" w:pos="7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116"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2" w:name="page63"/>
    <w:bookmarkEnd w:id="62"/>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1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23"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71" w:lineRule="exact"/>
        <w:rPr>
          <w:sz w:val="20"/>
          <w:szCs w:val="20"/>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57" w:lineRule="exact"/>
        <w:rPr>
          <w:rFonts w:ascii="Arial" w:cs="Arial" w:eastAsia="Arial" w:hAnsi="Arial"/>
          <w:sz w:val="18"/>
          <w:szCs w:val="18"/>
          <w:color w:val="auto"/>
        </w:rPr>
      </w:pPr>
    </w:p>
    <w:p>
      <w:pPr>
        <w:ind w:left="900" w:right="20" w:hanging="406"/>
        <w:spacing w:after="0" w:line="261" w:lineRule="auto"/>
        <w:tabs>
          <w:tab w:leader="none" w:pos="8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116"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57" w:lineRule="exact"/>
        <w:rPr>
          <w:rFonts w:ascii="Arial" w:cs="Arial" w:eastAsia="Arial" w:hAnsi="Arial"/>
          <w:sz w:val="18"/>
          <w:szCs w:val="18"/>
          <w:color w:val="auto"/>
        </w:rPr>
      </w:pPr>
    </w:p>
    <w:p>
      <w:pPr>
        <w:ind w:left="900" w:hanging="40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12"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color w:val="auto"/>
        </w:rPr>
        <w:t>Some of the products we may seek to develop and introduce in the future will require FDA clearance or approval before commercialization in the U.S., and commercialization of such products outside of the U.S. would likely require additional regulatory</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3" w:name="page64"/>
    <w:bookmarkEnd w:id="63"/>
    <w:p>
      <w:pPr>
        <w:jc w:val="both"/>
        <w:spacing w:after="0"/>
        <w:rPr>
          <w:sz w:val="20"/>
          <w:szCs w:val="20"/>
          <w:color w:val="auto"/>
        </w:rPr>
      </w:pPr>
      <w:r>
        <w:rPr>
          <w:rFonts w:ascii="Arial" w:cs="Arial" w:eastAsia="Arial" w:hAnsi="Arial"/>
          <w:sz w:val="18"/>
          <w:szCs w:val="18"/>
          <w:color w:val="auto"/>
        </w:rPr>
        <w:t>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net operating loss carryforwards to reduce our income taxes.</w:t>
      </w:r>
    </w:p>
    <w:p>
      <w:pPr>
        <w:spacing w:after="0" w:line="22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As of December 31, 2020, we had net operating loss (“NOL”) carryforwards of $200.5 million and $165.0 million available to reduce future taxable income, if any, for U.S. federal income tax and state income tax purposes, respectively. If not utilized, our federal and state NOL carryforwards begin to expire in 2028 and 2021,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by legislation enacted in 2020, unused U.S. federal NOLs generated in tax years beginning after December 31, 2017</w:t>
      </w:r>
      <w:r>
        <w:rPr>
          <w:rFonts w:ascii="Arial" w:cs="Arial" w:eastAsia="Arial" w:hAnsi="Arial"/>
          <w:sz w:val="20"/>
          <w:szCs w:val="20"/>
          <w:color w:val="auto"/>
        </w:rPr>
        <w:t>,</w:t>
      </w:r>
      <w:r>
        <w:rPr>
          <w:rFonts w:ascii="Arial" w:cs="Arial" w:eastAsia="Arial" w:hAnsi="Arial"/>
          <w:sz w:val="17"/>
          <w:szCs w:val="17"/>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w:t>
      </w:r>
    </w:p>
    <w:p>
      <w:pPr>
        <w:spacing w:after="0" w:line="179"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Given that we expect to be at a loss position in the current year, the new legislation will not impact our current year provision. We will continue to monitor the possible California NOLs and credit limitation in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64" w:lineRule="exact"/>
        <w:rPr>
          <w:sz w:val="20"/>
          <w:szCs w:val="20"/>
          <w:color w:val="auto"/>
        </w:rPr>
      </w:pPr>
    </w:p>
    <w:p>
      <w:pPr>
        <w:ind w:left="900" w:right="20" w:hanging="406"/>
        <w:spacing w:after="0" w:line="261" w:lineRule="auto"/>
        <w:tabs>
          <w:tab w:leader="none" w:pos="8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900" w:hanging="406"/>
        <w:spacing w:after="0" w:line="291" w:lineRule="auto"/>
        <w:tabs>
          <w:tab w:leader="none" w:pos="82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92" w:lineRule="exact"/>
        <w:rPr>
          <w:rFonts w:ascii="Arial" w:cs="Arial" w:eastAsia="Arial" w:hAnsi="Arial"/>
          <w:sz w:val="17"/>
          <w:szCs w:val="17"/>
          <w:color w:val="auto"/>
        </w:rPr>
      </w:pPr>
    </w:p>
    <w:p>
      <w:pPr>
        <w:ind w:left="900" w:right="20" w:hanging="406"/>
        <w:spacing w:after="0" w:line="291" w:lineRule="auto"/>
        <w:tabs>
          <w:tab w:leader="none" w:pos="84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92" w:lineRule="exact"/>
        <w:rPr>
          <w:rFonts w:ascii="Arial" w:cs="Arial" w:eastAsia="Arial" w:hAnsi="Arial"/>
          <w:sz w:val="17"/>
          <w:szCs w:val="17"/>
          <w:color w:val="auto"/>
        </w:rPr>
      </w:pPr>
    </w:p>
    <w:p>
      <w:pPr>
        <w:ind w:left="900" w:hanging="406"/>
        <w:spacing w:after="0" w:line="261" w:lineRule="auto"/>
        <w:tabs>
          <w:tab w:leader="none" w:pos="8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900" w:right="20" w:hanging="406"/>
        <w:spacing w:after="0" w:line="248" w:lineRule="auto"/>
        <w:tabs>
          <w:tab w:leader="none" w:pos="7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27" w:lineRule="exact"/>
        <w:rPr>
          <w:rFonts w:ascii="Arial" w:cs="Arial" w:eastAsia="Arial" w:hAnsi="Arial"/>
          <w:sz w:val="18"/>
          <w:szCs w:val="18"/>
          <w:color w:val="auto"/>
        </w:rPr>
      </w:pPr>
    </w:p>
    <w:p>
      <w:pPr>
        <w:ind w:left="900" w:hanging="406"/>
        <w:spacing w:after="0" w:line="243" w:lineRule="auto"/>
        <w:tabs>
          <w:tab w:leader="none" w:pos="7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4" w:name="page65"/>
    <w:bookmarkEnd w:id="64"/>
    <w:p>
      <w:pPr>
        <w:ind w:left="900" w:hanging="406"/>
        <w:spacing w:after="0" w:line="248" w:lineRule="auto"/>
        <w:tabs>
          <w:tab w:leader="none" w:pos="7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2" w:lineRule="exact"/>
        <w:rPr>
          <w:sz w:val="20"/>
          <w:szCs w:val="20"/>
          <w:color w:val="auto"/>
        </w:rPr>
      </w:pPr>
    </w:p>
    <w:p>
      <w:pPr>
        <w:jc w:val="both"/>
        <w:ind w:right="20" w:firstLine="445"/>
        <w:spacing w:after="0" w:line="324"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6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7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leased headquarters in Santa Clara, California, comprises approximately 21,848 square feet. Our headquarters houses our research, product development, marketing, finance, education, and administration functions. We believe our facilities are adequate and suitable for our current needs but in the future we may need additional space. We also lease office spaces in Gallarate, Italy, Mannheim, Germany and Knaresborough, United Kingdom to accommodate our European sales and marketing team.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may be subject to other legal proceedings and claims in the ordinary course of business. We have received, and may from time to time receive, letters from third parties alleging patent infringement, violation of employment practices or trademark infringement, and we may in the future participate in litigation to defend ourselves.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Common Stock</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Global Market under the symbol “SIBN”.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As of March 5, 2021, we had 173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sales of unregistered equity securities during the three months ended December 31,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shares or equity securities during the three months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29" w:lineRule="exact"/>
        <w:rPr>
          <w:sz w:val="20"/>
          <w:szCs w:val="20"/>
          <w:color w:val="auto"/>
        </w:rPr>
      </w:pPr>
    </w:p>
    <w:p>
      <w:pPr>
        <w:jc w:val="both"/>
        <w:ind w:right="20" w:firstLine="445"/>
        <w:spacing w:after="0" w:line="275" w:lineRule="auto"/>
        <w:rPr>
          <w:sz w:val="20"/>
          <w:szCs w:val="20"/>
          <w:color w:val="auto"/>
        </w:rPr>
      </w:pPr>
      <w:r>
        <w:rPr>
          <w:rFonts w:ascii="Arial" w:cs="Arial" w:eastAsia="Arial" w:hAnsi="Arial"/>
          <w:sz w:val="17"/>
          <w:szCs w:val="17"/>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our IPO were paid to directors, officers, persons owning 10% or more of any class of equity securities, or to their associates, or to our affiliates.</w:t>
      </w:r>
    </w:p>
    <w:p>
      <w:pPr>
        <w:spacing w:after="0" w:line="1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December 31, 2020, approximately $72.7 million of the net proceeds had been used for general corporate purposes including cash used in operations and capital expenditures.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“smaller reporting company”, we are not required to provide the information otherwise required by this Item.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51" w:lineRule="exact"/>
        <w:rPr>
          <w:sz w:val="20"/>
          <w:szCs w:val="20"/>
          <w:color w:val="auto"/>
        </w:rPr>
      </w:pPr>
    </w:p>
    <w:p>
      <w:pPr>
        <w:jc w:val="both"/>
        <w:ind w:firstLine="221"/>
        <w:spacing w:after="0" w:line="255"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section of this Annual Report on Form 10-K, our actual results could differ materially from the results described in, or implied, by these forward-looking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which often causes severe lower back pain. Since we introduced iFuse in 2009, as of December 31, 2020, more than 53,000 procedures have been performed by over 2,300 surgeons, in the U.S. and 35 other countries.</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the iFuse implant with the proprietary 3D-printed porous surface and fenestrated design.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March 2020, we received FDA 510(k) clearance for an expanded indication for the iFuse Implant System to support our trauma program.</w:t>
      </w:r>
    </w:p>
    <w:p>
      <w:pPr>
        <w:spacing w:after="0" w:line="18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11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expenses, from our first follow-on public offering of our common stock. In October 2020, we received a total of $71.6 million of net proceeds, after deducting underwriting discounts and commissions and offering expenses, from our second follow-on offering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5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COVID-19 pandemic and the resulting economic downturn are affecting business conditions in our industry. The overall demand for our products decreased at certain points during the year as a result of the pandemic, which impacted our operating results for the year ended December 31, 2020. Many state and local governments in the U.S. and foreign governments issued orders that temporarily precluded elective procedures in order to conserve scarce health system resources in view of the pandemic. The decrease in hospital admission rates and elective surgeries decreased the demand for elective procedures using our iFuse implants. Prior to the COVID-19 pandemic, we experienced case growth trends consistent with those experienced in the fourth quarter of 2019. Beginning at the end of February 2020, we began to see an impact on case volumes in Northern Italy due to the spread of the virus in the Lombardy region, the location of our operation in Gallarate, Italy. Overall, the disruption was not significant through the middle of March 2020, as Italy represents a small portion of our worldwide sales. Beginning in mid-March 2020 through April 2020, we saw a substantial worldwide reduction in global case volumes due to deferral of elective surgeries as a result of the COVID-19 pandemic in the U.S. and across Europe. In May 2020, case volumes began to recover as hospitals and medical centers across the U.S. and Europe resumed performance of elective surgical procedures. In November and December 2020, we again began to see the deferral of elective surgeries by hospitals, surgeons, and patients in the U.S. and across Europe.</w:t>
      </w:r>
    </w:p>
    <w:p>
      <w:pPr>
        <w:spacing w:after="0" w:line="1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We have taken what we believe are all necessary precautions to safeguard our employees, patients, customers, and other stakeholders from the COVID-19 pandemic. We are following the Centers for Disease Control and Prevention’s guidance and state and local restrictions. We modified operations and clinical support starting in March 2020, maintaining streamlined assembly, distribution and related processes in order to continue providing products to our customers. Specific protocols were designed and implemented to minimize contact time among employees working on site. We restricted non-essential travel to protect the health and safety of our employees, patients, and customers. Where healthcare operations were impacted, we supported healthcare providers via telephone and online technologies. We also continued to focus on increasing surgeon activity by utilizing a virtual education series for surgeons and mid-level practitioners to continue our training activities.</w:t>
      </w:r>
    </w:p>
    <w:p>
      <w:pPr>
        <w:sectPr>
          <w:pgSz w:w="11900" w:h="16838" w:orient="portrait"/>
          <w:cols w:equalWidth="0" w:num="1">
            <w:col w:w="11240"/>
          </w:cols>
          <w:pgMar w:left="320" w:top="985"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7" w:name="page68"/>
    <w:bookmarkEnd w:id="67"/>
    <w:p>
      <w:pPr>
        <w:jc w:val="both"/>
        <w:ind w:firstLine="405"/>
        <w:spacing w:after="0" w:line="270" w:lineRule="auto"/>
        <w:rPr>
          <w:sz w:val="20"/>
          <w:szCs w:val="20"/>
          <w:color w:val="auto"/>
        </w:rPr>
      </w:pPr>
      <w:r>
        <w:rPr>
          <w:rFonts w:ascii="Arial" w:cs="Arial" w:eastAsia="Arial" w:hAnsi="Arial"/>
          <w:sz w:val="17"/>
          <w:szCs w:val="17"/>
          <w:color w:val="auto"/>
        </w:rPr>
        <w:t>Starting in May 2020, we began to return to more normalized operations and clinical support as local restrictions were reduced, but tightened them again with the resurgence of COVID-19 in November 2020. The majority of our employees who are not related to manufacturing and order fulfillment are currently on a telecommunication work arrangement and have generally been able to successfully work remotely.</w:t>
      </w:r>
    </w:p>
    <w:p>
      <w:pPr>
        <w:spacing w:after="0" w:line="19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Beginning in March 2020, we curtailed certain operating expense due to limited visibility on the extent and duration of the impact from COVID-19. We took preemptive steps to manage spending, including implementing hiring restrictions, eliminating discretionary spending, reducing executive salaries, reducing capital expenditures, reducing non-essential marketing expenses, and delaying clinical research projects. We returned to more normalized spending levels in the fourth quarter with returning revenue growth, refinancing of our debt, and raising of additional equity.</w:t>
      </w:r>
    </w:p>
    <w:p>
      <w:pPr>
        <w:spacing w:after="0" w:line="17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timing, extent and continuation of any further increase in procedures, and any corresponding increase in sales of our products, and whether there could be a future decrease in the current level of procedures as a result of the COVID-19 pandemic or otherwise, remain uncertain and are subject to a variety of factors, including:</w:t>
      </w:r>
    </w:p>
    <w:p>
      <w:pPr>
        <w:spacing w:after="0" w:line="128" w:lineRule="exact"/>
        <w:rPr>
          <w:sz w:val="20"/>
          <w:szCs w:val="20"/>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Further increases in COVID-19 cases in various locations that would result in more hospitalizations and a corresponding decrease in elective procedures in such impacted locations.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Surgeons and hospitals postponing elective procedures as a result of reduced availability of physicians or space to treat patients, different treatment prioritizations, increased cost pressures and burdens on the overall healthcare infrastructure.</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Patients electing to defer or avoid elective procedures due to concerns about being exposed to COVID-19 in hospital settings, loss of employer-sponsored health insurance related to the high levels of unemployment in the U.S. or other reasons.</w:t>
      </w:r>
    </w:p>
    <w:p>
      <w:pPr>
        <w:spacing w:after="0" w:line="116"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Hospitals reserving more space for potential COVID-19 patients, especially as the number of COVID-19 cases spikes, limiting the space allocated to inpatient and outpatient elective procedures.</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restrictions on access to customers, hospitals, labs and other medical facilities for sales activities, physician training and case support if they have been deemed to be “non-essential” personnel by those facilities or applicable local regulations.</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existence and further duration of the COVID-19 pandemic may also further exacerbate certain risks as described in “Item 1A - Risk Factors”.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Recently, the U.S. and many other countries have experienced increasing trends of COVID-19 infections and hospitalizations.</w:t>
      </w:r>
    </w:p>
    <w:p>
      <w:pPr>
        <w:spacing w:after="0" w:line="223"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The COVID-19 pandemic is continuing globally, and we are unable to predict how the COVID-19 pandemic will impact procedure volumes or product sales in the future, or the extent, duration or recurrence of the COVID-19 pandemic in any location. We are, therefore, unable to predict the impact of the COVID-19 pandemic, and such could have a material adverse effect on our results of operations, financial condition and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our sales force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made significant investments in our sales force since our initial public offering in 2018. We have built a valuable sales team, and we believe they are the key to the recovery that follows the pandemic. As such, we have made it a top priority to support and retain our sales force through this challenging period. We limited new sales force hiring in the second and third quarter of 2020 due to uncertainty from the COVID-19 pandemic and focused on sales force productivity during this period, but resumed hiring of salespeople in the fourth quarter of 2020 based upon our favorable financial position and opportunity for future revenue growth.</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2020, our U.S. sales force consisted of 64 territory sales managers and 58 clinical support specialists directly employed by us and 41 third-party distributors, compared to 56 territory sales managers and 51 clinical support specialists directly employed by us and 37 third-party distributors as of December 31, 2019. As of December 31, 2020, our international sales force consisted of 20 sales representatives directly employed by us and 31 exclusive third-party distributors, compared to 19 sales representatives directly employed by us and 27 exclusive third-party distributors as of December 31, 2019.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b w:val="1"/>
          <w:bCs w:val="1"/>
          <w:i w:val="1"/>
          <w:iCs w:val="1"/>
          <w:color w:val="auto"/>
        </w:rPr>
        <w:t>Increase surgeon activity and training</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medical affairs team works closely with our sales team to increase surgeon activity and training. Surgeon activity includes both the number of surgeons performing iFuse procedures as well as the number of procedures performed per surgeon.</w:t>
      </w:r>
    </w:p>
    <w:p>
      <w:pPr>
        <w:spacing w:after="0" w:line="19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December 31, 2020 and 2019, in the U.S., more than 1,600 surgeon and 1,400 surgeons, respectively, have been trained on iFuse and have treated at least one patient. Outside the U.S., as of December 31, 2020, more than 600 surgeons have been trained on iFuse and have treated at least one patient. We grew our active surgeon base to 588 surgeons as of December 31, 2020, compared to 539 active surgeons as of December 31, 2019. We define an active surgeon to be a surgeon who has performed at least one case in the last three months. We will continue to pursue the remainder of the approximately 7,500 target surgeons in the U.S., as well as international surgeons, for training in the future.</w:t>
      </w:r>
    </w:p>
    <w:p>
      <w:pPr>
        <w:spacing w:after="0" w:line="2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COVID-19 outbreak challenged our traditional method of hands-on cadaveric and dry-lab training. Therefore, in addition to utilizing a virtual education series for surgeons and mid-level practitioners for training activities, we began using the SI-BONE SImulator; a portable, radiation-free, haptics and computer-based simulator for training purposes. Starting in July 2020, we deployed four SImulators in the U.S. and one in Europe. The SImulators were used in approximately 45% of new surgeon training courses in the second half of 2020. We have placed an order for 20 additional SImulators to increase the percentage and number of surgeons trained and retrained using the SImulator in the U.S. and Europe.</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Engage key opinion leaders</w:t>
      </w:r>
    </w:p>
    <w:p>
      <w:pPr>
        <w:spacing w:after="0" w:line="2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We received CE mark clearance for the promotion of the Bedrock technique in Europe and we launched the promotion of this technique in select European markets.</w:t>
      </w:r>
    </w:p>
    <w:p>
      <w:pPr>
        <w:spacing w:after="0" w:line="20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conduct training courses in several academic centers in the U.S. and engage key opinion leaders to support our development efforts.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In 2020, we have conducted training courses at over 50 academic centers in the U.S., where more than 200 surgical residents and fellows have been trained.</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broad coverage</w:t>
      </w:r>
    </w:p>
    <w:p>
      <w:pPr>
        <w:spacing w:after="0" w:line="23"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We made significant progress in both the number of covered lives and the Medicare physician fee for surgeons performing minimally invasive sacroiliac fusion in the U.S. As of December 31, 2020, U.S. payors that account for 311.6 million U.S. covered lives reimburse for iFuse, with private payors accounting for 195.8 million of these covered lives. As of December 31, 2019, U.S. payors covering 282.7 million lives reimbursed for iFuse, of which 147.9 million were covered by private payors. As of December 31, 2020, 37 U.S. payors have issued positive coverage policies exclusive to iFuse for sacroiliac joint fusion because of the clinical evidence, compared to 32 exclusive coverage policies as of December 31, 2019. Further, as of December 31, 2020 and 2019, an additional 21 and 20, respectively, private payors cover iFuse and other products for sacroiliac joint fusion. The 2020 covered lives include Humana, the fifth largest commercial health plan in the U.S. with over 12 million members, which adopted an exclusive coverage policy in December and Aetna, the third largest commercial health plan in the U.S. with over 22 million members, which adopted a coverage policy in May 2020. Currently, covered lives counts do not include Anthem, which covers minimally invasive sacroiliac fusion procedures in the event of pelvic girdle trauma only. We track the number of U.S. covered lives, or individuals whose healthcare is paid for by a private commercial or governmental payor that routinely reimburses for minimally invasive sacroiliac fusion, as a proxy for availability of the procedure within the U.S. healthcare payment system. We believe that the full impact of each coverage decision grows over time as surgeons gain confidence that they will receive reimbursement for the majority of their diagnosed patients.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generate most of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and price differences at different medical facilities, such as hospitals and ASCs.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7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COVID-19 pandemic reduced our expected number of cases. As the pandemic continued in the U.S. and Europe, it had a significant impact on our case volumes beginning mid-March 2020. The largest impact was felt in April 2020, where revenue declined by 84% from the prior year. Given the situation, a considerable number of cases were deferred from mid-March through the end of April 2020. Starting in May 2020, case volumes began to recover as hospitals and medical centers across the U.S. and Europe resumed performance of elective surgery procedures. In the third quarter of 2020, we saw a more normalized revenue growth resulting in a 26% increase compared to the prior year. In November and December 2020, we again began to see the deferral of elective surgeries by hospitals, surgeons, and patients in the U.S. and across Europe. We continue to monitor the potential impact of COVID-19 to our product sales in the U.S. and international markets.</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1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utilize third-party manufacturers for production of iFuse implants and instrument sets. Cost of goods sold consists primarily of costs of the components of iFuse implants and instruments, instrument set depreciation, scrap and inventory obsolescence, as well as distribution-related expenses such as logistics and shipping costs. Our cost of goods sold has historically increased as case levels increase.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operations ran at suboptimal capacity as a result of decreased iFuse demand from worldwide restrictions on elective procedures during the second quarter of 2020. Accordingly, in the second quarter of 2020, certain labor and overhead costs were expensed as incurred which impacted our gross profit and gross margin. We saw a more normalized operations capacity during the second half of 2020 as case volumes began to recover. We may experience similar issues in future quarters due to the COVID-19 pandemic.</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anticipate operating expenses will continue to increase to support our employees. During the second quarter, we took steps to reduce variable expenses that were ineffective and slowed down hiring due to the impact to our revenue from COVID-19. We continue to monitor the rapidly evolving situation, but as operations returned to more normalized levels, we made additional investments to execute our strategic plans and operational initiatives.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territory associate representatives and third-party distributors.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jc w:val="both"/>
        <w:ind w:firstLine="486"/>
        <w:spacing w:after="0" w:line="271" w:lineRule="auto"/>
        <w:rPr>
          <w:sz w:val="20"/>
          <w:szCs w:val="20"/>
          <w:color w:val="auto"/>
        </w:rPr>
      </w:pPr>
      <w:r>
        <w:rPr>
          <w:rFonts w:ascii="Arial" w:cs="Arial" w:eastAsia="Arial" w:hAnsi="Arial"/>
          <w:sz w:val="16"/>
          <w:szCs w:val="16"/>
          <w:color w:val="auto"/>
        </w:rPr>
        <w:t>Our sales and marketing spending reflected normal business activities into mid-March 2020. Due to the COVID-19 pandemic, we focused on protecting key investments in our field force while curtailing most other areas of sales and marketing spend during the second and third quarter of 2020. For example, we guaranteed certain levels of incentive compensation to members of our field sales organization in order to retain these employees and partially mitigate the impact of the pandemic to their compensation. In contrast, we reduced certain other spending during the COVID-19 pandemic, such as travel and related expenses, regional surgeon training, trade shows, and discretionary marketing. As revenue growth returned to the levels that we were</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experiencing prior to the pandemic, we increased our sales and marketing expense accordingly in the third and fourth quarters of 2020. We plan to increase investments in our sales force and surgeon training to capture future revenue growth opportunities.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1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Clinical study expenses declined during mid-March through April due to hospital postponement of trials as a result of the COVID-19 pandemic. However, most hospitals allowed the resumption of clinical trials starting in May 2020. As such, we anticipate that research and development expenses will continue to increase in the future.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General and administrative expenses primarily consist of salaries, stock-based compensation expense, and other costs for finance, accounting, legal, compliance, and administrative matters. We took measures during most of the year to control discretionary items classified as general and administrative expenses due to the COVID-19 pandemic, but expect our general and administrative expenses to return to normal levels as the acuity of the COVID-19 pandemic recedes. General and administrative activities that sustain our business and support our operations as a public company, include but are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is primarily related to borrowings, amortization of debt issuance costs and accretion of a final fee on our Solar Term Loan. Following the refinancing of our term loan, interest expense also includes the loss on debt extinguishment.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manage and operate as one reportable segment. The table below summarizes our results of operations for the periods presented (percentages are amounts as a percentage of revenue), which we derived from the accompanying consolidated financial statements:</w:t>
      </w:r>
    </w:p>
    <w:p>
      <w:pPr>
        <w:spacing w:after="0" w:line="252"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ind w:left="80"/>
              <w:spacing w:after="0"/>
              <w:rPr>
                <w:sz w:val="20"/>
                <w:szCs w:val="20"/>
                <w:color w:val="auto"/>
              </w:rPr>
            </w:pPr>
            <w:r>
              <w:rPr>
                <w:rFonts w:ascii="Arial" w:cs="Arial" w:eastAsia="Arial" w:hAnsi="Arial"/>
                <w:sz w:val="16"/>
                <w:szCs w:val="16"/>
                <w:b w:val="1"/>
                <w:bCs w:val="1"/>
                <w:color w:val="auto"/>
              </w:rPr>
              <w:t>Year ended December 31, 2020</w:t>
            </w:r>
          </w:p>
        </w:tc>
        <w:tc>
          <w:tcPr>
            <w:tcW w:w="200" w:type="dxa"/>
            <w:vAlign w:val="bottom"/>
          </w:tcPr>
          <w:p>
            <w:pPr>
              <w:spacing w:after="0"/>
              <w:rPr>
                <w:sz w:val="18"/>
                <w:szCs w:val="18"/>
                <w:color w:val="auto"/>
              </w:rPr>
            </w:pPr>
          </w:p>
        </w:tc>
        <w:tc>
          <w:tcPr>
            <w:tcW w:w="2520" w:type="dxa"/>
            <w:vAlign w:val="bottom"/>
            <w:gridSpan w:val="3"/>
          </w:tcPr>
          <w:p>
            <w:pPr>
              <w:jc w:val="right"/>
              <w:ind w:right="211"/>
              <w:spacing w:after="0"/>
              <w:rPr>
                <w:sz w:val="20"/>
                <w:szCs w:val="20"/>
                <w:color w:val="auto"/>
              </w:rPr>
            </w:pPr>
            <w:r>
              <w:rPr>
                <w:rFonts w:ascii="Arial" w:cs="Arial" w:eastAsia="Arial" w:hAnsi="Arial"/>
                <w:sz w:val="16"/>
                <w:szCs w:val="16"/>
                <w:b w:val="1"/>
                <w:bCs w:val="1"/>
                <w:color w:val="auto"/>
                <w:w w:val="93"/>
              </w:rPr>
              <w:t>Year ended December 31, 2019</w:t>
            </w:r>
          </w:p>
        </w:tc>
      </w:tr>
      <w:tr>
        <w:trPr>
          <w:trHeight w:val="210"/>
        </w:trPr>
        <w:tc>
          <w:tcPr>
            <w:tcW w:w="4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w:t>
            </w:r>
          </w:p>
        </w:tc>
      </w:tr>
      <w:tr>
        <w:trPr>
          <w:trHeight w:val="207"/>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5"/>
          </w:tcPr>
          <w:p>
            <w:pPr>
              <w:ind w:left="100"/>
              <w:spacing w:after="0"/>
              <w:rPr>
                <w:sz w:val="20"/>
                <w:szCs w:val="20"/>
                <w:color w:val="auto"/>
              </w:rPr>
            </w:pPr>
            <w:r>
              <w:rPr>
                <w:rFonts w:ascii="Arial" w:cs="Arial" w:eastAsia="Arial" w:hAnsi="Arial"/>
                <w:sz w:val="16"/>
                <w:szCs w:val="16"/>
                <w:b w:val="1"/>
                <w:bCs w:val="1"/>
                <w:color w:val="auto"/>
                <w:w w:val="92"/>
              </w:rPr>
              <w:t>(in thousands, except for percentages)</w:t>
            </w:r>
          </w:p>
        </w:tc>
        <w:tc>
          <w:tcPr>
            <w:tcW w:w="1360" w:type="dxa"/>
            <w:vAlign w:val="bottom"/>
          </w:tcPr>
          <w:p>
            <w:pPr>
              <w:spacing w:after="0"/>
              <w:rPr>
                <w:sz w:val="17"/>
                <w:szCs w:val="17"/>
                <w:color w:val="auto"/>
              </w:rPr>
            </w:pPr>
          </w:p>
        </w:tc>
      </w:tr>
      <w:tr>
        <w:trPr>
          <w:trHeight w:val="235"/>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64,485</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20,984</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103,052</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143 %</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(6,101)</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(43,697)</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(38,403)</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The table below summarizes our revenue by geography: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6"/>
          </w:tcPr>
          <w:p>
            <w:pPr>
              <w:jc w:val="right"/>
              <w:ind w:right="214"/>
              <w:spacing w:after="0"/>
              <w:rPr>
                <w:sz w:val="20"/>
                <w:szCs w:val="20"/>
                <w:color w:val="auto"/>
              </w:rPr>
            </w:pPr>
            <w:r>
              <w:rPr>
                <w:rFonts w:ascii="Arial" w:cs="Arial" w:eastAsia="Arial" w:hAnsi="Arial"/>
                <w:sz w:val="16"/>
                <w:szCs w:val="16"/>
                <w:b w:val="1"/>
                <w:bCs w:val="1"/>
                <w:color w:val="auto"/>
                <w:w w:val="95"/>
              </w:rPr>
              <w:t>Year ended December 31, 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 2019</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7"/>
          </w:tcPr>
          <w:p>
            <w:pPr>
              <w:ind w:left="20"/>
              <w:spacing w:after="0"/>
              <w:rPr>
                <w:sz w:val="20"/>
                <w:szCs w:val="20"/>
                <w:color w:val="auto"/>
              </w:rPr>
            </w:pPr>
            <w:r>
              <w:rPr>
                <w:rFonts w:ascii="Arial" w:cs="Arial" w:eastAsia="Arial" w:hAnsi="Arial"/>
                <w:sz w:val="16"/>
                <w:szCs w:val="16"/>
                <w:b w:val="1"/>
                <w:bCs w:val="1"/>
                <w:color w:val="auto"/>
                <w:w w:val="93"/>
              </w:rPr>
              <w:t>(in thousands except for percentages)</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Borders>
              <w:right w:val="single" w:sz="8" w:color="CCEEFF"/>
            </w:tcBorders>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4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CCEEFF"/>
            </w:tcBorders>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73,387</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67,301</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CCEEFF"/>
            </w:tcBorders>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Comparison of the years ended December 31, 2020 and 2019</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8"/>
              </w:rPr>
              <w:t>Revenue, Cost of Goods Sold, Gross Profit, and Gross Margin</w:t>
            </w: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454"/>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 Change</w:t>
            </w:r>
          </w:p>
        </w:tc>
        <w:tc>
          <w:tcPr>
            <w:tcW w:w="168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7"/>
              </w:rPr>
              <w:t>(in thousands except for percentages)</w:t>
            </w:r>
          </w:p>
        </w:tc>
        <w:tc>
          <w:tcPr>
            <w:tcW w:w="12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73,387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67,301</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8,902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6,790</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64,485</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60,511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88 %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90 %</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733"/>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2" w:name="page73"/>
    <w:bookmarkEnd w:id="72"/>
    <w:p>
      <w:pPr>
        <w:jc w:val="both"/>
        <w:ind w:firstLine="445"/>
        <w:spacing w:after="0" w:line="271"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The increase in revenue for the year ended December 31, 2020 compared to the year ended December 31, 2019 comprised a $6.3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our U.S. revenue, partly offset by a decrease of $0.2 million in our international revenue. The increase in U.S. revenue was attributable to an increase in case volumes, partly offset by lower average selling prices resulting from procedures performed at different medical facilities and cases using fewer implants in certain procedures. The increasing growth trend of our U.S. case count prior to the impact of COVID-19 was partly offset by the decline in U.S. case volumes specifically during mid-March through April 2020 due to COVID-19. Prior to the impact of COVID-19, we experienced case growth trends consistent with those experienced in the fourth quarter of 2019. The case growth we experienced prior to the impact of COVID-19 we attribute to higher sales force productivity, higher numbers of sales personnel, and increased active surgeons due to improving U.S. reimbursement coverage. The decrease in our international revenue we believe was primarily due to the effects of COVID-19.</w:t>
      </w:r>
    </w:p>
    <w:p>
      <w:pPr>
        <w:spacing w:after="0" w:line="17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Gross profit increased $4.0 million for the year ended December 31, 2020 compared to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primarily driven by higher revenue, partly offset by higher cost of goods sold. Gross margin decreased to 88% for the year ended December 31, 2020 as compared to 90% the year ended December 31, 2019 primarily due to certain period costs of $0.2 million charged directly to cost of operations and increases in inventory write-downs of $0.8 million. Certain period costs were expensed as incurred during the second quarter of 2020 because our operations ran at suboptimal capacity due to lower case volumes as a result of the COVID-19 pandemic. Gross margin was also impacted by higher employee related costs and inventory management to support the growth of the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158"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49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ind w:left="40"/>
              <w:spacing w:after="0"/>
              <w:rPr>
                <w:sz w:val="20"/>
                <w:szCs w:val="20"/>
                <w:color w:val="auto"/>
              </w:rPr>
            </w:pPr>
            <w:r>
              <w:rPr>
                <w:rFonts w:ascii="Arial" w:cs="Arial" w:eastAsia="Arial" w:hAnsi="Arial"/>
                <w:sz w:val="16"/>
                <w:szCs w:val="16"/>
                <w:b w:val="1"/>
                <w:bCs w:val="1"/>
                <w:color w:val="auto"/>
                <w:w w:val="94"/>
              </w:rPr>
              <w:t>(in thousands, except for percentages)</w:t>
            </w:r>
          </w:p>
        </w:tc>
        <w:tc>
          <w:tcPr>
            <w:tcW w:w="1240" w:type="dxa"/>
            <w:vAlign w:val="bottom"/>
          </w:tcPr>
          <w:p>
            <w:pPr>
              <w:spacing w:after="0"/>
              <w:rPr>
                <w:sz w:val="18"/>
                <w:szCs w:val="18"/>
                <w:color w:val="auto"/>
              </w:rPr>
            </w:pPr>
          </w:p>
        </w:tc>
      </w:tr>
      <w:tr>
        <w:trPr>
          <w:trHeight w:val="232"/>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93"/>
              </w:rPr>
              <w:t>5,539</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9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left="412"/>
              <w:spacing w:after="0"/>
              <w:rPr>
                <w:sz w:val="20"/>
                <w:szCs w:val="20"/>
                <w:color w:val="auto"/>
              </w:rPr>
            </w:pPr>
            <w:r>
              <w:rPr>
                <w:rFonts w:ascii="Arial" w:cs="Arial" w:eastAsia="Arial" w:hAnsi="Arial"/>
                <w:sz w:val="18"/>
                <w:szCs w:val="18"/>
                <w:color w:val="auto"/>
                <w:w w:val="93"/>
              </w:rPr>
              <w:t>2,180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1"/>
              </w:rPr>
              <w:t>(1,181)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98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w w:val="93"/>
              </w:rPr>
              <w:t>6,538</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increase in sales and marketing expenses for the year ended December 31, 2020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was primarily due to an increase of $9.7 million in employee related costs and stock-based compensation expense driven by increased headcount. The increase was partly offset by decreases in travel and other sales and marketing related expenses of $4.2 million due to the COVID-19 pandemic.</w:t>
      </w:r>
    </w:p>
    <w:p>
      <w:pPr>
        <w:spacing w:after="0" w:line="1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for the year ended December 31,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2019 was primarily due to increases in employee related costs and stock-based compensation expense of $1.7 million driven by increased headcount, as well as increases in other research and development expenses of $0.5 million primarily due to clinical study and research and development activities.</w:t>
      </w:r>
    </w:p>
    <w:p>
      <w:pPr>
        <w:spacing w:after="0" w:line="18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The decrease in general and administrative expenses for the year ended December 31, 2020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2019 was primarily due to $2.5 million of accrued litigation expense recorded in the third quarter of 2019, the reversal of excess accrued litigation expense of $0.6 million in the second quarter of 2020 following the final settlement of our TCPA class action lawsuit, and decreases in other general and administrative expenses of $0.6 million as a result of curtailment of discretionary spending in response to the COVID-19 pandemic. These decreases were partly offset by an increase of $2.3 million in employee related costs and stock-based compensation expense driven by increased headcount and $0.2 million public offering costs that were expensed associated with the follow-on offering in the first quarter of 2020.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49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ind w:left="40"/>
              <w:spacing w:after="0"/>
              <w:rPr>
                <w:sz w:val="20"/>
                <w:szCs w:val="20"/>
                <w:color w:val="auto"/>
              </w:rPr>
            </w:pPr>
            <w:r>
              <w:rPr>
                <w:rFonts w:ascii="Arial" w:cs="Arial" w:eastAsia="Arial" w:hAnsi="Arial"/>
                <w:sz w:val="16"/>
                <w:szCs w:val="16"/>
                <w:b w:val="1"/>
                <w:bCs w:val="1"/>
                <w:color w:val="auto"/>
                <w:w w:val="94"/>
              </w:rPr>
              <w:t>(in thousands, except for percentages)</w:t>
            </w:r>
          </w:p>
        </w:tc>
        <w:tc>
          <w:tcPr>
            <w:tcW w:w="1240" w:type="dxa"/>
            <w:vAlign w:val="bottom"/>
          </w:tcPr>
          <w:p>
            <w:pPr>
              <w:spacing w:after="0"/>
              <w:rPr>
                <w:sz w:val="18"/>
                <w:szCs w:val="18"/>
                <w:color w:val="auto"/>
              </w:rPr>
            </w:pPr>
          </w:p>
        </w:tc>
      </w:tr>
      <w:tr>
        <w:trPr>
          <w:trHeight w:val="232"/>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498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980" w:type="dxa"/>
            <w:vAlign w:val="bottom"/>
          </w:tcPr>
          <w:p>
            <w:pPr>
              <w:ind w:left="60"/>
              <w:spacing w:after="0"/>
              <w:rPr>
                <w:sz w:val="20"/>
                <w:szCs w:val="20"/>
                <w:color w:val="auto"/>
              </w:rPr>
            </w:pPr>
            <w:r>
              <w:rPr>
                <w:rFonts w:ascii="Arial" w:cs="Arial" w:eastAsia="Arial" w:hAnsi="Arial"/>
                <w:sz w:val="18"/>
                <w:szCs w:val="18"/>
                <w:color w:val="auto"/>
              </w:rPr>
              <w:t>Total interest and other expense,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1"/>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3" w:name="page74"/>
    <w:bookmarkEnd w:id="73"/>
    <w:p>
      <w:pPr>
        <w:ind w:left="460"/>
        <w:spacing w:after="0"/>
        <w:rPr>
          <w:sz w:val="20"/>
          <w:szCs w:val="20"/>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The decrease in interest income for the year ended December 31, 2020 as compared to the year ended December 31,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lower interest earned on our investments in marketable securities. Although the average investments balances were higher for the year ended December 31, 2020, interest rates earned were lower.</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increase in interest expense for the year ended December 31, 2020 as compared to the year ended December 31,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the loss on extinguishment of our Pharmakon Term Loan of $1.5 million, partly offset by lower interest associated with our Solar Term Loan. See "-Liquidity and Capital Resources-Term Loan."</w:t>
      </w:r>
    </w:p>
    <w:p>
      <w:pPr>
        <w:spacing w:after="0" w:line="1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for the year ended December 31, 2020 as compared to the year ended December 31, 2019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foreign currency exchange losses.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2020, we had cash and marketable securities of $196.4 million compared to $93.1 million as of December 31, 2019. We have financed our operations through our public offerings, debt financing arrangements, and the sale of our products. As of December 31, 2020 and 2019 we had $39.5 million and $39.2 million outstanding debt, respectively.</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2020, we had an accumulated deficit of $239.3 million. During the years ended December 31, 2020 and 2019, we incurred a net loss of $43.7 million and $38.4 million, respectively, and expect to incur additional losses in the future. We have not achieved positive cash flow from operations to date.</w:t>
      </w:r>
    </w:p>
    <w:p>
      <w:pPr>
        <w:spacing w:after="0" w:line="18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Based upon our current operating plan, we believe that our existing cash and marketable securities will enable us to fund our operating expenses and capital expenditure requirements through at least the next 12 months.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our available capital resources may be consumed more rapidly than currently expected due to, but not limited to, the following as a result of the COVID-19 pandemic or otherwise:</w:t>
      </w:r>
    </w:p>
    <w:p>
      <w:pPr>
        <w:spacing w:after="0" w:line="2" w:lineRule="exact"/>
        <w:rPr>
          <w:sz w:val="20"/>
          <w:szCs w:val="20"/>
          <w:color w:val="auto"/>
        </w:rPr>
      </w:pPr>
    </w:p>
    <w:p>
      <w:pPr>
        <w:jc w:val="both"/>
        <w:ind w:firstLine="8"/>
        <w:spacing w:after="0" w:line="302" w:lineRule="auto"/>
        <w:tabs>
          <w:tab w:leader="none" w:pos="2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outstanding debt as of December 31, 2020 is related to a term loan pursuant to the Loan and Security Agreement dated May 29, 2020, entered into by us with Solar Capital Partners (“Solar”). Pursuant to the Loan and Security Agreement, Solar provided an aggregate principal amount of $40.0 million term loan to us (the “Solar Term Loan”). Prior to Solar Term Loan, our outstanding debt was related to a $40.0 million Term Loan with Biopharma Credit Investments IV Sub LP (“Pharmakon”) entered in October 2017 (the “Pharmakon Term Loan”). In accordance with the Loan and Security Agreement with Solar, we paid in full and terminated the Pharmakon Term Loan, which we accounted for as debt extinguishment in accordance with the accounting standards. As of December 31, 2020 and 2019, there was no amount available that could be borrowed under the credit facilities.</w:t>
      </w:r>
    </w:p>
    <w:p>
      <w:pPr>
        <w:spacing w:after="0" w:line="164" w:lineRule="exact"/>
        <w:rPr>
          <w:sz w:val="20"/>
          <w:szCs w:val="20"/>
          <w:color w:val="auto"/>
        </w:rPr>
      </w:pPr>
    </w:p>
    <w:p>
      <w:pPr>
        <w:jc w:val="both"/>
        <w:ind w:right="20" w:firstLine="486"/>
        <w:spacing w:after="0" w:line="294" w:lineRule="auto"/>
        <w:rPr>
          <w:sz w:val="20"/>
          <w:szCs w:val="20"/>
          <w:color w:val="auto"/>
        </w:rPr>
      </w:pPr>
      <w:r>
        <w:rPr>
          <w:rFonts w:ascii="Arial" w:cs="Arial" w:eastAsia="Arial" w:hAnsi="Arial"/>
          <w:sz w:val="16"/>
          <w:szCs w:val="16"/>
          <w:color w:val="auto"/>
        </w:rPr>
        <w:t>The Pharmakon Term Loan included an interest-only period for 35 months through September 2020 and equal quarterly principal payments plus interest through December 2022. The Pharmakon Term Loan carried a fixed interest rate of 11.5% and allowed for early prepayment. The prepayment penalty was equal to the remaining interest due if prepaid within the first 30 months, a 2% penalty for months 31-48, and a 1% penalty for months 49-60.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4" w:name="page75"/>
    <w:bookmarkEnd w:id="74"/>
    <w:p>
      <w:pPr>
        <w:jc w:val="both"/>
        <w:ind w:firstLine="445"/>
        <w:spacing w:after="0" w:line="269" w:lineRule="auto"/>
        <w:rPr>
          <w:sz w:val="20"/>
          <w:szCs w:val="20"/>
          <w:color w:val="auto"/>
        </w:rPr>
      </w:pPr>
      <w:r>
        <w:rPr>
          <w:rFonts w:ascii="Arial" w:cs="Arial" w:eastAsia="Arial" w:hAnsi="Arial"/>
          <w:sz w:val="17"/>
          <w:szCs w:val="17"/>
          <w:color w:val="auto"/>
        </w:rPr>
        <w:t>The Solar Term Loan bears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we may voluntarily prepay the Solar Term Loan, in full or in part, in increments of $10.0 million, for a prepayment premium in an amount equal to 3.00% of the principal if prepaid in year one, 1.25% of the principal if prepaid in year two, and 0.50% of the principal if prepaid in year three or later. The prepayment premium will be waived if we voluntarily prepay and refinance the outstanding balance with Solar. The Solar Term Loan is secured by substantially all of our assets. We are also obligated to pay a final fee equal to $1.0 million or 2.5% of the aggregate principal amount of the Solar Term Loan. This final fee shall be due and payable on the earliest of (i) the maturity date, (ii) the acceleration of the loan balance, or (iii) the full prepayment, refinancing, substitution or replacement of Solar Term Loan. The final fee was included within the long-term borrowings and is accreted to interest expense using straight-line method over the life of the term loan.</w:t>
      </w:r>
    </w:p>
    <w:p>
      <w:pPr>
        <w:spacing w:after="0" w:line="182"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In July 2017, the head of the United Kingdom Financial Conduct Authority announced the desire to phase out the use of LIBOR by the end of 2021. In addition, the U.S. Federal Reserve, in conjunction with the Alternative Reference Rates Committee, a steering committee composed of large U.S. financial institutions, is considering replacing U.S. dollar LIBOR with the Secured Overnight Financing Rate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 There is currently no definitive information regarding the future utilization of LIBOR or of any particular replacement rate. As such, the potential effect of any replacement of the LIBOR could have on our business and financial condition cannot yet be determined.</w:t>
      </w:r>
    </w:p>
    <w:p>
      <w:pPr>
        <w:spacing w:after="0" w:line="16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Subject to other customary covenants set forth in the Loan and Security Agreement, we are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We are not subject to minimum liquidity requirement when trailing twelve-month net product revenues exceed $100.0 million. Upon the occurrence of an event of default of certain customary covenants, including the minimum liquidity requirement, as specified in the Loan and Security Agreement, subject to specified cure periods, all amounts owed by us would begin to bear interest at a rate that is 5.0% above the rate effective immediately before the event of default and may be declared immediately due and payable by Solar. As of December 31, 2020, we were in compliance with all debt covenants. Though there are uncertainties surrounding the impact of the COVID-19 pandemic that may impact our future revenue, we believe that we have sufficient cash and cash equivalents to meet the minimum liquidity requirements in the foreseeable succeeding period.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Payments Due By Period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3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Less than 1 year</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1-3 years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4-5 years</w:t>
            </w:r>
          </w:p>
        </w:tc>
        <w:tc>
          <w:tcPr>
            <w:tcW w:w="120" w:type="dxa"/>
            <w:vAlign w:val="bottom"/>
          </w:tcPr>
          <w:p>
            <w:pPr>
              <w:spacing w:after="0"/>
              <w:rPr>
                <w:sz w:val="13"/>
                <w:szCs w:val="13"/>
                <w:color w:val="auto"/>
              </w:rPr>
            </w:pPr>
          </w:p>
        </w:tc>
        <w:tc>
          <w:tcPr>
            <w:tcW w:w="1040" w:type="dxa"/>
            <w:vAlign w:val="bottom"/>
          </w:tcPr>
          <w:p>
            <w:pPr>
              <w:ind w:left="40"/>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 xml:space="preserve">Principal obligations and final fee on long-term debt </w:t>
            </w:r>
            <w:r>
              <w:rPr>
                <w:rFonts w:ascii="Arial" w:cs="Arial" w:eastAsia="Arial" w:hAnsi="Arial"/>
                <w:sz w:val="14"/>
                <w:szCs w:val="14"/>
                <w:color w:val="auto"/>
                <w:w w:val="93"/>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13,644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4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80" w:hanging="310"/>
        <w:spacing w:after="0"/>
        <w:tabs>
          <w:tab w:leader="none" w:pos="4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principal obligations and the final fee at maturities of our Solar Term Loan.</w:t>
      </w:r>
    </w:p>
    <w:p>
      <w:pPr>
        <w:spacing w:after="0" w:line="13" w:lineRule="exact"/>
        <w:rPr>
          <w:rFonts w:ascii="Arial" w:cs="Arial" w:eastAsia="Arial" w:hAnsi="Arial"/>
          <w:sz w:val="14"/>
          <w:szCs w:val="14"/>
          <w:color w:val="auto"/>
        </w:rPr>
      </w:pPr>
    </w:p>
    <w:p>
      <w:pPr>
        <w:ind w:left="480" w:hanging="310"/>
        <w:spacing w:after="0"/>
        <w:tabs>
          <w:tab w:leader="none" w:pos="4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future interest obligations on our Solar Term Loan estimated using the fixed interest rate of 9.40% plus LIBOR held constant as of December 31, 2020.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5" w:name="page76"/>
    <w:bookmarkEnd w:id="75"/>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66"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50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 Change</w:t>
            </w:r>
          </w:p>
        </w:tc>
      </w:tr>
      <w:tr>
        <w:trPr>
          <w:trHeight w:val="207"/>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gridSpan w:val="7"/>
          </w:tcPr>
          <w:p>
            <w:pPr>
              <w:jc w:val="right"/>
              <w:ind w:right="632"/>
              <w:spacing w:after="0"/>
              <w:rPr>
                <w:sz w:val="20"/>
                <w:szCs w:val="20"/>
                <w:color w:val="auto"/>
              </w:rPr>
            </w:pPr>
            <w:r>
              <w:rPr>
                <w:rFonts w:ascii="Arial" w:cs="Arial" w:eastAsia="Arial" w:hAnsi="Arial"/>
                <w:sz w:val="16"/>
                <w:szCs w:val="16"/>
                <w:b w:val="1"/>
                <w:bCs w:val="1"/>
                <w:color w:val="auto"/>
              </w:rPr>
              <w:t>(in thousands, except for percentages)</w:t>
            </w:r>
          </w:p>
        </w:tc>
      </w:tr>
      <w:tr>
        <w:trPr>
          <w:trHeight w:val="235"/>
        </w:trPr>
        <w:tc>
          <w:tcPr>
            <w:tcW w:w="5080" w:type="dxa"/>
            <w:vAlign w:val="bottom"/>
          </w:tcPr>
          <w:p>
            <w:pPr>
              <w:ind w:left="60"/>
              <w:spacing w:after="0"/>
              <w:rPr>
                <w:sz w:val="20"/>
                <w:szCs w:val="20"/>
                <w:color w:val="auto"/>
              </w:rPr>
            </w:pPr>
            <w:r>
              <w:rPr>
                <w:rFonts w:ascii="Arial" w:cs="Arial" w:eastAsia="Arial" w:hAnsi="Arial"/>
                <w:sz w:val="18"/>
                <w:szCs w:val="18"/>
                <w:b w:val="1"/>
                <w:bCs w:val="1"/>
                <w:color w:val="auto"/>
              </w:rPr>
              <w:t>Net cash provided by (used in):</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5080" w:type="dxa"/>
            <w:vAlign w:val="bottom"/>
          </w:tcPr>
          <w:p>
            <w:pPr>
              <w:ind w:left="6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(76,407)</w:t>
            </w:r>
          </w:p>
        </w:tc>
      </w:tr>
      <w:tr>
        <w:trPr>
          <w:trHeight w:val="229"/>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132,913</w:t>
            </w:r>
          </w:p>
        </w:tc>
      </w:tr>
      <w:tr>
        <w:trPr>
          <w:trHeight w:val="229"/>
        </w:trPr>
        <w:tc>
          <w:tcPr>
            <w:tcW w:w="50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w w:val="98"/>
              </w:rPr>
              <w:t>Effects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48"/>
        </w:trPr>
        <w:tc>
          <w:tcPr>
            <w:tcW w:w="5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Net cash used in operating activities for the year ended December 31, 2020 of $30.7 million resulted from cash outflows due to net loss of $43.7 million, adjusted for $15.6 million of non-cash items and cash outflows from changes in operating assets and liabilities of $2.5 million. Net cash used in operation activities for the year ended December 31, 2019 of $31.6 million resulted from cash outflows due to net loss of $38.4 million, adjusted for $7.3 million of non-cash items and cash outflows from changes in operating assets and liabilities of $0.5 million. The increase in net loss, net of non-cash items for the year ended December 31, 2020 compared to the year ended December 31, 2019 was mainly due to the higher operating expenses from the growth of the business, partly offset by higher revenue and decreases of certain expenses primarily due to the timing of accrual for litigation expense, and the result of actions taken to reduce discretionary spending in response to COVID-19. Cash outflows from changes in operating assets and liabilities for year ended December 31, 2020 were primarily due to timing of prepayments of certain expenses, higher accounts receivable due to the timing of collections, higher inventory due to the timing of inventory build-up and cash outflows due to increases in operating liabilities due to timing of payments. Cash outflows from changes in operating assets and liabilities for the year ended December 31, 2019 were primarily due to increases in inventories and accounts receivable as a result of increased case volumes and growth of the business, partly offset by increased operating liabilities due to the timing of payments and accrual of litigation expense related to a legal proceeding.</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Net cash used in investing activities in the year ended December 31, 2020 was $62.9 million compared to net cash provided by investing activities of $13.5 million in the year ended December 31, 2019. Net cash used in investing activities for the year ended December 31, 2020 consisted of purchases of our marketable securities, net of maturities and sales, of $60.4 million, and by purchases of purchases of property and equipment of $2.6 million. Net cash provided by investing activities for the year ended December 31, 2019 consisted of maturities of our marketable securities, net of purchases of $15.9 million, partially offset by purchases of property and equipment of $2.4 million.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Cash provided by financing activities in the year ended December 31, 2020 was $136.4 million compared to $3.5 million in the year ended December 31, 2019. The difference was primarily due to the receipt of the proceeds, net of underwriting discounts, commissions and offering costs of $134.6 million from our follow-on public offerings in January and October 2020. Cash provided by financing activities for the year ended December 31, 2020 also include proceeds from the issuance of common stock under our stock-based incentive compensation plans of $3.4 million, partly offset by debt payments associated with refinancing of our debt of $1.6 million. This compares to the cash provided by financing activities for the year ended December 31, 2019 which consisted of issuance of shares of common stock under our employee stock purchase plan of $3.7 million, partially offset by payments of additional IPO related costs of $0.2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comprehensive discussion of our significant accounting policies, refer to “Note 2 </w:t>
      </w:r>
      <w:r>
        <w:rPr>
          <w:rFonts w:ascii="Arial" w:cs="Arial" w:eastAsia="Arial" w:hAnsi="Arial"/>
          <w:sz w:val="17"/>
          <w:szCs w:val="17"/>
          <w:i w:val="1"/>
          <w:iCs w:val="1"/>
          <w:color w:val="auto"/>
        </w:rPr>
        <w:t>-</w:t>
      </w:r>
      <w:r>
        <w:rPr>
          <w:rFonts w:ascii="Arial" w:cs="Arial" w:eastAsia="Arial" w:hAnsi="Arial"/>
          <w:sz w:val="17"/>
          <w:szCs w:val="17"/>
          <w:color w:val="auto"/>
        </w:rPr>
        <w:t xml:space="preserve"> Summary of Significant Account Policies” in the accompanying Notes to Consolidated Financial Statements in Item 8 of this Form 10-K.</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adopted the new revenue standard in accordance with ASC Topic 606, Revenue from Contracts with Customers (“ASC 606”) effective January 1, 2019. The adoption of ASC 606 did not have a material effect on our revenue recognition. We derive our revenue from the sale of our products to medical groups and hospitals through our direct sales force and distributors throughout the U.S. and Europe. In accordance with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9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As it relates to majority of our revenue consisting of product sales where our sales representative delivers the product at the point of implantation at hospital or medical facilities, we recognize the revenue upon completion of the procedure and authorization by the customer, net of rebates and price discounts. We also generate a small portion of our revenue from sale of products through distributors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reduction to revenue, calculated based on the terms agreed to with the customer. Historically, there had been no significant price discounts. Sales prices are specified in either customer contract, agreed price list, or purchase order, which is executed prior to the transfer of control to the customer. For certain hospitals and medical facilities, we have agreements in place consists of either a master services agreement or an approved price list, which defines the terms and conditions of the arrangement, including the pricing information, payment terms and pertinent aspects of the relationship between the parties. We also have agreements in place with its distributors, which include standard terms that do not allow for payment contingent on resale of the product, obtaining financing, or other terms that could impact the distributor’s payment obligation. Our standard payment terms are generally net 30 to 90 days. We consider sales commissions and related expenses as incremental and recoverable costs of acquiring customer contracts. Our sales commissions paid to our sales representatives commensurate for each surgery performed. The period of benefit is concurrent when we recognize our revenue, as such, we also recognize sales commission as expense when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estimate the grant date fair value of stock options and ESPP using the Black-Scholes option valuation model. The model requires us to make a number of assumptions including expected volatility, expected term, risk-free interest rate and expected dividends. A number of these assumptions are subjective, and their determination generally require judgment.</w:t>
      </w:r>
    </w:p>
    <w:p>
      <w:pPr>
        <w:spacing w:after="0" w:line="184" w:lineRule="exact"/>
        <w:rPr>
          <w:sz w:val="20"/>
          <w:szCs w:val="20"/>
          <w:color w:val="auto"/>
        </w:rPr>
      </w:pPr>
    </w:p>
    <w:p>
      <w:pPr>
        <w:jc w:val="both"/>
        <w:ind w:left="740" w:hanging="327"/>
        <w:spacing w:after="0" w:line="286" w:lineRule="auto"/>
        <w:tabs>
          <w:tab w:leader="none" w:pos="735"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Expected Term - </w:t>
      </w:r>
      <w:r>
        <w:rPr>
          <w:rFonts w:ascii="Arial" w:cs="Arial" w:eastAsia="Arial" w:hAnsi="Arial"/>
          <w:sz w:val="17"/>
          <w:szCs w:val="17"/>
          <w:color w:val="auto"/>
        </w:rPr>
        <w:t>The expected term represents the period that we expect the share-based awards to be outstanding. We use the simplified method</w:t>
      </w:r>
      <w:r>
        <w:rPr>
          <w:rFonts w:ascii="Arial" w:cs="Arial" w:eastAsia="Arial" w:hAnsi="Arial"/>
          <w:sz w:val="17"/>
          <w:szCs w:val="17"/>
          <w:i w:val="1"/>
          <w:iCs w:val="1"/>
          <w:color w:val="auto"/>
        </w:rPr>
        <w:t xml:space="preserve"> </w:t>
      </w:r>
      <w:r>
        <w:rPr>
          <w:rFonts w:ascii="Arial" w:cs="Arial" w:eastAsia="Arial" w:hAnsi="Arial"/>
          <w:sz w:val="17"/>
          <w:szCs w:val="17"/>
          <w:color w:val="auto"/>
        </w:rPr>
        <w:t>to determine the expected term as permitted by the guidance since we have no sufficient historical exercise patterns to estimate the expected life. The simplified method is calculated as the average of the time to vesting and the contractual life of the options.</w:t>
      </w:r>
    </w:p>
    <w:p>
      <w:pPr>
        <w:spacing w:after="0" w:line="111" w:lineRule="exact"/>
        <w:rPr>
          <w:rFonts w:ascii="Arial" w:cs="Arial" w:eastAsia="Arial" w:hAnsi="Arial"/>
          <w:sz w:val="17"/>
          <w:szCs w:val="17"/>
          <w:i w:val="1"/>
          <w:iCs w:val="1"/>
          <w:color w:val="auto"/>
        </w:rPr>
      </w:pPr>
    </w:p>
    <w:p>
      <w:pPr>
        <w:jc w:val="both"/>
        <w:ind w:left="740" w:hanging="327"/>
        <w:spacing w:after="0" w:line="263" w:lineRule="auto"/>
        <w:tabs>
          <w:tab w:leader="none" w:pos="73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Since we became public in October 2018 and have no sufficient trading history, we use stock price volatility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volatilities of publicly traded companies within our industry that we consider comparable to our business over a period approximately equal to the expected term of our stock options.</w:t>
      </w:r>
    </w:p>
    <w:p>
      <w:pPr>
        <w:spacing w:after="0" w:line="183" w:lineRule="exact"/>
        <w:rPr>
          <w:rFonts w:ascii="Arial" w:cs="Arial" w:eastAsia="Arial" w:hAnsi="Arial"/>
          <w:sz w:val="18"/>
          <w:szCs w:val="18"/>
          <w:i w:val="1"/>
          <w:iCs w:val="1"/>
          <w:color w:val="auto"/>
        </w:rPr>
      </w:pPr>
    </w:p>
    <w:p>
      <w:pPr>
        <w:ind w:left="740" w:hanging="327"/>
        <w:spacing w:after="0" w:line="277" w:lineRule="auto"/>
        <w:tabs>
          <w:tab w:leader="none" w:pos="73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We base the risk-free interest rate on the U.S. Treasury zero coupon issued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7" w:name="page78"/>
    <w:bookmarkEnd w:id="77"/>
    <w:p>
      <w:pPr>
        <w:ind w:left="740" w:hanging="327"/>
        <w:spacing w:after="0" w:line="277" w:lineRule="auto"/>
        <w:tabs>
          <w:tab w:leader="none" w:pos="73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We have not paid any dividends and we have no current plans to pay dividends on our common stock. As such, we use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w:t>
      </w:r>
    </w:p>
    <w:p>
      <w:pPr>
        <w:spacing w:after="0" w:line="19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recognize stock-based compensation expense over the requisite service period using the straight-line method, which is based on the value of the portion of stock-based payment awards that is ultimately expected to vest. As such, we reduce our stock-based compensation for the estimated forfeitures at the date of grant and revised, if necessary, in subsequent periods if actual forfeitures differ from those estimates. We use historical data to estimate pre-vesting forfeitures and record stock-based compensation expense only for those awards that we expect to vest. To the extent actual forfeitures differ from the estimates, we record the difference as a cumulative adjustment in the period that the estimates are revised.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are not be subject to the same new or revised accounting standards as other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See Note 2 of Notes to Consolidated Financial Statements for related discussions on recently adopted accounting standards and updates on recently issued accounting standards not yet effective, which information is incorporated by reference 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a “smaller reporting company”, we are not required to provide the information otherwise required by this Item.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60" w:type="dxa"/>
            <w:vAlign w:val="bottom"/>
          </w:tcPr>
          <w:p>
            <w:pPr>
              <w:spacing w:after="0"/>
              <w:rPr>
                <w:sz w:val="20"/>
                <w:szCs w:val="20"/>
                <w:color w:val="auto"/>
              </w:rPr>
            </w:pPr>
          </w:p>
        </w:tc>
      </w:tr>
      <w:tr>
        <w:trPr>
          <w:trHeight w:val="459"/>
        </w:trPr>
        <w:tc>
          <w:tcPr>
            <w:tcW w:w="918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SI-BONE, INC.</w:t>
            </w:r>
          </w:p>
        </w:tc>
        <w:tc>
          <w:tcPr>
            <w:tcW w:w="2060" w:type="dxa"/>
            <w:vAlign w:val="bottom"/>
          </w:tcPr>
          <w:p>
            <w:pPr>
              <w:spacing w:after="0"/>
              <w:rPr>
                <w:sz w:val="24"/>
                <w:szCs w:val="24"/>
                <w:color w:val="auto"/>
              </w:rPr>
            </w:pPr>
          </w:p>
        </w:tc>
      </w:tr>
      <w:tr>
        <w:trPr>
          <w:trHeight w:val="459"/>
        </w:trPr>
        <w:tc>
          <w:tcPr>
            <w:tcW w:w="9180" w:type="dxa"/>
            <w:vAlign w:val="bottom"/>
          </w:tcPr>
          <w:p>
            <w:pPr>
              <w:jc w:val="center"/>
              <w:ind w:left="1970"/>
              <w:spacing w:after="0"/>
              <w:rPr>
                <w:sz w:val="20"/>
                <w:szCs w:val="20"/>
                <w:color w:val="auto"/>
              </w:rPr>
            </w:pPr>
            <w:r>
              <w:rPr>
                <w:rFonts w:ascii="Arial" w:cs="Arial" w:eastAsia="Arial" w:hAnsi="Arial"/>
                <w:sz w:val="18"/>
                <w:szCs w:val="18"/>
                <w:b w:val="1"/>
                <w:bCs w:val="1"/>
                <w:color w:val="auto"/>
              </w:rPr>
              <w:t>INDEX TO CONSOLIDATED FINANCIAL STATEMENTS</w:t>
            </w:r>
          </w:p>
        </w:tc>
        <w:tc>
          <w:tcPr>
            <w:tcW w:w="2060" w:type="dxa"/>
            <w:vAlign w:val="bottom"/>
          </w:tcPr>
          <w:p>
            <w:pPr>
              <w:spacing w:after="0"/>
              <w:rPr>
                <w:sz w:val="24"/>
                <w:szCs w:val="24"/>
                <w:color w:val="auto"/>
              </w:rPr>
            </w:pPr>
          </w:p>
        </w:tc>
      </w:tr>
      <w:tr>
        <w:trPr>
          <w:trHeight w:val="350"/>
        </w:trPr>
        <w:tc>
          <w:tcPr>
            <w:tcW w:w="9180" w:type="dxa"/>
            <w:vAlign w:val="bottom"/>
          </w:tcPr>
          <w:p>
            <w:pPr>
              <w:ind w:left="58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Report of Independent Registered Public Accounting Firm</w:t>
              </w:r>
            </w:hyperlink>
          </w:p>
        </w:tc>
        <w:tc>
          <w:tcPr>
            <w:tcW w:w="2060" w:type="dxa"/>
            <w:vAlign w:val="bottom"/>
          </w:tcPr>
          <w:p>
            <w:pPr>
              <w:jc w:val="right"/>
              <w:ind w:right="47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79</w:t>
              </w:r>
            </w:hyperlink>
          </w:p>
        </w:tc>
      </w:tr>
      <w:tr>
        <w:trPr>
          <w:trHeight w:val="229"/>
        </w:trPr>
        <w:tc>
          <w:tcPr>
            <w:tcW w:w="9180" w:type="dxa"/>
            <w:vAlign w:val="bottom"/>
          </w:tcPr>
          <w:p>
            <w:pPr>
              <w:ind w:left="58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Consolidated Balance Sheets</w:t>
              </w:r>
            </w:hyperlink>
          </w:p>
        </w:tc>
        <w:tc>
          <w:tcPr>
            <w:tcW w:w="2060" w:type="dxa"/>
            <w:vAlign w:val="bottom"/>
          </w:tcPr>
          <w:p>
            <w:pPr>
              <w:jc w:val="right"/>
              <w:ind w:right="47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80</w:t>
              </w:r>
            </w:hyperlink>
          </w:p>
        </w:tc>
      </w:tr>
      <w:tr>
        <w:trPr>
          <w:trHeight w:val="230"/>
        </w:trPr>
        <w:tc>
          <w:tcPr>
            <w:tcW w:w="9180" w:type="dxa"/>
            <w:vAlign w:val="bottom"/>
          </w:tcPr>
          <w:p>
            <w:pPr>
              <w:ind w:left="58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Consolidated Statements of Operations and Comprehensive Loss</w:t>
              </w:r>
            </w:hyperlink>
          </w:p>
        </w:tc>
        <w:tc>
          <w:tcPr>
            <w:tcW w:w="2060" w:type="dxa"/>
            <w:vAlign w:val="bottom"/>
          </w:tcPr>
          <w:p>
            <w:pPr>
              <w:jc w:val="right"/>
              <w:ind w:right="47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81</w:t>
              </w:r>
            </w:hyperlink>
          </w:p>
        </w:tc>
      </w:tr>
      <w:tr>
        <w:trPr>
          <w:trHeight w:val="229"/>
        </w:trPr>
        <w:tc>
          <w:tcPr>
            <w:tcW w:w="9180" w:type="dxa"/>
            <w:vAlign w:val="bottom"/>
          </w:tcPr>
          <w:p>
            <w:pPr>
              <w:ind w:left="58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Consolidated Statements of Changes in Stockholders' Equity</w:t>
              </w:r>
            </w:hyperlink>
          </w:p>
        </w:tc>
        <w:tc>
          <w:tcPr>
            <w:tcW w:w="2060" w:type="dxa"/>
            <w:vAlign w:val="bottom"/>
          </w:tcPr>
          <w:p>
            <w:pPr>
              <w:jc w:val="right"/>
              <w:ind w:right="47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82</w:t>
              </w:r>
            </w:hyperlink>
          </w:p>
        </w:tc>
      </w:tr>
      <w:tr>
        <w:trPr>
          <w:trHeight w:val="229"/>
        </w:trPr>
        <w:tc>
          <w:tcPr>
            <w:tcW w:w="9180" w:type="dxa"/>
            <w:vAlign w:val="bottom"/>
          </w:tcPr>
          <w:p>
            <w:pPr>
              <w:ind w:left="58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Consolidated Statements of Cash Flows</w:t>
              </w:r>
            </w:hyperlink>
          </w:p>
        </w:tc>
        <w:tc>
          <w:tcPr>
            <w:tcW w:w="2060" w:type="dxa"/>
            <w:vAlign w:val="bottom"/>
          </w:tcPr>
          <w:p>
            <w:pPr>
              <w:jc w:val="right"/>
              <w:ind w:right="47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83</w:t>
              </w:r>
            </w:hyperlink>
          </w:p>
        </w:tc>
      </w:tr>
      <w:tr>
        <w:trPr>
          <w:trHeight w:val="230"/>
        </w:trPr>
        <w:tc>
          <w:tcPr>
            <w:tcW w:w="9180" w:type="dxa"/>
            <w:vAlign w:val="bottom"/>
          </w:tcPr>
          <w:p>
            <w:pPr>
              <w:ind w:left="58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Notes to Consolidated Financial Statements</w:t>
              </w:r>
            </w:hyperlink>
          </w:p>
        </w:tc>
        <w:tc>
          <w:tcPr>
            <w:tcW w:w="2060" w:type="dxa"/>
            <w:vAlign w:val="bottom"/>
          </w:tcPr>
          <w:p>
            <w:pPr>
              <w:jc w:val="right"/>
              <w:ind w:right="47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84</w:t>
              </w:r>
            </w:hyperlink>
          </w:p>
        </w:tc>
      </w:tr>
      <w:tr>
        <w:trPr>
          <w:trHeight w:val="230"/>
        </w:trPr>
        <w:tc>
          <w:tcPr>
            <w:tcW w:w="9180" w:type="dxa"/>
            <w:vAlign w:val="bottom"/>
          </w:tcPr>
          <w:p>
            <w:pPr>
              <w:ind w:left="58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Supplementary Data</w:t>
              </w:r>
            </w:hyperlink>
          </w:p>
        </w:tc>
        <w:tc>
          <w:tcPr>
            <w:tcW w:w="2060" w:type="dxa"/>
            <w:vAlign w:val="bottom"/>
          </w:tcPr>
          <w:p>
            <w:pPr>
              <w:jc w:val="right"/>
              <w:ind w:right="47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107</w:t>
              </w:r>
            </w:hyperlink>
          </w:p>
        </w:tc>
      </w:tr>
      <w:tr>
        <w:trPr>
          <w:trHeight w:val="486"/>
        </w:trPr>
        <w:tc>
          <w:tcPr>
            <w:tcW w:w="9180" w:type="dxa"/>
            <w:vAlign w:val="bottom"/>
          </w:tcPr>
          <w:p>
            <w:pPr>
              <w:jc w:val="center"/>
              <w:ind w:left="1990"/>
              <w:spacing w:after="0"/>
              <w:rPr>
                <w:sz w:val="20"/>
                <w:szCs w:val="20"/>
                <w:color w:val="auto"/>
              </w:rPr>
            </w:pPr>
            <w:r>
              <w:rPr>
                <w:rFonts w:ascii="Arial" w:cs="Arial" w:eastAsia="Arial" w:hAnsi="Arial"/>
                <w:sz w:val="18"/>
                <w:szCs w:val="18"/>
                <w:color w:val="auto"/>
                <w:w w:val="89"/>
              </w:rPr>
              <w:t>78</w:t>
            </w:r>
          </w:p>
        </w:tc>
        <w:tc>
          <w:tcPr>
            <w:tcW w:w="2060" w:type="dxa"/>
            <w:vAlign w:val="bottom"/>
          </w:tcPr>
          <w:p>
            <w:pPr>
              <w:spacing w:after="0"/>
              <w:rPr>
                <w:sz w:val="24"/>
                <w:szCs w:val="24"/>
                <w:color w:val="auto"/>
              </w:rPr>
            </w:pPr>
          </w:p>
        </w:tc>
      </w:tr>
      <w:tr>
        <w:trPr>
          <w:trHeight w:val="358"/>
        </w:trPr>
        <w:tc>
          <w:tcPr>
            <w:tcW w:w="91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SI-BONE,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have audited the accompanying consolidated balance sheets of SI-BONE, Inc. and its subsidiaries (the “Company”) as of December 31, 2020 and 2019,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0" w:type="dxa"/>
            <w:vAlign w:val="bottom"/>
          </w:tcPr>
          <w:p>
            <w:pPr>
              <w:spacing w:after="0"/>
              <w:rPr>
                <w:sz w:val="1"/>
                <w:szCs w:val="1"/>
                <w:color w:val="auto"/>
              </w:rPr>
            </w:pPr>
          </w:p>
        </w:tc>
      </w:tr>
      <w:tr>
        <w:trPr>
          <w:trHeight w:val="229"/>
        </w:trPr>
        <w:tc>
          <w:tcPr>
            <w:tcW w:w="77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81,345</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 of $263 and $238,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29"/>
        </w:trPr>
        <w:tc>
          <w:tcPr>
            <w:tcW w:w="77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23"/>
        </w:trPr>
        <w:tc>
          <w:tcPr>
            <w:tcW w:w="774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111,462</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77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117,009</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6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29"/>
        </w:trPr>
        <w:tc>
          <w:tcPr>
            <w:tcW w:w="7740" w:type="dxa"/>
            <w:vAlign w:val="bottom"/>
          </w:tcPr>
          <w:p>
            <w:pPr>
              <w:ind w:left="340"/>
              <w:spacing w:after="0"/>
              <w:rPr>
                <w:sz w:val="20"/>
                <w:szCs w:val="20"/>
                <w:color w:val="auto"/>
              </w:rPr>
            </w:pPr>
            <w:r>
              <w:rPr>
                <w:rFonts w:ascii="Arial" w:cs="Arial" w:eastAsia="Arial" w:hAnsi="Arial"/>
                <w:sz w:val="18"/>
                <w:szCs w:val="18"/>
                <w:color w:val="auto"/>
              </w:rPr>
              <w:t>Current portion of long-term borrowings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18,774</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34,865</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54,001</w:t>
            </w:r>
          </w:p>
        </w:tc>
        <w:tc>
          <w:tcPr>
            <w:tcW w:w="0" w:type="dxa"/>
            <w:vAlign w:val="bottom"/>
          </w:tcPr>
          <w:p>
            <w:pPr>
              <w:spacing w:after="0"/>
              <w:rPr>
                <w:sz w:val="1"/>
                <w:szCs w:val="1"/>
                <w:color w:val="auto"/>
              </w:rPr>
            </w:pPr>
          </w:p>
        </w:tc>
      </w:tr>
      <w:tr>
        <w:trPr>
          <w:trHeight w:val="236"/>
        </w:trPr>
        <w:tc>
          <w:tcPr>
            <w:tcW w:w="7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6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6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Preferred stock, $0.0001 par value; 5,000,000 shares authorized; no shares issued and outstanding</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40" w:type="dxa"/>
            <w:vAlign w:val="bottom"/>
          </w:tcPr>
          <w:p>
            <w:pPr>
              <w:ind w:left="20"/>
              <w:spacing w:after="0" w:line="176" w:lineRule="exact"/>
              <w:rPr>
                <w:sz w:val="20"/>
                <w:szCs w:val="20"/>
                <w:color w:val="auto"/>
              </w:rPr>
            </w:pPr>
            <w:r>
              <w:rPr>
                <w:rFonts w:ascii="Arial" w:cs="Arial" w:eastAsia="Arial" w:hAnsi="Arial"/>
                <w:sz w:val="18"/>
                <w:szCs w:val="18"/>
                <w:color w:val="auto"/>
                <w:w w:val="93"/>
              </w:rPr>
              <w:t>Common stock, $0.0001 par value; 100,000,000 shares authorized; 32,583,220 and 25,163,803 shares</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issued and outstanding, respectively</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258,121</w:t>
            </w:r>
          </w:p>
        </w:tc>
        <w:tc>
          <w:tcPr>
            <w:tcW w:w="0" w:type="dxa"/>
            <w:vAlign w:val="bottom"/>
          </w:tcPr>
          <w:p>
            <w:pPr>
              <w:spacing w:after="0"/>
              <w:rPr>
                <w:sz w:val="1"/>
                <w:szCs w:val="1"/>
                <w:color w:val="auto"/>
              </w:rPr>
            </w:pPr>
          </w:p>
        </w:tc>
      </w:tr>
      <w:tr>
        <w:trPr>
          <w:trHeight w:val="230"/>
        </w:trPr>
        <w:tc>
          <w:tcPr>
            <w:tcW w:w="7740" w:type="dxa"/>
            <w:vAlign w:val="bottom"/>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(195,580)</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63,008</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117,009</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237490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760" w:top="769" w:right="7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w w:val="98"/>
              </w:rPr>
              <w:t>Year ended December 31,</w:t>
            </w:r>
          </w:p>
        </w:tc>
      </w:tr>
      <w:tr>
        <w:trPr>
          <w:trHeight w:val="210"/>
        </w:trPr>
        <w:tc>
          <w:tcPr>
            <w:tcW w:w="7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226"/>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67,301</w:t>
            </w:r>
          </w:p>
        </w:tc>
      </w:tr>
      <w:tr>
        <w:trPr>
          <w:trHeight w:val="229"/>
        </w:trPr>
        <w:tc>
          <w:tcPr>
            <w:tcW w:w="78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6,790</w:t>
            </w:r>
          </w:p>
        </w:tc>
      </w:tr>
      <w:tr>
        <w:trPr>
          <w:trHeight w:val="223"/>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60,511</w:t>
            </w:r>
          </w:p>
        </w:tc>
      </w:tr>
      <w:tr>
        <w:trPr>
          <w:trHeight w:val="209"/>
        </w:trPr>
        <w:tc>
          <w:tcPr>
            <w:tcW w:w="782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68,251</w:t>
            </w:r>
          </w:p>
        </w:tc>
      </w:tr>
      <w:tr>
        <w:trPr>
          <w:trHeight w:val="230"/>
        </w:trPr>
        <w:tc>
          <w:tcPr>
            <w:tcW w:w="782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7,279</w:t>
            </w: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20,984</w:t>
            </w:r>
          </w:p>
        </w:tc>
      </w:tr>
      <w:tr>
        <w:trPr>
          <w:trHeight w:val="223"/>
        </w:trPr>
        <w:tc>
          <w:tcPr>
            <w:tcW w:w="78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96,514</w:t>
            </w:r>
          </w:p>
        </w:tc>
      </w:tr>
      <w:tr>
        <w:trPr>
          <w:trHeight w:val="223"/>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(36,003)</w:t>
            </w:r>
          </w:p>
        </w:tc>
      </w:tr>
      <w:tr>
        <w:trPr>
          <w:trHeight w:val="230"/>
        </w:trPr>
        <w:tc>
          <w:tcPr>
            <w:tcW w:w="782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782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(4,949)</w:t>
            </w:r>
          </w:p>
        </w:tc>
      </w:tr>
      <w:tr>
        <w:trPr>
          <w:trHeight w:val="230"/>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20" w:type="dxa"/>
            <w:vAlign w:val="bottom"/>
          </w:tcPr>
          <w:p>
            <w:pPr>
              <w:ind w:left="6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(38,403)</w:t>
            </w:r>
          </w:p>
        </w:tc>
      </w:tr>
      <w:tr>
        <w:trPr>
          <w:trHeight w:val="230"/>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820" w:type="dxa"/>
            <w:vAlign w:val="bottom"/>
          </w:tcPr>
          <w:p>
            <w:pPr>
              <w:ind w:left="500"/>
              <w:spacing w:after="0"/>
              <w:rPr>
                <w:sz w:val="20"/>
                <w:szCs w:val="20"/>
                <w:color w:val="auto"/>
              </w:rPr>
            </w:pPr>
            <w:r>
              <w:rPr>
                <w:rFonts w:ascii="Arial" w:cs="Arial" w:eastAsia="Arial" w:hAnsi="Arial"/>
                <w:sz w:val="18"/>
                <w:szCs w:val="18"/>
                <w:color w:val="auto"/>
              </w:rPr>
              <w:t>Unrealized gain (loss) of marketable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820" w:type="dxa"/>
            <w:vAlign w:val="bottom"/>
          </w:tcPr>
          <w:p>
            <w:pPr>
              <w:ind w:left="6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82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820" w:type="dxa"/>
            <w:vAlign w:val="bottom"/>
          </w:tcPr>
          <w:p>
            <w:pPr>
              <w:ind w:left="60"/>
              <w:spacing w:after="0"/>
              <w:rPr>
                <w:sz w:val="20"/>
                <w:szCs w:val="20"/>
                <w:color w:val="auto"/>
              </w:rPr>
            </w:pPr>
            <w:r>
              <w:rPr>
                <w:rFonts w:ascii="Arial" w:cs="Arial" w:eastAsia="Arial" w:hAnsi="Arial"/>
                <w:sz w:val="18"/>
                <w:szCs w:val="18"/>
                <w:color w:val="auto"/>
                <w:w w:val="97"/>
              </w:rPr>
              <w:t>Weighted-average number of common shares used to compute basic and diluted net loss per share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29,059,171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24,705,980</w:t>
            </w: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769" w:right="7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900" w:type="dxa"/>
            <w:vAlign w:val="bottom"/>
            <w:gridSpan w:val="4"/>
            <w:vMerge w:val="restart"/>
          </w:tcPr>
          <w:p>
            <w:pPr>
              <w:jc w:val="right"/>
              <w:ind w:right="33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3"/>
              </w:rPr>
              <w:t>Paid-in</w:t>
            </w:r>
          </w:p>
        </w:tc>
        <w:tc>
          <w:tcPr>
            <w:tcW w:w="120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9"/>
              </w:rPr>
              <w:t>Accumulated</w:t>
            </w:r>
          </w:p>
        </w:tc>
        <w:tc>
          <w:tcPr>
            <w:tcW w:w="10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07"/>
        </w:trPr>
        <w:tc>
          <w:tcPr>
            <w:tcW w:w="486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7"/>
                <w:szCs w:val="17"/>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24,450,757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246,927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(157,177)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90,192</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w w:val="93"/>
              </w:rPr>
              <w:t>Issuance of common stock upon exercise of stock options, net of</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444,788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Issuance of common stock related to employee stock 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168,457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w w:val="94"/>
              </w:rPr>
              <w:t>Issuance of common stock upon 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108,631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unvested early exercised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Additional accrual of IPO related costs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25,163,803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258,121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(195,580)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63,008</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from public offerings, net of</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6,613,560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134,616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134,616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discounts, commissions and offering costs</w:t>
            </w: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w w:val="93"/>
              </w:rPr>
              <w:t>Issuance of common stock upon exercise of stock options, net of</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323,701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Issuance of common stock related to employee stock 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137,377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w w:val="94"/>
              </w:rPr>
              <w:t>Issuance of common stock upon 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344,779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(43,697)</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32,583,220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408,113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(239,277)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169,363</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891" w:right="39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7"/>
              </w:rPr>
              <w:t>Year ended December 31,</w:t>
            </w:r>
          </w:p>
        </w:tc>
      </w:tr>
      <w:tr>
        <w:trPr>
          <w:trHeight w:val="210"/>
        </w:trPr>
        <w:tc>
          <w:tcPr>
            <w:tcW w:w="77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19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7740" w:type="dxa"/>
            <w:vAlign w:val="bottom"/>
          </w:tcPr>
          <w:p>
            <w:pPr>
              <w:ind w:left="6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(43,697)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(38,403)</w:t>
            </w:r>
          </w:p>
        </w:tc>
      </w:tr>
      <w:tr>
        <w:trPr>
          <w:trHeight w:val="21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74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7,464</w:t>
            </w:r>
          </w:p>
        </w:tc>
      </w:tr>
      <w:tr>
        <w:trPr>
          <w:trHeight w:val="219"/>
        </w:trPr>
        <w:tc>
          <w:tcPr>
            <w:tcW w:w="7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r>
      <w:tr>
        <w:trPr>
          <w:trHeight w:val="213"/>
        </w:trPr>
        <w:tc>
          <w:tcPr>
            <w:tcW w:w="7740" w:type="dxa"/>
            <w:vAlign w:val="bottom"/>
          </w:tcPr>
          <w:p>
            <w:pPr>
              <w:ind w:left="500"/>
              <w:spacing w:after="0"/>
              <w:rPr>
                <w:sz w:val="20"/>
                <w:szCs w:val="20"/>
                <w:color w:val="auto"/>
              </w:rPr>
            </w:pPr>
            <w:r>
              <w:rPr>
                <w:rFonts w:ascii="Arial" w:cs="Arial" w:eastAsia="Arial" w:hAnsi="Arial"/>
                <w:sz w:val="16"/>
                <w:szCs w:val="16"/>
                <w:color w:val="auto"/>
              </w:rPr>
              <w:t>Bad debt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Accretion of discount on 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r>
      <w:tr>
        <w:trPr>
          <w:trHeight w:val="213"/>
        </w:trPr>
        <w:tc>
          <w:tcPr>
            <w:tcW w:w="7740" w:type="dxa"/>
            <w:vAlign w:val="bottom"/>
          </w:tcPr>
          <w:p>
            <w:pPr>
              <w:ind w:left="500"/>
              <w:spacing w:after="0"/>
              <w:rPr>
                <w:sz w:val="20"/>
                <w:szCs w:val="20"/>
                <w:color w:val="auto"/>
              </w:rPr>
            </w:pPr>
            <w:r>
              <w:rPr>
                <w:rFonts w:ascii="Arial" w:cs="Arial" w:eastAsia="Arial" w:hAnsi="Arial"/>
                <w:sz w:val="16"/>
                <w:szCs w:val="16"/>
                <w:color w:val="auto"/>
              </w:rPr>
              <w:t>Realized gain on marketable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3"/>
        </w:trPr>
        <w:tc>
          <w:tcPr>
            <w:tcW w:w="774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Loss on sale and disposal of property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7740" w:type="dxa"/>
            <w:vAlign w:val="bottom"/>
          </w:tcPr>
          <w:p>
            <w:pPr>
              <w:ind w:left="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r>
      <w:tr>
        <w:trPr>
          <w:trHeight w:val="213"/>
        </w:trPr>
        <w:tc>
          <w:tcPr>
            <w:tcW w:w="774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(2,105)</w:t>
            </w:r>
          </w:p>
        </w:tc>
      </w:tr>
      <w:tr>
        <w:trPr>
          <w:trHeight w:val="219"/>
        </w:trPr>
        <w:tc>
          <w:tcPr>
            <w:tcW w:w="7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3"/>
        </w:trPr>
        <w:tc>
          <w:tcPr>
            <w:tcW w:w="77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9"/>
        </w:trPr>
        <w:tc>
          <w:tcPr>
            <w:tcW w:w="7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liabilities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4,994</w:t>
            </w:r>
          </w:p>
        </w:tc>
      </w:tr>
      <w:tr>
        <w:trPr>
          <w:trHeight w:val="207"/>
        </w:trPr>
        <w:tc>
          <w:tcPr>
            <w:tcW w:w="7740" w:type="dxa"/>
            <w:vAlign w:val="bottom"/>
            <w:tcBorders>
              <w:bottom w:val="single" w:sz="8" w:color="CCEEFF"/>
            </w:tcBorders>
          </w:tcPr>
          <w:p>
            <w:pPr>
              <w:ind w:left="9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(31,627)</w:t>
            </w:r>
          </w:p>
        </w:tc>
      </w:tr>
      <w:tr>
        <w:trPr>
          <w:trHeight w:val="19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7740" w:type="dxa"/>
            <w:vAlign w:val="bottom"/>
          </w:tcPr>
          <w:p>
            <w:pPr>
              <w:ind w:left="60"/>
              <w:spacing w:after="0"/>
              <w:rPr>
                <w:sz w:val="20"/>
                <w:szCs w:val="20"/>
                <w:color w:val="auto"/>
              </w:rPr>
            </w:pPr>
            <w:r>
              <w:rPr>
                <w:rFonts w:ascii="Arial" w:cs="Arial" w:eastAsia="Arial" w:hAnsi="Arial"/>
                <w:sz w:val="16"/>
                <w:szCs w:val="16"/>
                <w:color w:val="auto"/>
              </w:rPr>
              <w:t>Maturities of marketable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104,716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159,800</w:t>
            </w:r>
          </w:p>
        </w:tc>
      </w:tr>
      <w:tr>
        <w:trPr>
          <w:trHeight w:val="21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Sales of 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Pr>
          <w:p>
            <w:pPr>
              <w:ind w:left="60"/>
              <w:spacing w:after="0"/>
              <w:rPr>
                <w:sz w:val="20"/>
                <w:szCs w:val="20"/>
                <w:color w:val="auto"/>
              </w:rPr>
            </w:pPr>
            <w:r>
              <w:rPr>
                <w:rFonts w:ascii="Arial" w:cs="Arial" w:eastAsia="Arial" w:hAnsi="Arial"/>
                <w:sz w:val="16"/>
                <w:szCs w:val="16"/>
                <w:color w:val="auto"/>
              </w:rPr>
              <w:t>Purchases of marketable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(179,166)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(143,864)</w:t>
            </w:r>
          </w:p>
        </w:tc>
      </w:tr>
      <w:tr>
        <w:trPr>
          <w:trHeight w:val="21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w:t>
            </w:r>
          </w:p>
        </w:tc>
      </w:tr>
      <w:tr>
        <w:trPr>
          <w:trHeight w:val="206"/>
        </w:trPr>
        <w:tc>
          <w:tcPr>
            <w:tcW w:w="7740" w:type="dxa"/>
            <w:vAlign w:val="bottom"/>
            <w:tcBorders>
              <w:bottom w:val="single" w:sz="8" w:color="CCEEFF"/>
            </w:tcBorders>
          </w:tcPr>
          <w:p>
            <w:pPr>
              <w:ind w:left="94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13,491</w:t>
            </w:r>
          </w:p>
        </w:tc>
      </w:tr>
      <w:tr>
        <w:trPr>
          <w:trHeight w:val="19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follow-on public offering, net of underwriting discounts, commissions and offering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134,616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debt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Principal repayments of debt financing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(45,297)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Payments of prepayment penalty and lender fees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exercise of common stock options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unvested early exercised stock options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Payments of initial public offering costs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7740" w:type="dxa"/>
            <w:vAlign w:val="bottom"/>
            <w:tcBorders>
              <w:top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136,401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r>
      <w:tr>
        <w:trPr>
          <w:trHeight w:val="207"/>
        </w:trPr>
        <w:tc>
          <w:tcPr>
            <w:tcW w:w="774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77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(14,685)</w:t>
            </w:r>
          </w:p>
        </w:tc>
      </w:tr>
      <w:tr>
        <w:trPr>
          <w:trHeight w:val="213"/>
        </w:trPr>
        <w:tc>
          <w:tcPr>
            <w:tcW w:w="7740" w:type="dxa"/>
            <w:vAlign w:val="bottom"/>
          </w:tcPr>
          <w:p>
            <w:pPr>
              <w:ind w:left="60"/>
              <w:spacing w:after="0"/>
              <w:rPr>
                <w:sz w:val="20"/>
                <w:szCs w:val="20"/>
                <w:color w:val="auto"/>
              </w:rPr>
            </w:pPr>
            <w:r>
              <w:rPr>
                <w:rFonts w:ascii="Arial" w:cs="Arial" w:eastAsia="Arial" w:hAnsi="Arial"/>
                <w:sz w:val="16"/>
                <w:szCs w:val="16"/>
                <w:b w:val="1"/>
                <w:bCs w:val="1"/>
                <w:color w:val="auto"/>
              </w:rPr>
              <w:t>Cash and cash equivalents at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25,120</w:t>
            </w:r>
          </w:p>
        </w:tc>
      </w:tr>
      <w:tr>
        <w:trPr>
          <w:trHeight w:val="206"/>
        </w:trPr>
        <w:tc>
          <w:tcPr>
            <w:tcW w:w="7740" w:type="dxa"/>
            <w:vAlign w:val="bottom"/>
          </w:tcPr>
          <w:p>
            <w:pPr>
              <w:ind w:left="60"/>
              <w:spacing w:after="0"/>
              <w:rPr>
                <w:sz w:val="20"/>
                <w:szCs w:val="20"/>
                <w:color w:val="auto"/>
              </w:rPr>
            </w:pPr>
            <w:r>
              <w:rPr>
                <w:rFonts w:ascii="Arial" w:cs="Arial" w:eastAsia="Arial" w:hAnsi="Arial"/>
                <w:sz w:val="16"/>
                <w:szCs w:val="16"/>
                <w:color w:val="auto"/>
              </w:rPr>
              <w:t>End of year</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3"/>
        </w:trPr>
        <w:tc>
          <w:tcPr>
            <w:tcW w:w="7740" w:type="dxa"/>
            <w:vAlign w:val="bottom"/>
          </w:tcPr>
          <w:p>
            <w:pPr>
              <w:ind w:left="60"/>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4,276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4,949</w:t>
            </w:r>
          </w:p>
        </w:tc>
      </w:tr>
      <w:tr>
        <w:trPr>
          <w:trHeight w:val="21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740" w:type="dxa"/>
            <w:vAlign w:val="bottom"/>
          </w:tcPr>
          <w:p>
            <w:pPr>
              <w:ind w:left="60"/>
              <w:spacing w:after="0"/>
              <w:rPr>
                <w:sz w:val="20"/>
                <w:szCs w:val="20"/>
                <w:color w:val="auto"/>
              </w:rPr>
            </w:pPr>
            <w:r>
              <w:rPr>
                <w:rFonts w:ascii="Arial" w:cs="Arial" w:eastAsia="Arial" w:hAnsi="Arial"/>
                <w:sz w:val="16"/>
                <w:szCs w:val="16"/>
                <w:color w:val="auto"/>
              </w:rPr>
              <w:t>Vesting of early exercised stock options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9"/>
        </w:trPr>
        <w:tc>
          <w:tcPr>
            <w:tcW w:w="7740" w:type="dxa"/>
            <w:vAlign w:val="bottom"/>
            <w:shd w:val="clear" w:color="auto" w:fill="CCEEFF"/>
          </w:tcPr>
          <w:p>
            <w:pPr>
              <w:ind w:left="60"/>
              <w:spacing w:after="0"/>
              <w:rPr>
                <w:sz w:val="20"/>
                <w:szCs w:val="20"/>
                <w:color w:val="auto"/>
              </w:rPr>
            </w:pPr>
            <w:r>
              <w:rPr>
                <w:rFonts w:ascii="Arial" w:cs="Arial" w:eastAsia="Arial" w:hAnsi="Arial"/>
                <w:sz w:val="16"/>
                <w:szCs w:val="16"/>
                <w:color w:val="auto"/>
              </w:rPr>
              <w:t>Unpaid purchases of property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360"/>
          </w:cols>
          <w:pgMar w:left="760" w:top="98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252095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760" w:top="985" w:right="77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U.S., in 2010 in certain countries in the European Union, and in 2015 in certain countries in the rest of the world.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Offerings of Common Stock</w:t>
      </w:r>
    </w:p>
    <w:p>
      <w:pPr>
        <w:spacing w:after="0" w:line="22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In October 2018, the Company completed its initial public offering (“IPO”) by issuing 8,280,000 shares of common stock, at an offering price of $15.00 per share for net proceeds of $113.4 million to the Company, net of underwriting discounts and commissions and offering costs.</w:t>
      </w:r>
    </w:p>
    <w:p>
      <w:pPr>
        <w:spacing w:after="0" w:line="146"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In January 2020, the Company received $50.0 million net proceeds, after deducting the underwriting discounts and commissions, from its public offering of 4,300,000 shares of the Company's common stock at a public offering price of $21.50 per share, of which 2,490,053 shares were offered and sold by the Company. Further, in February 2020, the underwriters fully exercised its option to purchase 645,000 shares of the Company's common stock at a public offering price of $21.50 per share for an additional net proceeds of $13.0 million to the Company, after deducting the underwriting discounts and commissions. The total public offering costs incurred in connection with the follow-on offering were allocated based on the gross proceeds received by the Company and the other selling shareholders on a pro-rated basis. Public offering cost of $0.4 million allocated to selling of shares by the Company was charged against the gross proceeds received from the follow-on offering. Public offering costs of $0.2 million allocated to selling of shares by the selling shareholders was recognized as transaction costs within general and administrative expenses on the consolidated statements of operations in the year ended December 31, 2020.</w:t>
      </w:r>
    </w:p>
    <w:p>
      <w:pPr>
        <w:spacing w:after="0" w:line="19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October 2020, the Company received $71.6 million of net proceeds from its second follow-on public offering of 3,000,000 shares of the Company's common stock, and the exercise of underwriter's option to purchase from the Company an additional 478,507 shares of the Company's common stock, at a public offering price of $22.00 per share. In addition to the shares sold by the Company in the second follow-on offering, in October 2020, the selling stockholder sold 190,053 shares of the Company's common stock previously held by the selling stockholder at a price to the public of $22.00 per share. The Company did not receive any proceeds from the sale by the selling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primarily includes the fair value of stock options. Estimates are based on historical experience, where applicable and other assumptions believed to be reasonable by the management. Actual results could differ from those estimates.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As an emerging growth company under the Jumpstart Our Business Startups Act of 2012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The Company continues to be an emerging growth company until December 31, 2023, unless one of the following occurs: (i) if the Company's total annual gross revenues are $1.07 billion or more; or (ii) the Company has issued more than $1.0 billion in non-convertible debt in the past three years; or (iii) the Company becomes a “large accelerated filer,” as defined in Rule 12b-2 of the Exchange Act.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Operating segments are based on components of the Company that engage in business activities that earn revenue and incur expenses and (a) whose operating results are regularly reviewed by the Company’s chief operating decision maker (“CODM”), to make decisions about resource allocation and performance and (b) for which discrete financial information is available. The CODM for the Company are the Chief Executive Officer (“CEO”) and Chief Operating Officer &amp; Chief Financial Officer (“COO/CFO”). The CEO and the COO/CFO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1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p>
      <w:pPr>
        <w:spacing w:after="0" w:line="265"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7"/>
              </w:rPr>
              <w:t>Year ended December 31,</w:t>
            </w:r>
          </w:p>
        </w:tc>
      </w:tr>
      <w:tr>
        <w:trPr>
          <w:trHeight w:val="210"/>
        </w:trPr>
        <w:tc>
          <w:tcPr>
            <w:tcW w:w="7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2019</w:t>
            </w:r>
          </w:p>
        </w:tc>
      </w:tr>
      <w:tr>
        <w:trPr>
          <w:trHeight w:val="209"/>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r>
      <w:tr>
        <w:trPr>
          <w:trHeight w:val="23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61,843</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marketable securities. The Company’s cash and marketable securities are deposited with financial institutions in the U.S. and in Europe. The majority of the Company’s cash and marketable securities are deposited with a single financial institution in the U.S. Deposits in this institution exceed the amount of insurance provided on such deposits. The Company has not experienced any net losses on its deposits of cash and marketable securities.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U.S., and no customer accounts for more than 10% of total revenue or gross accounts receivable in any period presented.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Company is subject to risks and uncertainties as a result of the COVID-19 pandemic. The extent of the impact of the COVID-19 pandemic on the Company's business is highly uncertain and difficult to predict, as the response to the pandemic and the information surrounding the pandemic is rapidly evolving. 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The Company's future results of operations and liquidity could be adversely impacted by delays in payments of outstanding receivable amounts beyond normal payment terms, supply chain disruptions and uncertain demand, excess and obsolete inventory, and the impact of any initiatives and programs that the Company may undertake to address financial and operations challenges faced by its customers.</w:t>
      </w:r>
    </w:p>
    <w:p>
      <w:pPr>
        <w:spacing w:after="0" w:line="12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Company is also subject to risks common to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and uncertainty of market acceptance of products. 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As of December 31, 2020, the Company had cash and marketable securities of $196.4 million compared to $93.1 million as of December 31, 2019. The Company has financed its operations through our public offerings, debt financing arrangements, and the sale of its products. As of December 31, 2020 and 2019 the Company had $39.5 million and $39.2 million outstanding debt, respectively. As of December 31, 2020, the Company's accumulated deficit was $239.3 million. During the years ended December 31, 2020 and 2019, the Company incurred a net loss of $43.7 million and $38.4 million, respectively. The Company has not achieved positive cash flow from operations to date.</w:t>
      </w:r>
    </w:p>
    <w:p>
      <w:pPr>
        <w:spacing w:after="0" w:line="203"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Based upon the Company's current operating plan, the Company believes that its existing cash and marketable securities will enable the Company to fund its operating expenses and capital expenditure requirements through at least the next 12 months. However, the economic impact of the duration and severity of the COVID-19 pandemic, and the Company's responses thereto (including such actions that the Company had taken or may take in the future as disclosed elsewhere in this Report) poses risk and uncertainties in its future available capital resources. Further, the Company may face challenges and uncertainties and, as a result, its available capital resources may be consumed more rapidly than currently expected due to, but not limited to, the following as a result of the COVID-19 pandemic or otherwise: (a) decreases in sales of its products and the uncertainty of future revenues from new products;</w:t>
      </w:r>
    </w:p>
    <w:p>
      <w:pPr>
        <w:spacing w:after="0" w:line="4" w:lineRule="exact"/>
        <w:rPr>
          <w:sz w:val="20"/>
          <w:szCs w:val="20"/>
          <w:color w:val="auto"/>
        </w:rPr>
      </w:pPr>
    </w:p>
    <w:p>
      <w:pPr>
        <w:jc w:val="both"/>
        <w:ind w:firstLine="8"/>
        <w:spacing w:after="0" w:line="255" w:lineRule="auto"/>
        <w:tabs>
          <w:tab w:leader="none" w:pos="2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that the Company may make to the business that affect ongoing operating expenses; (c) changes that the Company may make in its business strategy; (d) regulatory developments affecting its existing products; (e) changes the Company may make in its research and development spending plans; and (f) other items affecting the Company's forecasted level of expenditures and use of cash resources.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3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1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Company's marketable securities primarily consist of investments in money market funds, U.S. treasury securities, corporate bonds and commercial paper. All of the Company's marketable securities are available-for-sale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Unrealized gains and losses on available-for-sale securities are recorded in accumulated other comprehensive income (loss) (“OCI”) on the consolidated balance sheets. The Company evaluates its investments to assess whether those in unrealized loss positions are other-than-temporarily impaired. The Company considers impairments to be other-than-temporary if they are related to deterioration in credit risk or if it is likely the Company will sell the securities before the recovery of their cost basis. Realized gains and losses and declines in value judged to be other-than-temporary are determined based on the specific identification method and are reported in other income (expense), net in the consolidated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such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r>
      <w:tr>
        <w:trPr>
          <w:trHeight w:val="230"/>
        </w:trPr>
        <w:tc>
          <w:tcPr>
            <w:tcW w:w="5180" w:type="dxa"/>
            <w:vAlign w:val="bottom"/>
          </w:tcPr>
          <w:p>
            <w:pPr>
              <w:ind w:left="60"/>
              <w:spacing w:after="0"/>
              <w:rPr>
                <w:sz w:val="20"/>
                <w:szCs w:val="20"/>
                <w:color w:val="auto"/>
              </w:rPr>
            </w:pPr>
            <w:r>
              <w:rPr>
                <w:rFonts w:ascii="Arial" w:cs="Arial" w:eastAsia="Arial" w:hAnsi="Arial"/>
                <w:sz w:val="18"/>
                <w:szCs w:val="18"/>
                <w:color w:val="auto"/>
              </w:rPr>
              <w:t>Machinery and equipment</w:t>
            </w:r>
          </w:p>
        </w:tc>
        <w:tc>
          <w:tcPr>
            <w:tcW w:w="2960" w:type="dxa"/>
            <w:vAlign w:val="bottom"/>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30"/>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2960" w:type="dxa"/>
            <w:vAlign w:val="bottom"/>
            <w:shd w:val="clear" w:color="auto" w:fill="CCEEFF"/>
          </w:tcPr>
          <w:p>
            <w:pPr>
              <w:spacing w:after="0"/>
              <w:rPr>
                <w:sz w:val="19"/>
                <w:szCs w:val="19"/>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years</w:t>
            </w:r>
          </w:p>
        </w:tc>
      </w:tr>
    </w:tbl>
    <w:p>
      <w:pPr>
        <w:spacing w:after="0" w:line="14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Through December 31, 2020 and 2019, the Company has not experienced impairment losses on its long-lived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U.S. and Europe.</w:t>
      </w:r>
    </w:p>
    <w:p>
      <w:pPr>
        <w:spacing w:after="0" w:line="17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Company adopted the new revenue standard in accordance with ASC Topic 606, Revenue from Contracts with Customers (“ASC 606”) effective for the fiscal year ended December 31, 2019. Revenue is recognized when control is transferred to the customer, in an amount that reflects the consideration the Company expects to be entitled to in exchange for the goods or services. Under the new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distributors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 calculated based on the terms agreed to with the customer. Historically, there had been no significant price discounts. Sales prices are specified in either the customer contract, agreed price list, or purchase order,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Shipping and handling costs are treated as fulfillment costs, which are expensed as incurred and are included in cost of goods sold.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to Obtain Customer Contracts</w:t>
      </w:r>
    </w:p>
    <w:p>
      <w:pPr>
        <w:spacing w:after="0" w:line="225"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Sales commissions and related expenses are considered incremental and recoverable costs of acquiring customer contracts. The Company’s sales commissions paid to its sales representatives are generally based on the surgeries performed. The Company applied the practical expedient that permits an entity to expense the cost to obtain a contract as incurred when the expected amortization is one year or less. The period of benefit is concurrent with when the Company recognizes its revenue and as such, the Company recognizes sales commission as expense when incurred.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Warranty</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2020 and 2019.</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accordance with the Patient Protection and Affordable Care Act, effective January 1, 2013, the Company began to incur an excise tax on sales of medical devices in the U.S. The Company recorded the medical device excise tax within the cost of goods sold in the consolidated statements of operations and comprehensive loss when incurred. Effective January 1, 2016, the Consolidated Appropriations Act of 2016, which was signed into law in December 2015, included a two-year suspension on the medical device excise tax. In January 2018, the suspension on the tax on medical devices was further extended through January 1, 2020. In December 2019, the U.S. Senate passed a bipartisan legislation to permanently repeal the medical device excise tax.</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primarily include: (1) employee-related expenses, including salaries, benefits, travel and non-cash stock-based compensation expense; (2) external research and development expenses; and (3) other expenses, which include direct and allocated expenses for facilities and other costs.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advertising is expensed as incurred and is included under sales and marketing expense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$0.3 million and $0.4 million for the year ended December 31, 2020 and 2019, respectively.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Contingency</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7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both"/>
        <w:ind w:left="420" w:hanging="331"/>
        <w:spacing w:after="0" w:line="286" w:lineRule="auto"/>
        <w:tabs>
          <w:tab w:leader="none" w:pos="415" w:val="left"/>
        </w:tabs>
        <w:numPr>
          <w:ilvl w:val="0"/>
          <w:numId w:val="5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Expected Term - </w:t>
      </w:r>
      <w:r>
        <w:rPr>
          <w:rFonts w:ascii="Arial" w:cs="Arial" w:eastAsia="Arial" w:hAnsi="Arial"/>
          <w:sz w:val="17"/>
          <w:szCs w:val="17"/>
          <w:color w:val="auto"/>
        </w:rPr>
        <w:t>The expected term represents the period that the share-based awards are expected to be outstanding. The Company uses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simplified method to determine the expected term as permitted by the guidance since the Company has no sufficient historical exercise patterns to estimate the expected life. The simplified method is calculated as the average of the time to vesting and the contractual life of the options.</w:t>
      </w:r>
    </w:p>
    <w:p>
      <w:pPr>
        <w:spacing w:after="0" w:line="111" w:lineRule="exact"/>
        <w:rPr>
          <w:rFonts w:ascii="Arial" w:cs="Arial" w:eastAsia="Arial" w:hAnsi="Arial"/>
          <w:sz w:val="17"/>
          <w:szCs w:val="17"/>
          <w:i w:val="1"/>
          <w:iCs w:val="1"/>
          <w:color w:val="auto"/>
        </w:rPr>
      </w:pPr>
    </w:p>
    <w:p>
      <w:pPr>
        <w:jc w:val="both"/>
        <w:ind w:left="420" w:hanging="331"/>
        <w:spacing w:after="0" w:line="263" w:lineRule="auto"/>
        <w:tabs>
          <w:tab w:leader="none" w:pos="41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Since the Company became public in October 2018 and has no sufficient trading history, the Company uses stock price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average historical volatilities of publicly traded companies within its industry that the Company considers to be comparable to its business over a period approximately equal to the expected term for its stock options.</w:t>
      </w:r>
    </w:p>
    <w:p>
      <w:pPr>
        <w:spacing w:after="0" w:line="129" w:lineRule="exact"/>
        <w:rPr>
          <w:rFonts w:ascii="Arial" w:cs="Arial" w:eastAsia="Arial" w:hAnsi="Arial"/>
          <w:sz w:val="18"/>
          <w:szCs w:val="18"/>
          <w:i w:val="1"/>
          <w:iCs w:val="1"/>
          <w:color w:val="auto"/>
        </w:rPr>
      </w:pPr>
    </w:p>
    <w:p>
      <w:pPr>
        <w:ind w:left="420" w:hanging="331"/>
        <w:spacing w:after="0" w:line="277" w:lineRule="auto"/>
        <w:tabs>
          <w:tab w:leader="none" w:pos="41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interest rate is based on the U.S. Treasury zero coupon issued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6" w:lineRule="exact"/>
        <w:rPr>
          <w:rFonts w:ascii="Arial" w:cs="Arial" w:eastAsia="Arial" w:hAnsi="Arial"/>
          <w:sz w:val="18"/>
          <w:szCs w:val="18"/>
          <w:i w:val="1"/>
          <w:iCs w:val="1"/>
          <w:color w:val="auto"/>
        </w:rPr>
      </w:pPr>
    </w:p>
    <w:p>
      <w:pPr>
        <w:ind w:left="420" w:hanging="331"/>
        <w:spacing w:after="0" w:line="277" w:lineRule="auto"/>
        <w:tabs>
          <w:tab w:leader="none" w:pos="41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has not paid any dividends and has no current plans to pay dividends on its common stock. As such,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uses expected dividend yield of zero.</w:t>
      </w:r>
    </w:p>
    <w:p>
      <w:pPr>
        <w:spacing w:after="0" w:line="170" w:lineRule="exact"/>
        <w:rPr>
          <w:rFonts w:ascii="Arial" w:cs="Arial" w:eastAsia="Arial" w:hAnsi="Arial"/>
          <w:sz w:val="18"/>
          <w:szCs w:val="18"/>
          <w:i w:val="1"/>
          <w:iCs w:val="1"/>
          <w:color w:val="auto"/>
        </w:rPr>
      </w:pPr>
    </w:p>
    <w:p>
      <w:pPr>
        <w:ind w:left="420"/>
        <w:spacing w:after="0"/>
        <w:rPr>
          <w:rFonts w:ascii="Arial" w:cs="Arial" w:eastAsia="Arial" w:hAnsi="Arial"/>
          <w:sz w:val="18"/>
          <w:szCs w:val="18"/>
          <w:i w:val="1"/>
          <w:iCs w:val="1"/>
          <w:color w:val="auto"/>
        </w:rPr>
      </w:pPr>
      <w:r>
        <w:rPr>
          <w:rFonts w:ascii="Arial" w:cs="Arial" w:eastAsia="Arial" w:hAnsi="Arial"/>
          <w:sz w:val="17"/>
          <w:szCs w:val="17"/>
          <w:color w:val="auto"/>
        </w:rPr>
        <w:t>The fair value of the restricted stock unit (“RSU”) grant is based on the market price of the Company’s common stock on the date of grant.</w:t>
      </w:r>
    </w:p>
    <w:p>
      <w:pPr>
        <w:spacing w:after="0" w:line="2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Prior to IPO, the fair value of the shares of the Company's common stock has historically been determined by its Board of Directors since there were no public market information available for the Company's common stock. The estimated fair value of the Company's common stock was determined at each valuation date in accordance with the guidelines outlined in the </w:t>
      </w:r>
      <w:r>
        <w:rPr>
          <w:rFonts w:ascii="Arial" w:cs="Arial" w:eastAsia="Arial" w:hAnsi="Arial"/>
          <w:sz w:val="18"/>
          <w:szCs w:val="18"/>
          <w:i w:val="1"/>
          <w:iCs w:val="1"/>
          <w:color w:val="auto"/>
        </w:rPr>
        <w:t>American Institute of Certified Public Accountants Practice Aid, 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 Subsequent to its IPO, the Company uses the market closing price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as reported on the Nasdaq Global Market on the date of grant.</w:t>
      </w:r>
    </w:p>
    <w:p>
      <w:pPr>
        <w:spacing w:after="0" w:line="13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9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uncertain tax positions when it meets a more-likely-than-not threshold. The Company recognizes potential accrued interest and penalties related to unrecognized tax benefits as income tax expense.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Company calculates basic and diluted net loss per common share attributable to shareholders in conformity with the two-class method required for companies with participating securities. The Company considers all early exercised stock options to be participating securities as the holders are entitled to receive dividends on a pari passu basis in the event that a dividend is paid on common stock. Under the two-class method, the net loss attributable to common stock is not allocated to the early exercised stock options as the holders do not have a contractual obligation to share in losses.</w:t>
      </w:r>
    </w:p>
    <w:p>
      <w:pPr>
        <w:spacing w:after="0" w:line="10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and warrants are considered to be potentially dilutive securities. Because the Company has reported a net loss in all periods presented, common stock options and warrants are anti-dilutive and therefore diluted net loss per common share is the same as basic net loss per common share for those periods.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Comprehensive loss represents all changes in the stockholders’ equity except those resulting from distributions to stockholders. The Company’s unrealized foreign currency translation income (losses) and unrealized gains (losses) on marketable securities represent the two components of other comprehensive income that are excluded from the reported net loss for each of the reporting periods and has been presented in the consolidated statements of operations and comprehensive loss.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equity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 In connection with the IPO, all of the Company's redeemable convertible preferred stock warrants were automatically converted into common stock warrants.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Adoption of New Revenue Recognition Standard</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Company adopted the new revenue recognition standards (“ASC 606”) using the modified retrospective method effective for the year ended December 31, 2019. This approach was applied to all contracts that were not completed as of January 1, 2019. As an emerging growth company that elected to take advantage of the JOBS Act accounting election, the Company was not required to adopt the new revenue standard in the interim reporting periods on the year of adoption and is not required, and intends not, to revise its 2019 interim periods which were reported under previous revenue recognition standards (“ASC 605”). The adoption of ASC 606 did not result in a material impact on the Company’s consolidated financial statements and no adjustment was made to the opening balance of accumulated deficit at January 1, 2019. ASC 606's core principle is that a reporting entity will recognize revenue when it transfers promised goods or services to customers in an amount that reflects the consideration to which the entity expects to be entitled in exchange for those goods or services. As it relates to product sales where the Company's sales representative delivers the product at the point of implantation at hospital or medical facilities, which represents majority of the Company's revenue, the Company continues to recognize the revenue upon completion of the procedure and authorization by the customer, net of rebates and price discounts. As it relates to sale of products through distributors and hospitals where product is ordered in advance of the procedure, the Company continues to recognize the revenue upon shipments to the customers, net of rebates and price discounts. Additionally, ASC 606 requires the capitalization of costs to obtain a contract, primarily sales commissions, and amortization of these costs over the contract period or estimated customer life. The Company’s sales commissions paid to its sales representatives is generally based on the surgeries performed. The Company applied the practical expedient that permits an entity to expense the cost to obtain a contract as incurred when the expected amortization is one year or less. As such, the Company recognize sales commission as expense when incurred.</w:t>
      </w:r>
    </w:p>
    <w:p>
      <w:pPr>
        <w:spacing w:after="0" w:line="1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disaggregates revenues from contracts with customers into geographical regions. The Company determined that disaggregating revenue into these categories depicts how the nature, amount, timing and uncertainty of revenue and cash flows are affected by regional economic factors. For information revenue by geography, refer to </w:t>
      </w:r>
      <w:r>
        <w:rPr>
          <w:rFonts w:ascii="Arial" w:cs="Arial" w:eastAsia="Arial" w:hAnsi="Arial"/>
          <w:sz w:val="18"/>
          <w:szCs w:val="18"/>
          <w:i w:val="1"/>
          <w:iCs w:val="1"/>
          <w:color w:val="auto"/>
        </w:rPr>
        <w:t>Segments</w:t>
      </w:r>
      <w:r>
        <w:rPr>
          <w:rFonts w:ascii="Arial" w:cs="Arial" w:eastAsia="Arial" w:hAnsi="Arial"/>
          <w:sz w:val="18"/>
          <w:szCs w:val="18"/>
          <w:color w:val="auto"/>
        </w:rPr>
        <w:t xml:space="preserve"> in “Note 2 </w:t>
      </w:r>
      <w:r>
        <w:rPr>
          <w:rFonts w:ascii="Arial" w:cs="Arial" w:eastAsia="Arial" w:hAnsi="Arial"/>
          <w:sz w:val="18"/>
          <w:szCs w:val="18"/>
          <w:i w:val="1"/>
          <w:iCs w:val="1"/>
          <w:color w:val="auto"/>
        </w:rPr>
        <w:t>-</w:t>
      </w:r>
      <w:r>
        <w:rPr>
          <w:rFonts w:ascii="Arial" w:cs="Arial" w:eastAsia="Arial" w:hAnsi="Arial"/>
          <w:sz w:val="18"/>
          <w:szCs w:val="18"/>
          <w:color w:val="auto"/>
        </w:rPr>
        <w:t xml:space="preserve"> Summary of Significant Accounting Policies” in the accompanying Notes to Consolidated Financial Statements.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Recently Adopted Accounting Standards</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June 2018, the Financial Accounting Standards Board ("FASB") issued Accounting Standards Update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Equity-Based Payments to Non-Employees. The Company adopted this standard effective for the year ended December 31, 2020, and the adoption did not have any material impact on the Company’s consolidated financial statements.</w:t>
      </w:r>
    </w:p>
    <w:p>
      <w:pPr>
        <w:spacing w:after="0" w:line="10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August 2018, the FASB issued ASU 2018-13, Fair Value Measurements, which eliminates, adds or modifies certain disclosure requirements for fair value measurements.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This update is effective for fiscal years beginning after December 15, 2019, including interim periods within that fiscal year, with early adoption permitted to adopt either the entire standard or only the provisions that eliminate or modify the requirements. The Company has adopted this standard effective for the year ended December 31, 2020, and the adoption did not have any material impact on the Company’s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Standards Not Yet Effective</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February 2016, the FASB issued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leases standard. Further, due to the impact of the COVID-19, in June 2020, the FASB issued ASU 2020-05 to further defer the effective date for one year for entities in the “all other” categories. For public companies, the new guidance became effective for fiscal years, and for interim periods within those fiscal years, beginning after December 15, 2018. For all other entities, the new guidance is now effective for fiscal years beginning after December 15, 2021 and interim periods within fiscal years beginning after December 15, 2022. Early adoption is still permitted for any interim or annual financial statements not yet issued.</w:t>
      </w:r>
    </w:p>
    <w:p>
      <w:pPr>
        <w:spacing w:after="0" w:line="21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an emerging growth company, the new leases standard is now effective for the Company for the fiscal year ending December 31, 2022 and interim periods within fiscal year ending December 31, 2023. The Company is currently evaluating the impact of this standard on its consolidated financial statements including the timing of its adoption. The Company anticipates electing several practical expedients that permit the Company not to reassess (1) whether a contract is or contains a lease, (2) the classification of existing leases, and (3) whether previously capitalized initial direct costs would qualify for capitalization under ASC 842. The Company expects that the adoption of this new standard will have a material impact on its balance sheet. The most significant impact would be the recognition of operating lease right-of-use assets and liability. The standard is not expected to have a material impact on the Company's consolidated statements of income and cash flows.</w:t>
      </w:r>
    </w:p>
    <w:p>
      <w:pPr>
        <w:spacing w:after="0" w:line="17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FASB issued ASU 2019-05 in May 2019 and ASU 2019-08 in November 2019 for codification improvements of Topic 326.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The Company is currently evaluating the impact of this standard on its consolidated financial statements but does not expect the adoption of the standard will have a material impact on the Company's consolidated financial statements.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2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marketable securities: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6"/>
                <w:szCs w:val="16"/>
                <w:b w:val="1"/>
                <w:bCs w:val="1"/>
                <w:color w:val="auto"/>
                <w:w w:val="90"/>
              </w:rPr>
              <w:t>December 31, 2020</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Unrealized Gains</w:t>
            </w:r>
          </w:p>
        </w:tc>
        <w:tc>
          <w:tcPr>
            <w:tcW w:w="160" w:type="dxa"/>
            <w:vAlign w:val="bottom"/>
          </w:tcPr>
          <w:p>
            <w:pPr>
              <w:spacing w:after="0"/>
              <w:rPr>
                <w:sz w:val="13"/>
                <w:szCs w:val="13"/>
                <w:color w:val="auto"/>
              </w:rPr>
            </w:pPr>
          </w:p>
        </w:tc>
        <w:tc>
          <w:tcPr>
            <w:tcW w:w="122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Aggregate Fair</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480" w:type="dxa"/>
            <w:vAlign w:val="bottom"/>
            <w:tcBorders>
              <w:bottom w:val="single" w:sz="8" w:color="auto"/>
            </w:tcBorders>
            <w:gridSpan w:val="4"/>
            <w:vMerge w:val="continue"/>
          </w:tcPr>
          <w:p>
            <w:pPr>
              <w:spacing w:after="0"/>
              <w:rPr>
                <w:sz w:val="18"/>
                <w:szCs w:val="18"/>
                <w:color w:val="auto"/>
              </w:rPr>
            </w:pPr>
          </w:p>
        </w:tc>
        <w:tc>
          <w:tcPr>
            <w:tcW w:w="142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w w:val="79"/>
              </w:rPr>
              <w:t>Losses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8"/>
          </w:tcPr>
          <w:p>
            <w:pPr>
              <w:jc w:val="center"/>
              <w:ind w:right="60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47,348</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47,348</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142,856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142,851</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190,204</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190,199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6"/>
                <w:szCs w:val="16"/>
                <w:b w:val="1"/>
                <w:bCs w:val="1"/>
                <w:color w:val="auto"/>
                <w:w w:val="90"/>
              </w:rPr>
              <w:t>December 31, 2019</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Unrealized Gains</w:t>
            </w:r>
          </w:p>
        </w:tc>
        <w:tc>
          <w:tcPr>
            <w:tcW w:w="160" w:type="dxa"/>
            <w:vAlign w:val="bottom"/>
          </w:tcPr>
          <w:p>
            <w:pPr>
              <w:spacing w:after="0"/>
              <w:rPr>
                <w:sz w:val="13"/>
                <w:szCs w:val="13"/>
                <w:color w:val="auto"/>
              </w:rPr>
            </w:pPr>
          </w:p>
        </w:tc>
        <w:tc>
          <w:tcPr>
            <w:tcW w:w="1220" w:type="dxa"/>
            <w:vAlign w:val="bottom"/>
            <w:gridSpan w:val="3"/>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Unrealized</w:t>
            </w:r>
          </w:p>
        </w:tc>
        <w:tc>
          <w:tcPr>
            <w:tcW w:w="12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Aggregate Fair</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480" w:type="dxa"/>
            <w:vAlign w:val="bottom"/>
            <w:tcBorders>
              <w:bottom w:val="single" w:sz="8" w:color="auto"/>
            </w:tcBorders>
            <w:gridSpan w:val="4"/>
            <w:vMerge w:val="continue"/>
          </w:tcPr>
          <w:p>
            <w:pPr>
              <w:spacing w:after="0"/>
              <w:rPr>
                <w:sz w:val="18"/>
                <w:szCs w:val="18"/>
                <w:color w:val="auto"/>
              </w:rPr>
            </w:pPr>
          </w:p>
        </w:tc>
        <w:tc>
          <w:tcPr>
            <w:tcW w:w="142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8"/>
          </w:tcPr>
          <w:p>
            <w:pPr>
              <w:jc w:val="center"/>
              <w:ind w:right="600"/>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358"/>
        </w:trPr>
        <w:tc>
          <w:tcPr>
            <w:tcW w:w="51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67,051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81,291</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9"/>
              </w:rPr>
              <w:t>(4)</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81,345</w:t>
            </w:r>
          </w:p>
        </w:tc>
        <w:tc>
          <w:tcPr>
            <w:tcW w:w="0" w:type="dxa"/>
            <w:vAlign w:val="bottom"/>
          </w:tcPr>
          <w:p>
            <w:pPr>
              <w:spacing w:after="0"/>
              <w:rPr>
                <w:sz w:val="1"/>
                <w:szCs w:val="1"/>
                <w:color w:val="auto"/>
              </w:rPr>
            </w:pPr>
          </w:p>
        </w:tc>
      </w:tr>
      <w:tr>
        <w:trPr>
          <w:trHeight w:val="318"/>
        </w:trPr>
        <w:tc>
          <w:tcPr>
            <w:tcW w:w="51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investments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88,186</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long-term investments outstanding as of December 31, 2019 matured in April 2020. The Company did not identify any of its marketable securities as other-than-temporarily impaired as of December 31, 2020 and 2019.</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90"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09"/>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45,948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45,948</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8,938</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120,724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69,475</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190,199</w:t>
            </w:r>
          </w:p>
        </w:tc>
      </w:tr>
      <w:tr>
        <w:trPr>
          <w:trHeight w:val="21"/>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0"/>
        </w:trPr>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December 31, 2019</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10"/>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3,068</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67,083</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10,375</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70,151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18,035</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88,186</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right="8960" w:hanging="452"/>
        <w:spacing w:after="0" w:line="522" w:lineRule="auto"/>
        <w:tabs>
          <w:tab w:leader="none" w:pos="195"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Components </w:t>
      </w:r>
      <w:r>
        <w:rPr>
          <w:rFonts w:ascii="Arial" w:cs="Arial" w:eastAsia="Arial" w:hAnsi="Arial"/>
          <w:sz w:val="16"/>
          <w:szCs w:val="16"/>
          <w:b w:val="1"/>
          <w:bCs w:val="1"/>
          <w:i w:val="1"/>
          <w:iCs w:val="1"/>
          <w:color w:val="auto"/>
        </w:rPr>
        <w:t>Inventory</w:t>
      </w:r>
    </w:p>
    <w:p>
      <w:pPr>
        <w:ind w:left="460" w:right="4800"/>
        <w:spacing w:after="0" w:line="524" w:lineRule="auto"/>
        <w:rPr>
          <w:rFonts w:ascii="Arial" w:cs="Arial" w:eastAsia="Arial" w:hAnsi="Arial"/>
          <w:sz w:val="16"/>
          <w:szCs w:val="16"/>
          <w:b w:val="1"/>
          <w:bCs w:val="1"/>
          <w:color w:val="auto"/>
        </w:rPr>
      </w:pPr>
      <w:r>
        <w:rPr>
          <w:rFonts w:ascii="Arial" w:cs="Arial" w:eastAsia="Arial" w:hAnsi="Arial"/>
          <w:sz w:val="18"/>
          <w:szCs w:val="18"/>
          <w:color w:val="auto"/>
        </w:rPr>
        <w:t xml:space="preserve">As of December 31, 2020 and 2019, inventory consisted entirely of finished goods. </w:t>
      </w: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64"/>
        </w:trPr>
        <w:tc>
          <w:tcPr>
            <w:tcW w:w="4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line="164"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1560" w:type="dxa"/>
            <w:vAlign w:val="bottom"/>
            <w:gridSpan w:val="2"/>
          </w:tcPr>
          <w:p>
            <w:pPr>
              <w:ind w:left="20"/>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3"/>
        </w:trPr>
        <w:tc>
          <w:tcPr>
            <w:tcW w:w="440" w:type="dxa"/>
            <w:vAlign w:val="bottom"/>
          </w:tcPr>
          <w:p>
            <w:pPr>
              <w:spacing w:after="0"/>
              <w:rPr>
                <w:sz w:val="20"/>
                <w:szCs w:val="20"/>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3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3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7,749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3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80" w:type="dxa"/>
            <w:vAlign w:val="bottom"/>
            <w:vMerge w:val="restart"/>
          </w:tcPr>
          <w:p>
            <w:pPr>
              <w:jc w:val="right"/>
              <w:ind w:right="2370"/>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Construction in progress pertains to cost of individual components of a custom instrument set used for surgical placement of iFuse implants that have not yet been placed into service. Depreciation expense was $1.1 million and $0.8 million for the years ended December 31, 2020 and 2019,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123"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3"/>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7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r>
      <w:tr>
        <w:trPr>
          <w:trHeight w:val="210"/>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compensation and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r>
      <w:tr>
        <w:trPr>
          <w:trHeight w:val="230"/>
        </w:trPr>
        <w:tc>
          <w:tcPr>
            <w:tcW w:w="7740" w:type="dxa"/>
            <w:vAlign w:val="bottom"/>
          </w:tcPr>
          <w:p>
            <w:pPr>
              <w:ind w:left="60"/>
              <w:spacing w:after="0"/>
              <w:rPr>
                <w:sz w:val="20"/>
                <w:szCs w:val="20"/>
                <w:color w:val="auto"/>
              </w:rPr>
            </w:pPr>
            <w:r>
              <w:rPr>
                <w:rFonts w:ascii="Arial" w:cs="Arial" w:eastAsia="Arial" w:hAnsi="Arial"/>
                <w:sz w:val="18"/>
                <w:szCs w:val="18"/>
                <w:color w:val="auto"/>
              </w:rPr>
              <w:t>Accrued litigation expense</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29"/>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7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has a non-cancelable operating lease for an office building space, located in Santa Clara, California which expires in May 2025. The Company also has non-cancelable operating leases for its office building spaces in Gallarate, Italy and Mannheim, Germany which both expire in November 2024, and in Knaresborough, United Kingdom, which expires in December 2025. Further, the Company also leases vehicles under operating lease arrangements for certain of its sales personnel in Europe which expire various times in 2021 to 2023.</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totaled approximately $1.2 million and $1.2 million for the years ended December 31, 2020 and 2019, respectively.</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w w:val="98"/>
              </w:rPr>
              <w:t>The aggregate future minimum lease payments under all leases as of December 31, 2020 are as follows: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7760" w:type="dxa"/>
            <w:vAlign w:val="bottom"/>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4"/>
                <w:szCs w:val="24"/>
                <w:color w:val="auto"/>
              </w:rPr>
            </w:pPr>
          </w:p>
        </w:tc>
        <w:tc>
          <w:tcPr>
            <w:tcW w:w="1240" w:type="dxa"/>
            <w:vAlign w:val="bottom"/>
          </w:tcPr>
          <w:p>
            <w:pPr>
              <w:jc w:val="right"/>
              <w:ind w:right="11"/>
              <w:spacing w:after="0"/>
              <w:rPr>
                <w:sz w:val="20"/>
                <w:szCs w:val="20"/>
                <w:color w:val="auto"/>
              </w:rPr>
            </w:pPr>
            <w:r>
              <w:rPr>
                <w:rFonts w:ascii="Arial" w:cs="Arial" w:eastAsia="Arial" w:hAnsi="Arial"/>
                <w:sz w:val="16"/>
                <w:szCs w:val="16"/>
                <w:b w:val="1"/>
                <w:bCs w:val="1"/>
                <w:color w:val="auto"/>
              </w:rPr>
              <w:t>(in thousands)</w:t>
            </w:r>
          </w:p>
        </w:tc>
      </w:tr>
      <w:tr>
        <w:trPr>
          <w:trHeight w:val="230"/>
        </w:trPr>
        <w:tc>
          <w:tcPr>
            <w:tcW w:w="48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30"/>
        </w:trPr>
        <w:tc>
          <w:tcPr>
            <w:tcW w:w="480" w:type="dxa"/>
            <w:vAlign w:val="bottom"/>
          </w:tcPr>
          <w:p>
            <w:pPr>
              <w:spacing w:after="0"/>
              <w:rPr>
                <w:sz w:val="19"/>
                <w:szCs w:val="19"/>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48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9"/>
        </w:trPr>
        <w:tc>
          <w:tcPr>
            <w:tcW w:w="480" w:type="dxa"/>
            <w:vAlign w:val="bottom"/>
          </w:tcPr>
          <w:p>
            <w:pPr>
              <w:spacing w:after="0"/>
              <w:rPr>
                <w:sz w:val="19"/>
                <w:szCs w:val="19"/>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30"/>
        </w:trPr>
        <w:tc>
          <w:tcPr>
            <w:tcW w:w="480" w:type="dxa"/>
            <w:vAlign w:val="bottom"/>
          </w:tcPr>
          <w:p>
            <w:pPr>
              <w:spacing w:after="0"/>
              <w:rPr>
                <w:sz w:val="19"/>
                <w:szCs w:val="19"/>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480" w:type="dxa"/>
            <w:vAlign w:val="bottom"/>
          </w:tcPr>
          <w:p>
            <w:pPr>
              <w:spacing w:after="0"/>
              <w:rPr>
                <w:sz w:val="19"/>
                <w:szCs w:val="19"/>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48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r>
      <w:tr>
        <w:trPr>
          <w:trHeight w:val="20"/>
        </w:trPr>
        <w:tc>
          <w:tcPr>
            <w:tcW w:w="48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71"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$0.3 million and $0.4 million as of December 31, 2020 and 2019, respectively.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February 6, 2019, a putative class action captioned Eric B. Fromer Chiropractic, Inc. (“Plaintiff”) v. SI-BONE, Inc. (Civil Action No. 5:19-cv-633-SVK), was filed in the U.S. District Court, Northern District of California (the “California Action”). The complaint alleges violations of the Telephone Consumer Protection Act (the “TCPA”) on behalf of an individual and a putative class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The plaintiff sought various forms of relief, including statutory damages of $500 for each violation of the TCPA or, in the alternative, treble damages of up to $1,500 for each knowing and willful violation of the TCPA and a permanent injunction prohibiting the Company from sending or having sent advertisements by way of facsimile transmission. Subsequently on December 20, 2019, Plaintiff the filed a putative class action captioned Eric B. Fromer Chiropractic, Inc. v. SI-BONE, Inc. (Case No. 1922-CC12323), in the Circuit Court of the City of St. Louis, State of Missouri (the “Missouri Action”). The Missouri Action alleges the same TCPA violations as the California Action. On December 23, 2019 the parties filed a joint stipulation of dismissal of the California Action and on January 14, 2020, the parties executed a definitive settlement agreement (the “Settlement Agreement”) pursuant to which, the Company agreed to settle all disputes regarding the advertising faxes to the settlement class.</w:t>
      </w:r>
    </w:p>
    <w:p>
      <w:pPr>
        <w:spacing w:after="0" w:line="16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accrued litigation expense of $3.2 million during the year ended December 31, 2019 within general and administrative expenses in the consolidated financial statements, which was the Company's estimated cost to resolve the matter pursuant to the Settlement Agreement and based on the estimated class members' claim submission rate. Following the notice and claims submission process, on June 22, 2020, the Circuit Court of the City of St. Louis, State of Missouri, approved a final order to pay the approved claims submitted by class members, fees, expenses and incentive awards totaling $2.6 million as final settlement. Accordingly, the Company recorded a reversal of accrued litigation expense of $0.6 million in year ended December 31, 2020 within general and administrative expenses in the consolidated financial statements. The Company made the final settlement payment on July 1, 2020.</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7"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12" w:lineRule="exact"/>
        <w:rPr>
          <w:sz w:val="20"/>
          <w:szCs w:val="20"/>
          <w:color w:val="auto"/>
        </w:rPr>
      </w:pPr>
    </w:p>
    <w:p>
      <w:pPr>
        <w:ind w:left="500" w:right="9920" w:hanging="492"/>
        <w:spacing w:after="0" w:line="601" w:lineRule="auto"/>
        <w:tabs>
          <w:tab w:leader="none" w:pos="194"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b w:val="1"/>
          <w:bCs w:val="1"/>
          <w:i w:val="1"/>
          <w:iCs w:val="1"/>
          <w:color w:val="auto"/>
        </w:rPr>
        <w:t>Term Loan</w:t>
      </w: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outstanding borrowings from the term loan as of the periods presented: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7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r>
      <w:tr>
        <w:trPr>
          <w:trHeight w:val="209"/>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Principal outstanding and final fee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7740" w:type="dxa"/>
            <w:vAlign w:val="bottom"/>
          </w:tcPr>
          <w:p>
            <w:pPr>
              <w:ind w:left="60"/>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29"/>
        </w:trPr>
        <w:tc>
          <w:tcPr>
            <w:tcW w:w="7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Unaccreted value of final fee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ind w:left="60"/>
              <w:spacing w:after="0"/>
              <w:rPr>
                <w:sz w:val="20"/>
                <w:szCs w:val="20"/>
                <w:color w:val="auto"/>
              </w:rPr>
            </w:pPr>
            <w:r>
              <w:rPr>
                <w:rFonts w:ascii="Arial" w:cs="Arial" w:eastAsia="Arial" w:hAnsi="Arial"/>
                <w:sz w:val="18"/>
                <w:szCs w:val="18"/>
                <w:color w:val="auto"/>
              </w:rPr>
              <w:t>Outstanding debt, net of debt issuance costs and unaccreted value of final fee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39,223</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Classified as: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7740" w:type="dxa"/>
            <w:vAlign w:val="bottom"/>
          </w:tcPr>
          <w:p>
            <w:pPr>
              <w:ind w:left="300"/>
              <w:spacing w:after="0"/>
              <w:rPr>
                <w:sz w:val="20"/>
                <w:szCs w:val="20"/>
                <w:color w:val="auto"/>
              </w:rPr>
            </w:pPr>
            <w:r>
              <w:rPr>
                <w:rFonts w:ascii="Arial" w:cs="Arial" w:eastAsia="Arial" w:hAnsi="Arial"/>
                <w:sz w:val="18"/>
                <w:szCs w:val="18"/>
                <w:color w:val="auto"/>
              </w:rPr>
              <w:t>Current portion of long-term borrowings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4,358</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Long-term borrowings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outstanding debt as of December 31, 2019 related to a term loan entered by the Company with Biopharma Credit Investments IV Sub LP (“Pharmakon”) in October 2017 for total loan proceeds of $40.0 million (the “Pharmakon Term Loan”). The Pharmakon Term Loan included an interest-only period for 35 months through September 2020 and then equal quarterly principal payments plus interest through December 2022. The Pharmakon Term Loan carried a fixed interest rate of 11.5% and allowed for early prepayment. The prepayment penalty fee was equal to the remaining interest due if prepaid within the first 30 months, a 2% penalty for months 31-48, and a 1% penalty for months 49-60.</w:t>
      </w:r>
    </w:p>
    <w:p>
      <w:pPr>
        <w:spacing w:after="0" w:line="122"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On May 29, 2020, the Company entered into a Loan and Security Agreement with Solar Capital Partners (“Solar”) providing for a term loan of an aggregate principal amount of $40.0 million to the Company (the “Solar Term Loan”). In accordance with the Loan and Security Agreement, the Company paid in full and terminated the Pharmakon Term Loan, which was accounted for as debt extinguishment in accordance with the accounting standards. The Company recognized the unamortized debt issuance costs of $0.7 million and the prepayment penalty and lender fees of $0.8 million related to Pharmakon Term Loan as a loss on debt extinguishment. The costs and fees are reflected as interest expense in the consolidated statement of operations for the year ended December 31, 2020. The total debt issuance costs of $0.8 million associated with the Solar Term Loan were recorded in the consolidated balance sheet as a direct deduction from the carrying amount of the loan, and are amortized as a component of interest expense using straight-line method over the life of the term loan.</w:t>
      </w:r>
    </w:p>
    <w:p>
      <w:pPr>
        <w:spacing w:after="0" w:line="221"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7"/>
          <w:szCs w:val="17"/>
          <w:color w:val="auto"/>
        </w:rPr>
        <w:t>The Solar Term Loan bears interest at a rate per annum equal to 9.40% plus the greater London Interbank Offered Rate (“LIBOR”), payable monthly in arrears. LIBOR means the greater of (i) 0.33% or (ii)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the Company may voluntarily prepay the Solar Term Loan, in full or in part, but only in increments of $10.0 million, for a prepayment premium in an amount equal to 3.00% of the principal if prepaid in year one, 1.25% of the principal if prepaid in year two, and 0.50% of the principal if prepaid in year three or later. The prepayment premium will be waived if the Company voluntarily prepays and refinances the outstanding balance with Solar. The Solar Term Loan is secured by substantially all of the Company’s assets.</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6"/>
          <w:szCs w:val="16"/>
          <w:color w:val="auto"/>
        </w:rPr>
        <w:t>The Company is also obligated to pay a final fee equal to $1.0 million or 2.5% of the aggregate principal amount of the Solar Term Loan, which was fully earned by Solar on the effective date of the Loan and Security Agreement. With respect to the Solar Term Loan, this final fee shall be due and payable on the earliest of (i) the maturity date, (ii) the acceleration of the loan balance or (iii) its full prepayment, refinancing, substitution or replacement. The final fee was included within the long-term borrowings and is accreted to interest expense using straight-line method over the life of the term loan.</w:t>
      </w:r>
    </w:p>
    <w:p>
      <w:pPr>
        <w:spacing w:after="0" w:line="10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effective interest rate related to the Pharmakon Term Loan was 12.4% and 12.3% for the term loan's outstanding periods for the years ended December 31, 2020 and 2019, respectively. The effective interest rate related to the Solar Term Loan was 10.6% for the term loan's outstanding period for year ended December 31, 2020.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future principal and final fee payments under the Solar Term Loan as of December 31, 2020:</w:t>
      </w:r>
    </w:p>
    <w:p>
      <w:pPr>
        <w:spacing w:after="0" w:line="248"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7760" w:type="dxa"/>
            <w:vAlign w:val="bottom"/>
          </w:tcPr>
          <w:p>
            <w:pPr>
              <w:ind w:left="6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132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(in thousands)</w:t>
            </w:r>
          </w:p>
        </w:tc>
      </w:tr>
      <w:tr>
        <w:trPr>
          <w:trHeight w:val="229"/>
        </w:trPr>
        <w:tc>
          <w:tcPr>
            <w:tcW w:w="7760" w:type="dxa"/>
            <w:vAlign w:val="bottom"/>
            <w:shd w:val="clear" w:color="auto" w:fill="CCEEFF"/>
          </w:tcPr>
          <w:p>
            <w:pPr>
              <w:jc w:val="right"/>
              <w:ind w:right="709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jc w:val="right"/>
              <w:ind w:right="709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CEEFF"/>
          </w:tcPr>
          <w:p>
            <w:pPr>
              <w:jc w:val="right"/>
              <w:ind w:right="709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r>
      <w:tr>
        <w:trPr>
          <w:trHeight w:val="229"/>
        </w:trPr>
        <w:tc>
          <w:tcPr>
            <w:tcW w:w="7760" w:type="dxa"/>
            <w:vAlign w:val="bottom"/>
          </w:tcPr>
          <w:p>
            <w:pPr>
              <w:jc w:val="right"/>
              <w:ind w:right="709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7760" w:type="dxa"/>
            <w:vAlign w:val="bottom"/>
            <w:shd w:val="clear" w:color="auto" w:fill="CCEEFF"/>
          </w:tcPr>
          <w:p>
            <w:pPr>
              <w:jc w:val="right"/>
              <w:ind w:right="7090"/>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r>
      <w:tr>
        <w:trPr>
          <w:trHeight w:val="223"/>
        </w:trPr>
        <w:tc>
          <w:tcPr>
            <w:tcW w:w="7760" w:type="dxa"/>
            <w:vAlign w:val="bottom"/>
          </w:tcPr>
          <w:p>
            <w:pPr>
              <w:ind w:left="60"/>
              <w:spacing w:after="0"/>
              <w:rPr>
                <w:sz w:val="20"/>
                <w:szCs w:val="20"/>
                <w:color w:val="auto"/>
              </w:rPr>
            </w:pPr>
            <w:r>
              <w:rPr>
                <w:rFonts w:ascii="Arial" w:cs="Arial" w:eastAsia="Arial" w:hAnsi="Arial"/>
                <w:sz w:val="18"/>
                <w:szCs w:val="18"/>
                <w:color w:val="auto"/>
              </w:rPr>
              <w:t>Total principal and final fee payments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r>
      <w:tr>
        <w:trPr>
          <w:trHeight w:val="21"/>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Subject to other customary covenants set forth in the Loan and Security Agreement with Solar, the Company is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The Company is not subject to minimum liquidity requirement when trailing twelve-month net product revenues exceeds $100.0 million. Upon the occurrence of an event of default of certain customary covenants, including the minimum liquidity requirements, as specified in the Loan and Security Agreement, subject to specified cure periods, all amounts owed by the Company would begin to bear interest at a rate that is 5.00% above the rate effective immediately before the event of default and may be declared immediately due and payable by Solar. As of December 31, 2020, the Company was in compliance with all debt covenants. Though there are uncertainties surrounding the impact of the COVID-19 pandemic that may impact our future revenue, the Company believes that it has sufficient cash and cash equivalents to meet the minimum liquidity requirements in the foreseeable succeeding periods.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CARES Act</w:t>
      </w:r>
    </w:p>
    <w:p>
      <w:pPr>
        <w:spacing w:after="0" w:line="23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March 27, 2020, the U.S. federal government enacted the “Coronavirus Aid, Relief and Economic Security (CARES) Act,” and among other things, established the Paycheck Protection Program (“PPP”), administered by the Small Business Administration (“SBA”), whereby certain small businesses were eligible for a loan to fund payroll expenses, rent, and related costs. The loan may be forgiven if the funds are used for payroll and other qualified expenses. The Company met the requirements to apply for the PPP loan given that the Company has less than 500 employees and the business was negatively impacted by COVID-19. The Company submitted its application and was approved for the SBA program and received the proceeds from the PPP loan amounting to $5.3 million on April 21, 2020, pursuant to a Promissory Note with Silicon Valley Bank (“SVB”). In light of the subsequent clarifications from the U.S. government on the eligibility criteria, the Company determined it was appropriate to repay the entire amount of the PPP loan. Accordingly, on April 29, 2020, the Company repaid in full the PPP loan and correspondingly terminated the Promissory Note.</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CARES Act allows employers to defer the deposit and payment of an employer's share of social security taxes through December 31, 2020. The Company recorded a total liability of $1.0 million related to the deferral of the social security taxes of which $0.5 million is included in each accrued liabilities and other and other long-term liabilities in the consolidated balance sheets as of December 31,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common stock warrants issued and outstanding at both December 31, 2020 and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Date</w:t>
            </w:r>
          </w:p>
        </w:tc>
        <w:tc>
          <w:tcPr>
            <w:tcW w:w="38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Shares</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5"/>
              </w:rPr>
              <w:t>Underlying</w:t>
            </w:r>
          </w:p>
        </w:tc>
        <w:tc>
          <w:tcPr>
            <w:tcW w:w="260" w:type="dxa"/>
            <w:vAlign w:val="bottom"/>
          </w:tcPr>
          <w:p>
            <w:pPr>
              <w:spacing w:after="0"/>
              <w:rPr>
                <w:sz w:val="9"/>
                <w:szCs w:val="9"/>
                <w:color w:val="auto"/>
              </w:rPr>
            </w:pPr>
          </w:p>
        </w:tc>
        <w:tc>
          <w:tcPr>
            <w:tcW w:w="1440" w:type="dxa"/>
            <w:vAlign w:val="bottom"/>
            <w:gridSpan w:val="2"/>
            <w:vMerge w:val="restart"/>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Price per</w:t>
            </w:r>
          </w:p>
        </w:tc>
        <w:tc>
          <w:tcPr>
            <w:tcW w:w="140" w:type="dxa"/>
            <w:vAlign w:val="bottom"/>
          </w:tcPr>
          <w:p>
            <w:pPr>
              <w:spacing w:after="0"/>
              <w:rPr>
                <w:sz w:val="9"/>
                <w:szCs w:val="9"/>
                <w:color w:val="auto"/>
              </w:rPr>
            </w:pPr>
          </w:p>
        </w:tc>
        <w:tc>
          <w:tcPr>
            <w:tcW w:w="1180" w:type="dxa"/>
            <w:vAlign w:val="bottom"/>
            <w:vMerge w:val="restart"/>
          </w:tcPr>
          <w:p>
            <w:pPr>
              <w:jc w:val="right"/>
              <w:ind w:right="212"/>
              <w:spacing w:after="0" w:line="162" w:lineRule="exact"/>
              <w:rPr>
                <w:sz w:val="20"/>
                <w:szCs w:val="20"/>
                <w:color w:val="auto"/>
              </w:rPr>
            </w:pPr>
            <w:r>
              <w:rPr>
                <w:rFonts w:ascii="Arial" w:cs="Arial" w:eastAsia="Arial" w:hAnsi="Arial"/>
                <w:sz w:val="16"/>
                <w:szCs w:val="16"/>
                <w:b w:val="1"/>
                <w:bCs w:val="1"/>
                <w:color w:val="auto"/>
              </w:rPr>
              <w:t>Fair Value</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Issuance</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Expiration</w:t>
            </w:r>
          </w:p>
        </w:tc>
        <w:tc>
          <w:tcPr>
            <w:tcW w:w="3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7"/>
              </w:rPr>
              <w:t>Warrants</w:t>
            </w:r>
          </w:p>
        </w:tc>
        <w:tc>
          <w:tcPr>
            <w:tcW w:w="2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w:t>
            </w:r>
          </w:p>
        </w:tc>
        <w:tc>
          <w:tcPr>
            <w:tcW w:w="1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20" w:type="dxa"/>
            <w:vAlign w:val="bottom"/>
          </w:tcPr>
          <w:p>
            <w:pPr>
              <w:spacing w:after="0"/>
              <w:rPr>
                <w:sz w:val="19"/>
                <w:szCs w:val="19"/>
                <w:color w:val="auto"/>
              </w:rPr>
            </w:pPr>
          </w:p>
        </w:tc>
        <w:tc>
          <w:tcPr>
            <w:tcW w:w="1040" w:type="dxa"/>
            <w:vAlign w:val="bottom"/>
            <w:tcBorders>
              <w:top w:val="single" w:sz="8" w:color="auto"/>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3/1/2017</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3/1/2027</w:t>
            </w:r>
          </w:p>
        </w:tc>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$5.94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7/22/2013</w:t>
            </w:r>
          </w:p>
        </w:tc>
        <w:tc>
          <w:tcPr>
            <w:tcW w:w="1500" w:type="dxa"/>
            <w:vAlign w:val="bottom"/>
            <w:gridSpan w:val="3"/>
          </w:tcPr>
          <w:p>
            <w:pPr>
              <w:jc w:val="center"/>
              <w:ind w:left="152"/>
              <w:spacing w:after="0"/>
              <w:rPr>
                <w:sz w:val="20"/>
                <w:szCs w:val="20"/>
                <w:color w:val="auto"/>
              </w:rPr>
            </w:pPr>
            <w:r>
              <w:rPr>
                <w:rFonts w:ascii="Arial" w:cs="Arial" w:eastAsia="Arial" w:hAnsi="Arial"/>
                <w:sz w:val="18"/>
                <w:szCs w:val="18"/>
                <w:color w:val="auto"/>
                <w:w w:val="92"/>
              </w:rPr>
              <w:t>7/22/2023</w:t>
            </w:r>
          </w:p>
        </w:tc>
        <w:tc>
          <w:tcPr>
            <w:tcW w:w="380" w:type="dxa"/>
            <w:vAlign w:val="bottom"/>
          </w:tcPr>
          <w:p>
            <w:pPr>
              <w:spacing w:after="0"/>
              <w:rPr>
                <w:sz w:val="20"/>
                <w:szCs w:val="20"/>
                <w:color w:val="auto"/>
              </w:rPr>
            </w:pPr>
            <w:r>
              <w:rPr>
                <w:rFonts w:ascii="Arial" w:cs="Arial" w:eastAsia="Arial" w:hAnsi="Arial"/>
                <w:sz w:val="14"/>
                <w:szCs w:val="14"/>
                <w:color w:val="auto"/>
              </w:rPr>
              <w:t>[a]</w:t>
            </w:r>
          </w:p>
        </w:tc>
        <w:tc>
          <w:tcPr>
            <w:tcW w:w="1220" w:type="dxa"/>
            <w:vAlign w:val="bottom"/>
          </w:tcPr>
          <w:p>
            <w:pPr>
              <w:jc w:val="right"/>
              <w:spacing w:after="0"/>
              <w:rPr>
                <w:sz w:val="20"/>
                <w:szCs w:val="20"/>
                <w:color w:val="auto"/>
              </w:rPr>
            </w:pPr>
            <w:r>
              <w:rPr>
                <w:rFonts w:ascii="Arial" w:cs="Arial" w:eastAsia="Arial" w:hAnsi="Arial"/>
                <w:sz w:val="18"/>
                <w:szCs w:val="18"/>
                <w:color w:val="auto"/>
              </w:rPr>
              <w:t>32,983</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$9.10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11/26/2014</w:t>
            </w:r>
          </w:p>
        </w:tc>
        <w:tc>
          <w:tcPr>
            <w:tcW w:w="150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11/26/2024</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$16.47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10/20/2015</w:t>
            </w:r>
          </w:p>
        </w:tc>
        <w:tc>
          <w:tcPr>
            <w:tcW w:w="150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10/20/2025</w:t>
            </w:r>
          </w:p>
        </w:tc>
        <w:tc>
          <w:tcPr>
            <w:tcW w:w="380" w:type="dxa"/>
            <w:vAlign w:val="bottom"/>
          </w:tcPr>
          <w:p>
            <w:pPr>
              <w:spacing w:after="0"/>
              <w:rPr>
                <w:sz w:val="20"/>
                <w:szCs w:val="20"/>
                <w:color w:val="auto"/>
              </w:rPr>
            </w:pPr>
            <w:r>
              <w:rPr>
                <w:rFonts w:ascii="Arial" w:cs="Arial" w:eastAsia="Arial" w:hAnsi="Arial"/>
                <w:sz w:val="14"/>
                <w:szCs w:val="14"/>
                <w:color w:val="auto"/>
              </w:rPr>
              <w:t>[a]</w:t>
            </w:r>
          </w:p>
        </w:tc>
        <w:tc>
          <w:tcPr>
            <w:tcW w:w="1220" w:type="dxa"/>
            <w:vAlign w:val="bottom"/>
          </w:tcPr>
          <w:p>
            <w:pPr>
              <w:jc w:val="right"/>
              <w:spacing w:after="0"/>
              <w:rPr>
                <w:sz w:val="20"/>
                <w:szCs w:val="20"/>
                <w:color w:val="auto"/>
              </w:rPr>
            </w:pPr>
            <w:r>
              <w:rPr>
                <w:rFonts w:ascii="Arial" w:cs="Arial" w:eastAsia="Arial" w:hAnsi="Arial"/>
                <w:sz w:val="18"/>
                <w:szCs w:val="18"/>
                <w:color w:val="auto"/>
              </w:rPr>
              <w:t>41,650</w:t>
            </w:r>
          </w:p>
        </w:tc>
        <w:tc>
          <w:tcPr>
            <w:tcW w:w="14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$16.47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460" w:type="dxa"/>
            <w:vAlign w:val="bottom"/>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0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11/9/2015</w:t>
            </w:r>
          </w:p>
        </w:tc>
        <w:tc>
          <w:tcPr>
            <w:tcW w:w="150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9"/>
              </w:rPr>
              <w:t>11/9/2025</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25,709</w:t>
            </w:r>
          </w:p>
        </w:tc>
        <w:tc>
          <w:tcPr>
            <w:tcW w:w="14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$16.47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040" w:type="dxa"/>
            <w:vAlign w:val="bottom"/>
            <w:tcBorders>
              <w:bottom w:val="single" w:sz="8" w:color="CCEEFF"/>
            </w:tcBorders>
            <w:gridSpan w:val="2"/>
          </w:tcPr>
          <w:p>
            <w:pPr>
              <w:jc w:val="center"/>
              <w:ind w:left="50"/>
              <w:spacing w:after="0"/>
              <w:rPr>
                <w:sz w:val="20"/>
                <w:szCs w:val="20"/>
                <w:color w:val="auto"/>
              </w:rPr>
            </w:pPr>
            <w:r>
              <w:rPr>
                <w:rFonts w:ascii="Arial" w:cs="Arial" w:eastAsia="Arial" w:hAnsi="Arial"/>
                <w:sz w:val="18"/>
                <w:szCs w:val="18"/>
                <w:color w:val="auto"/>
                <w:w w:val="90"/>
              </w:rPr>
              <w:t>12/22/2016</w:t>
            </w:r>
          </w:p>
        </w:tc>
        <w:tc>
          <w:tcPr>
            <w:tcW w:w="1500" w:type="dxa"/>
            <w:vAlign w:val="bottom"/>
            <w:tcBorders>
              <w:bottom w:val="single" w:sz="8" w:color="CCEEFF"/>
            </w:tcBorders>
            <w:gridSpan w:val="3"/>
          </w:tcPr>
          <w:p>
            <w:pPr>
              <w:jc w:val="center"/>
              <w:ind w:left="152"/>
              <w:spacing w:after="0"/>
              <w:rPr>
                <w:sz w:val="20"/>
                <w:szCs w:val="20"/>
                <w:color w:val="auto"/>
              </w:rPr>
            </w:pPr>
            <w:r>
              <w:rPr>
                <w:rFonts w:ascii="Arial" w:cs="Arial" w:eastAsia="Arial" w:hAnsi="Arial"/>
                <w:sz w:val="18"/>
                <w:szCs w:val="18"/>
                <w:color w:val="auto"/>
                <w:w w:val="90"/>
              </w:rPr>
              <w:t>12/22/2026</w:t>
            </w:r>
          </w:p>
        </w:tc>
        <w:tc>
          <w:tcPr>
            <w:tcW w:w="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1480" w:type="dxa"/>
            <w:vAlign w:val="bottom"/>
            <w:tcBorders>
              <w:bottom w:val="single" w:sz="8" w:color="CCEEFF"/>
            </w:tcBorders>
            <w:gridSpan w:val="2"/>
          </w:tcPr>
          <w:p>
            <w:pPr>
              <w:jc w:val="center"/>
              <w:ind w:left="170"/>
              <w:spacing w:after="0"/>
              <w:rPr>
                <w:sz w:val="20"/>
                <w:szCs w:val="20"/>
                <w:color w:val="auto"/>
              </w:rPr>
            </w:pPr>
            <w:r>
              <w:rPr>
                <w:rFonts w:ascii="Arial" w:cs="Arial" w:eastAsia="Arial" w:hAnsi="Arial"/>
                <w:sz w:val="18"/>
                <w:szCs w:val="18"/>
                <w:color w:val="auto"/>
                <w:w w:val="90"/>
              </w:rPr>
              <w:t>$10.03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48"/>
        </w:trPr>
        <w:tc>
          <w:tcPr>
            <w:tcW w:w="18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8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the earlier of the expiration date or the date exercised by the holder.</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Fair value at the date of issuance.</w:t>
      </w:r>
    </w:p>
    <w:p>
      <w:pPr>
        <w:spacing w:after="0" w:line="21" w:lineRule="exact"/>
        <w:rPr>
          <w:rFonts w:ascii="Arial" w:cs="Arial" w:eastAsia="Arial" w:hAnsi="Arial"/>
          <w:sz w:val="14"/>
          <w:szCs w:val="14"/>
          <w:color w:val="auto"/>
        </w:rPr>
      </w:pPr>
    </w:p>
    <w:p>
      <w:pPr>
        <w:ind w:left="200" w:hanging="192"/>
        <w:spacing w:after="0"/>
        <w:tabs>
          <w:tab w:leader="none" w:pos="2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Fair value at the date of conversion from redeemable convertible preferred stock to common stock warrants in conjunction with the IPO on October 16,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Company's certificate of incorporate as amended and restated in October 2018, authorizes the Company to issue 100,000,000 shares of common stock and 5,000,000 shares of preferred stock, each having a par value of $0.0001. Common stock issued and outstanding as of December 31, 2020 and 2019 were 32,583,220 shares and 25,163,803 shares, respectively. As of December 31, 2020 and 2019, there was no preferred stock issued and outstanding.</w:t>
      </w:r>
    </w:p>
    <w:p>
      <w:pPr>
        <w:spacing w:after="0" w:line="14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as, when, and if declared by the Board of Directors. There have been no dividends declared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2008 Stock Option Plan and 2018 Equity Incentive Plan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and RSUs to employees, directors and consultants. No new options have been granted under the 2008 SOP since August 2018. Outstanding options under the 2008 SOP continue to be subject to the terms and conditions of that plan.</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On January 1, 2019 and 2020, the total number of shares of common stock reserved for issuance increased by 1,222,538 and 1,258,190 shares respectively. As of December 31, 2020, a total of 2,843,814 shares of common stock are available for future grants under the 2018 EIP. On January 1, 2021, the total number of shares of common stock reserved for issuance under the 2018 EIP automatically increased by 1,629,161 shares.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Options granted have a term of 10 years, except, options granted to individuals holding more than 10% of the outstanding shares have a term of five years. Options generally vest over a four-year period. Certain stock options are exercisable immediately, but are subject to a right of repurchase by the Company for any unvested shares. RSUs granted under the 2018 EIP generally vest over two to four years based upon continued services and are settled at vesting in shares of the Company's common stock.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 option activity for the years ended December 31, 2020 and 2019:</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3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4"/>
                <w:szCs w:val="14"/>
                <w:color w:val="auto"/>
              </w:rPr>
            </w:pPr>
          </w:p>
        </w:tc>
        <w:tc>
          <w:tcPr>
            <w:tcW w:w="114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 Life</w:t>
            </w:r>
          </w:p>
        </w:tc>
        <w:tc>
          <w:tcPr>
            <w:tcW w:w="120" w:type="dxa"/>
            <w:vAlign w:val="bottom"/>
          </w:tcPr>
          <w:p>
            <w:pPr>
              <w:spacing w:after="0"/>
              <w:rPr>
                <w:sz w:val="14"/>
                <w:szCs w:val="14"/>
                <w:color w:val="auto"/>
              </w:rPr>
            </w:pPr>
          </w:p>
        </w:tc>
        <w:tc>
          <w:tcPr>
            <w:tcW w:w="114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1240" w:type="dxa"/>
            <w:vAlign w:val="bottom"/>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Price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14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2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2018</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2,641,198</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$4.27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638,983</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$20.89</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(444,924)</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$3.36</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(116,286)</w:t>
            </w:r>
          </w:p>
        </w:tc>
        <w:tc>
          <w:tcPr>
            <w:tcW w:w="13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7"/>
              </w:rPr>
              <w:t>$11.30</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2,718,971</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26,236</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$17.31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(323,701)</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$4.52</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(15,549)</w:t>
            </w:r>
          </w:p>
        </w:tc>
        <w:tc>
          <w:tcPr>
            <w:tcW w:w="13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$17.07</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2,405,957</w:t>
            </w:r>
          </w:p>
        </w:tc>
        <w:tc>
          <w:tcPr>
            <w:tcW w:w="13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Options vested and exercisable as of December 31, 2020</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2,069,020</w:t>
            </w:r>
          </w:p>
        </w:tc>
        <w:tc>
          <w:tcPr>
            <w:tcW w:w="1380" w:type="dxa"/>
            <w:vAlign w:val="bottom"/>
            <w:gridSpan w:val="2"/>
          </w:tcPr>
          <w:p>
            <w:pPr>
              <w:jc w:val="center"/>
              <w:ind w:left="10"/>
              <w:spacing w:after="0" w:line="203" w:lineRule="exact"/>
              <w:rPr>
                <w:sz w:val="20"/>
                <w:szCs w:val="20"/>
                <w:color w:val="auto"/>
              </w:rPr>
            </w:pPr>
            <w:r>
              <w:rPr>
                <w:rFonts w:ascii="Arial" w:cs="Arial" w:eastAsia="Arial" w:hAnsi="Arial"/>
                <w:sz w:val="18"/>
                <w:szCs w:val="18"/>
                <w:color w:val="auto"/>
                <w:w w:val="88"/>
              </w:rPr>
              <w:t>$6.85</w:t>
            </w:r>
          </w:p>
        </w:tc>
        <w:tc>
          <w:tcPr>
            <w:tcW w:w="10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Arial" w:cs="Arial" w:eastAsia="Arial" w:hAnsi="Arial"/>
                <w:sz w:val="18"/>
                <w:szCs w:val="18"/>
                <w:color w:val="auto"/>
                <w:w w:val="85"/>
              </w:rPr>
              <w:t>5.40</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47,689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vested and expected to vest as of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2,390,755</w:t>
            </w:r>
          </w:p>
        </w:tc>
        <w:tc>
          <w:tcPr>
            <w:tcW w:w="13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51,493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aggregate intrinsic value of options exercised during the years ended December 31, 2020 and 2019 amounted to $5.6 million and $6.8 million, respectively, representing the difference between the fair value of the Company's common stock at the date of exercise and the exercise price paid. The aggregate intrinsic values of options outstanding, options vested and exercisable, and options vested and expected to vest as of December 31, 2020 represents the difference between the weighted average exercise price and the closing price of the Company’s common stock on the last trading day of the year.</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Outstanding options and exercisable options information by range of exercise prices as of December 31, 2020 was as follows:</w:t>
      </w:r>
    </w:p>
    <w:p>
      <w:pPr>
        <w:spacing w:after="0" w:line="199"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Options Outstanding</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Options Vested and Exercisable</w:t>
            </w: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Average</w:t>
            </w: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Weighted-</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2"/>
              </w:rPr>
              <w:t>Remaining</w:t>
            </w:r>
          </w:p>
        </w:tc>
        <w:tc>
          <w:tcPr>
            <w:tcW w:w="138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Exercise Price</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4"/>
                <w:szCs w:val="14"/>
                <w:color w:val="auto"/>
              </w:rPr>
            </w:pPr>
          </w:p>
        </w:tc>
        <w:tc>
          <w:tcPr>
            <w:tcW w:w="148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38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Number of Shares</w:t>
            </w:r>
          </w:p>
        </w:tc>
        <w:tc>
          <w:tcPr>
            <w:tcW w:w="14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97"/>
              <w:spacing w:after="0"/>
              <w:rPr>
                <w:sz w:val="20"/>
                <w:szCs w:val="20"/>
                <w:color w:val="auto"/>
              </w:rPr>
            </w:pPr>
            <w:r>
              <w:rPr>
                <w:rFonts w:ascii="Arial" w:cs="Arial" w:eastAsia="Arial" w:hAnsi="Arial"/>
                <w:sz w:val="16"/>
                <w:szCs w:val="16"/>
                <w:b w:val="1"/>
                <w:bCs w:val="1"/>
                <w:color w:val="auto"/>
                <w:w w:val="94"/>
              </w:rPr>
              <w:t>Life (Years)</w:t>
            </w: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Exercise Price</w:t>
            </w: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226"/>
        </w:trPr>
        <w:tc>
          <w:tcPr>
            <w:tcW w:w="780" w:type="dxa"/>
            <w:vAlign w:val="bottom"/>
            <w:tcBorders>
              <w:top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3"/>
              </w:rPr>
              <w:t>$0.84</w:t>
            </w:r>
          </w:p>
        </w:tc>
        <w:tc>
          <w:tcPr>
            <w:tcW w:w="74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$3.69</w:t>
            </w: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465,071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1"/>
              </w:rPr>
              <w:t>3.40</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$3.31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465,071</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$3.31</w:t>
            </w:r>
          </w:p>
        </w:tc>
        <w:tc>
          <w:tcPr>
            <w:tcW w:w="0" w:type="dxa"/>
            <w:vAlign w:val="bottom"/>
          </w:tcPr>
          <w:p>
            <w:pPr>
              <w:spacing w:after="0"/>
              <w:rPr>
                <w:sz w:val="1"/>
                <w:szCs w:val="1"/>
                <w:color w:val="auto"/>
              </w:rPr>
            </w:pPr>
          </w:p>
        </w:tc>
      </w:tr>
      <w:tr>
        <w:trPr>
          <w:trHeight w:val="230"/>
        </w:trPr>
        <w:tc>
          <w:tcPr>
            <w:tcW w:w="780" w:type="dxa"/>
            <w:vAlign w:val="bottom"/>
          </w:tcPr>
          <w:p>
            <w:pPr>
              <w:jc w:val="center"/>
              <w:ind w:left="150"/>
              <w:spacing w:after="0"/>
              <w:rPr>
                <w:sz w:val="20"/>
                <w:szCs w:val="20"/>
                <w:color w:val="auto"/>
              </w:rPr>
            </w:pPr>
            <w:r>
              <w:rPr>
                <w:rFonts w:ascii="Arial" w:cs="Arial" w:eastAsia="Arial" w:hAnsi="Arial"/>
                <w:sz w:val="18"/>
                <w:szCs w:val="18"/>
                <w:color w:val="auto"/>
                <w:w w:val="93"/>
              </w:rPr>
              <w:t>$3.70</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$4.41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689,903</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4.80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$4.29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689,903</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$4.29</w:t>
            </w:r>
          </w:p>
        </w:tc>
        <w:tc>
          <w:tcPr>
            <w:tcW w:w="0" w:type="dxa"/>
            <w:vAlign w:val="bottom"/>
          </w:tcPr>
          <w:p>
            <w:pPr>
              <w:spacing w:after="0"/>
              <w:rPr>
                <w:sz w:val="1"/>
                <w:szCs w:val="1"/>
                <w:color w:val="auto"/>
              </w:rPr>
            </w:pPr>
          </w:p>
        </w:tc>
      </w:tr>
      <w:tr>
        <w:trPr>
          <w:trHeight w:val="229"/>
        </w:trPr>
        <w:tc>
          <w:tcPr>
            <w:tcW w:w="7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3"/>
              </w:rPr>
              <w:t>$4.42</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458,812</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6.40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422,974</w:t>
            </w:r>
          </w:p>
        </w:tc>
        <w:tc>
          <w:tcPr>
            <w:tcW w:w="1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$4.67</w:t>
            </w:r>
          </w:p>
        </w:tc>
        <w:tc>
          <w:tcPr>
            <w:tcW w:w="0" w:type="dxa"/>
            <w:vAlign w:val="bottom"/>
          </w:tcPr>
          <w:p>
            <w:pPr>
              <w:spacing w:after="0"/>
              <w:rPr>
                <w:sz w:val="1"/>
                <w:szCs w:val="1"/>
                <w:color w:val="auto"/>
              </w:rPr>
            </w:pPr>
          </w:p>
        </w:tc>
      </w:tr>
      <w:tr>
        <w:trPr>
          <w:trHeight w:val="230"/>
        </w:trPr>
        <w:tc>
          <w:tcPr>
            <w:tcW w:w="780" w:type="dxa"/>
            <w:vAlign w:val="bottom"/>
          </w:tcPr>
          <w:p>
            <w:pPr>
              <w:jc w:val="center"/>
              <w:ind w:left="150"/>
              <w:spacing w:after="0"/>
              <w:rPr>
                <w:sz w:val="20"/>
                <w:szCs w:val="20"/>
                <w:color w:val="auto"/>
              </w:rPr>
            </w:pPr>
            <w:r>
              <w:rPr>
                <w:rFonts w:ascii="Arial" w:cs="Arial" w:eastAsia="Arial" w:hAnsi="Arial"/>
                <w:sz w:val="18"/>
                <w:szCs w:val="18"/>
                <w:color w:val="auto"/>
                <w:w w:val="93"/>
              </w:rPr>
              <w:t>$5.32</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$20.51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356,271</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7.50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$12.08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282,203</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$11.00</w:t>
            </w: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0"/>
              </w:rPr>
              <w:t>$20.52</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2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435,900</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8.00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208,869</w:t>
            </w:r>
          </w:p>
        </w:tc>
        <w:tc>
          <w:tcPr>
            <w:tcW w:w="1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$22.00</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2,405,957</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5.80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$8.54</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2,069,020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$6.85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table below summarizes the weighted average grant date fair value per share and the assumptions used to estimate the grant date fair value using the Black-Scholes option-pricing model of the stock options granted during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62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226"/>
        </w:trPr>
        <w:tc>
          <w:tcPr>
            <w:tcW w:w="116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Weighted average grant date fair value per share</w:t>
            </w: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$8.16</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$9.78</w:t>
            </w:r>
          </w:p>
        </w:tc>
        <w:tc>
          <w:tcPr>
            <w:tcW w:w="6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Expected term (years)</w:t>
            </w:r>
          </w:p>
        </w:tc>
        <w:tc>
          <w:tcPr>
            <w:tcW w:w="2000" w:type="dxa"/>
            <w:vAlign w:val="bottom"/>
            <w:gridSpan w:val="2"/>
          </w:tcPr>
          <w:p>
            <w:pPr>
              <w:jc w:val="right"/>
              <w:ind w:right="50"/>
              <w:spacing w:after="0"/>
              <w:rPr>
                <w:sz w:val="20"/>
                <w:szCs w:val="20"/>
                <w:color w:val="auto"/>
              </w:rPr>
            </w:pPr>
            <w:r>
              <w:rPr>
                <w:rFonts w:ascii="Arial" w:cs="Arial" w:eastAsia="Arial" w:hAnsi="Arial"/>
                <w:sz w:val="18"/>
                <w:szCs w:val="18"/>
                <w:color w:val="auto"/>
              </w:rPr>
              <w:t>5.5</w:t>
            </w:r>
          </w:p>
        </w:tc>
        <w:tc>
          <w:tcPr>
            <w:tcW w:w="480" w:type="dxa"/>
            <w:vAlign w:val="bottom"/>
          </w:tcPr>
          <w:p>
            <w:pPr>
              <w:jc w:val="right"/>
              <w:ind w:right="73"/>
              <w:spacing w:after="0"/>
              <w:rPr>
                <w:sz w:val="20"/>
                <w:szCs w:val="20"/>
                <w:color w:val="auto"/>
              </w:rPr>
            </w:pPr>
            <w:r>
              <w:rPr>
                <w:rFonts w:ascii="Arial" w:cs="Arial" w:eastAsia="Arial" w:hAnsi="Arial"/>
                <w:sz w:val="18"/>
                <w:szCs w:val="18"/>
                <w:color w:val="auto"/>
              </w:rPr>
              <w:t>to</w:t>
            </w: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5.0</w:t>
            </w:r>
          </w:p>
        </w:tc>
        <w:tc>
          <w:tcPr>
            <w:tcW w:w="500" w:type="dxa"/>
            <w:vAlign w:val="bottom"/>
          </w:tcPr>
          <w:p>
            <w:pPr>
              <w:ind w:left="180"/>
              <w:spacing w:after="0"/>
              <w:rPr>
                <w:sz w:val="20"/>
                <w:szCs w:val="20"/>
                <w:color w:val="auto"/>
              </w:rPr>
            </w:pPr>
            <w:r>
              <w:rPr>
                <w:rFonts w:ascii="Arial" w:cs="Arial" w:eastAsia="Arial" w:hAnsi="Arial"/>
                <w:sz w:val="18"/>
                <w:szCs w:val="18"/>
                <w:color w:val="auto"/>
              </w:rPr>
              <w:t>to</w:t>
            </w: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Expected volatility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to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41.7%</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47.3%</w:t>
            </w:r>
          </w:p>
        </w:tc>
        <w:tc>
          <w:tcPr>
            <w:tcW w:w="114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spacing w:after="0"/>
              <w:rPr>
                <w:sz w:val="19"/>
                <w:szCs w:val="19"/>
                <w:color w:val="auto"/>
              </w:rPr>
            </w:pPr>
          </w:p>
        </w:tc>
        <w:tc>
          <w:tcPr>
            <w:tcW w:w="1080" w:type="dxa"/>
            <w:vAlign w:val="bottom"/>
            <w:gridSpan w:val="2"/>
          </w:tcPr>
          <w:p>
            <w:pPr>
              <w:jc w:val="right"/>
              <w:ind w:right="73"/>
              <w:spacing w:after="0"/>
              <w:rPr>
                <w:sz w:val="20"/>
                <w:szCs w:val="20"/>
                <w:color w:val="auto"/>
              </w:rPr>
            </w:pPr>
            <w:r>
              <w:rPr>
                <w:rFonts w:ascii="Arial" w:cs="Arial" w:eastAsia="Arial" w:hAnsi="Arial"/>
                <w:sz w:val="18"/>
                <w:szCs w:val="18"/>
                <w:color w:val="auto"/>
              </w:rPr>
              <w:t>1.6%   to</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500" w:type="dxa"/>
            <w:vAlign w:val="bottom"/>
          </w:tcPr>
          <w:p>
            <w:pPr>
              <w:ind w:left="180"/>
              <w:spacing w:after="0"/>
              <w:rPr>
                <w:sz w:val="20"/>
                <w:szCs w:val="20"/>
                <w:color w:val="auto"/>
              </w:rPr>
            </w:pPr>
            <w:r>
              <w:rPr>
                <w:rFonts w:ascii="Arial" w:cs="Arial" w:eastAsia="Arial" w:hAnsi="Arial"/>
                <w:sz w:val="18"/>
                <w:szCs w:val="18"/>
                <w:color w:val="auto"/>
              </w:rPr>
              <w:t>to</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2.6%</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yield</w:t>
            </w: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486"/>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0" w:type="dxa"/>
            <w:vAlign w:val="bottom"/>
          </w:tcPr>
          <w:p>
            <w:pPr>
              <w:jc w:val="right"/>
              <w:ind w:right="71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December 31, 2020, there was $3.2 million of unrecognized compensation cost related to stock options granted. These costs are expected to be recognized over a period of approximately 1.9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Early exercises of stock options under the Company's 2008 SOP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December 31, 2020 and 2019, the Company had a total of 5,836 and 21,404 shares of common stock, respectively, subject to repurchase under the 2008 SOP.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restricted stock units activity for the years ended December 31, 2020 and 2019:</w:t>
      </w:r>
    </w:p>
    <w:p>
      <w:pPr>
        <w:spacing w:after="0" w:line="33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4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$11.69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639,726</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$20.14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(108,631)</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$19.10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(41,490)</w:t>
            </w:r>
          </w:p>
        </w:tc>
        <w:tc>
          <w:tcPr>
            <w:tcW w:w="13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$18.48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543,041</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$19.72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1,016,432</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$20.17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(344,779)</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$19.87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(49,399)</w:t>
            </w:r>
          </w:p>
        </w:tc>
        <w:tc>
          <w:tcPr>
            <w:tcW w:w="13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0"/>
              </w:rPr>
              <w:t>$19.73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1,165,295</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$20.07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2020, there was a total unrecognized compensation cost of $19.3 million. These costs are expected to be recognized over a period of approximately 2.9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 There were 515,307 shares of common stock originally reserved for issuance under the ESPP. Under the ESPP, the number of shares reserved for issuance under the ESPP automatically increases on January 1st of each year, starting on January 1, 2019, and continuing through January 1, 2029, by an amount equal to (i) the lesser of 1% of the total number of shares of the Registrant’s common stock outstanding on December 31st of the preceding calendar year, and (ii) 555,555 shares of common stock. As of December 31, 2020, a total of 705,618 shares of common stock are available for future grants under the 2018 EIP. On January 1, 2021, the total number of shares of common stock reserved for issuance under the ESPP Plan increased by 325,832 shares.</w:t>
      </w:r>
    </w:p>
    <w:p>
      <w:pPr>
        <w:spacing w:after="0" w:line="18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the ESPP shares is estimated using the Black-Scholes option pricing model, which is being amortized over the requisite service period. The Company issued 137,377 shares and 168,457 shares under the ESPP during the years ended December 31, 2020 and 2019, respectively, representing approximately $1.9 million and $2.2 million in employee contributions. As of December 31, 2020 and 2019, total accumulated ESPP related employee payroll deductions amounted to $0.4 million and $0.2 million, respectively, which were included within accrued compensation and related expenses in the consolidated balance sheets. For the years ended December 31, 2020 and 2019, the Company recognized $1.2 million and $0.8 million, respectively, of stock-based compensation expense related to ESPP. As of December 31, 2020, the unrecognized compensation cost for the ESPP was $0.2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Company estimated the fair value of ESPP purchase rights during the offering period using a Black-Scholes option pricing model with the following assumptions:</w:t>
      </w:r>
    </w:p>
    <w:p>
      <w:pPr>
        <w:spacing w:after="0" w:line="90"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56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4"/>
          </w:tcPr>
          <w:p>
            <w:pPr>
              <w:jc w:val="center"/>
              <w:ind w:left="653"/>
              <w:spacing w:after="0"/>
              <w:rPr>
                <w:sz w:val="20"/>
                <w:szCs w:val="20"/>
                <w:color w:val="auto"/>
              </w:rPr>
            </w:pPr>
            <w:r>
              <w:rPr>
                <w:rFonts w:ascii="Arial" w:cs="Arial" w:eastAsia="Arial" w:hAnsi="Arial"/>
                <w:sz w:val="16"/>
                <w:szCs w:val="16"/>
                <w:b w:val="1"/>
                <w:bCs w:val="1"/>
                <w:color w:val="auto"/>
                <w:w w:val="89"/>
              </w:rPr>
              <w:t>2019</w:t>
            </w: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26"/>
        </w:trPr>
        <w:tc>
          <w:tcPr>
            <w:tcW w:w="320" w:type="dxa"/>
            <w:vAlign w:val="bottom"/>
          </w:tcPr>
          <w:p>
            <w:pPr>
              <w:spacing w:after="0"/>
              <w:rPr>
                <w:sz w:val="19"/>
                <w:szCs w:val="19"/>
                <w:color w:val="auto"/>
              </w:rPr>
            </w:pPr>
          </w:p>
        </w:tc>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center"/>
              <w:ind w:left="653"/>
              <w:spacing w:after="0"/>
              <w:rPr>
                <w:sz w:val="20"/>
                <w:szCs w:val="20"/>
                <w:color w:val="auto"/>
              </w:rPr>
            </w:pPr>
            <w:r>
              <w:rPr>
                <w:rFonts w:ascii="Arial" w:cs="Arial" w:eastAsia="Arial" w:hAnsi="Arial"/>
                <w:sz w:val="18"/>
                <w:szCs w:val="18"/>
                <w:color w:val="auto"/>
                <w:w w:val="95"/>
              </w:rPr>
              <w:t>0.5</w:t>
            </w:r>
          </w:p>
        </w:tc>
        <w:tc>
          <w:tcPr>
            <w:tcW w:w="76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38.3%</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tcPr>
          <w:p>
            <w:pPr>
              <w:jc w:val="center"/>
              <w:ind w:left="72"/>
              <w:spacing w:after="0"/>
              <w:rPr>
                <w:sz w:val="20"/>
                <w:szCs w:val="20"/>
                <w:color w:val="auto"/>
              </w:rPr>
            </w:pPr>
            <w:r>
              <w:rPr>
                <w:rFonts w:ascii="Arial" w:cs="Arial" w:eastAsia="Arial" w:hAnsi="Arial"/>
                <w:sz w:val="18"/>
                <w:szCs w:val="18"/>
                <w:color w:val="auto"/>
                <w:w w:val="90"/>
              </w:rPr>
              <w:t>79.4%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13"/>
              <w:spacing w:after="0"/>
              <w:rPr>
                <w:sz w:val="20"/>
                <w:szCs w:val="20"/>
                <w:color w:val="auto"/>
              </w:rPr>
            </w:pPr>
            <w:r>
              <w:rPr>
                <w:rFonts w:ascii="Arial" w:cs="Arial" w:eastAsia="Arial" w:hAnsi="Arial"/>
                <w:sz w:val="18"/>
                <w:szCs w:val="18"/>
                <w:color w:val="auto"/>
              </w:rPr>
              <w:t>38.3%</w:t>
            </w:r>
          </w:p>
        </w:tc>
        <w:tc>
          <w:tcPr>
            <w:tcW w:w="380" w:type="dxa"/>
            <w:vAlign w:val="bottom"/>
            <w:gridSpan w:val="3"/>
          </w:tcPr>
          <w:p>
            <w:pPr>
              <w:jc w:val="right"/>
              <w:ind w:right="130"/>
              <w:spacing w:after="0"/>
              <w:rPr>
                <w:sz w:val="20"/>
                <w:szCs w:val="20"/>
                <w:color w:val="auto"/>
              </w:rPr>
            </w:pPr>
            <w:r>
              <w:rPr>
                <w:rFonts w:ascii="Arial" w:cs="Arial" w:eastAsia="Arial" w:hAnsi="Arial"/>
                <w:sz w:val="18"/>
                <w:szCs w:val="18"/>
                <w:color w:val="auto"/>
                <w:w w:val="92"/>
              </w:rPr>
              <w:t>to</w:t>
            </w: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2"/>
              </w:rPr>
              <w:t>1.6%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1.6%</w:t>
            </w:r>
          </w:p>
        </w:tc>
        <w:tc>
          <w:tcPr>
            <w:tcW w:w="3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2"/>
              </w:rPr>
              <w:t>to</w:t>
            </w: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jc w:val="center"/>
              <w:ind w:left="653"/>
              <w:spacing w:after="0"/>
              <w:rPr>
                <w:sz w:val="20"/>
                <w:szCs w:val="20"/>
                <w:color w:val="auto"/>
              </w:rPr>
            </w:pPr>
            <w:r>
              <w:rPr>
                <w:rFonts w:ascii="Arial" w:cs="Arial" w:eastAsia="Arial" w:hAnsi="Arial"/>
                <w:sz w:val="18"/>
                <w:szCs w:val="18"/>
                <w:color w:val="auto"/>
                <w:w w:val="93"/>
              </w:rPr>
              <w:t>—%</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1"/>
        </w:trPr>
        <w:tc>
          <w:tcPr>
            <w:tcW w:w="60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Stock-Based Compensation</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8020" w:type="dxa"/>
            <w:vAlign w:val="bottom"/>
            <w:gridSpan w:val="7"/>
          </w:tcPr>
          <w:p>
            <w:pPr>
              <w:ind w:left="20"/>
              <w:spacing w:after="0"/>
              <w:rPr>
                <w:sz w:val="20"/>
                <w:szCs w:val="20"/>
                <w:color w:val="auto"/>
              </w:rPr>
            </w:pPr>
            <w:r>
              <w:rPr>
                <w:rFonts w:ascii="Arial" w:cs="Arial" w:eastAsia="Arial" w:hAnsi="Arial"/>
                <w:sz w:val="18"/>
                <w:szCs w:val="18"/>
                <w:color w:val="auto"/>
                <w:w w:val="96"/>
              </w:rPr>
              <w:t>The following table sets forth stock-based compensation expense recognized for the periods presented:</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1"/>
        </w:trPr>
        <w:tc>
          <w:tcPr>
            <w:tcW w:w="3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w w:val="97"/>
              </w:rPr>
              <w:t>Year ended December 31,</w:t>
            </w:r>
          </w:p>
        </w:tc>
      </w:tr>
      <w:tr>
        <w:trPr>
          <w:trHeight w:val="210"/>
        </w:trPr>
        <w:tc>
          <w:tcPr>
            <w:tcW w:w="3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6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r>
      <w:tr>
        <w:trPr>
          <w:trHeight w:val="229"/>
        </w:trPr>
        <w:tc>
          <w:tcPr>
            <w:tcW w:w="6000" w:type="dxa"/>
            <w:vAlign w:val="bottom"/>
            <w:gridSpan w:val="2"/>
          </w:tcPr>
          <w:p>
            <w:pPr>
              <w:ind w:left="6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3,335</w:t>
            </w:r>
          </w:p>
        </w:tc>
      </w:tr>
      <w:tr>
        <w:trPr>
          <w:trHeight w:val="230"/>
        </w:trPr>
        <w:tc>
          <w:tcPr>
            <w:tcW w:w="6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r>
      <w:tr>
        <w:trPr>
          <w:trHeight w:val="229"/>
        </w:trPr>
        <w:tc>
          <w:tcPr>
            <w:tcW w:w="60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3,428</w:t>
            </w:r>
          </w:p>
        </w:tc>
      </w:tr>
      <w:tr>
        <w:trPr>
          <w:trHeight w:val="248"/>
        </w:trPr>
        <w:tc>
          <w:tcPr>
            <w:tcW w:w="3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7,464</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22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Company sponsors a 401(k) plan covering all employees. Contributions made by the Company are discretionary and are determined annually by the Board of Directors. Effective January 1, 2019, the Company made a discretionary matching contribution equal to dollar for dollar employee contribution, up to 3% eligible compensation of the employee, with a maximum annual contribution from the Company of one thousand dollars per employee. Further, in order for an employee to receive the matching contribution, the employee must be at least 21 years old, work at least 1,000 hours per year, and must be employed by the Company at the beginning through the end of the year. For the years ended December 31, 2020 and 2019, the Company made $0.2 million and $0.1 million, respectively, contributions to the 401(k)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computation of basic and diluted net loss per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jc w:val="center"/>
              <w:ind w:right="860"/>
              <w:spacing w:after="0"/>
              <w:rPr>
                <w:sz w:val="20"/>
                <w:szCs w:val="20"/>
                <w:color w:val="auto"/>
              </w:rPr>
            </w:pPr>
            <w:r>
              <w:rPr>
                <w:rFonts w:ascii="Arial" w:cs="Arial" w:eastAsia="Arial" w:hAnsi="Arial"/>
                <w:sz w:val="16"/>
                <w:szCs w:val="16"/>
                <w:b w:val="1"/>
                <w:bCs w:val="1"/>
                <w:color w:val="auto"/>
                <w:w w:val="90"/>
              </w:rPr>
              <w:t>Year ended December 31,</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54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89"/>
              </w:rPr>
              <w:t>(in thousands, except share and per</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575"/>
              <w:spacing w:after="0"/>
              <w:rPr>
                <w:sz w:val="20"/>
                <w:szCs w:val="20"/>
                <w:color w:val="auto"/>
              </w:rPr>
            </w:pPr>
            <w:r>
              <w:rPr>
                <w:rFonts w:ascii="Arial" w:cs="Arial" w:eastAsia="Arial" w:hAnsi="Arial"/>
                <w:sz w:val="16"/>
                <w:szCs w:val="16"/>
                <w:b w:val="1"/>
                <w:bCs w:val="1"/>
                <w:color w:val="auto"/>
                <w:w w:val="91"/>
              </w:rPr>
              <w:t>share data)</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40" w:type="dxa"/>
            <w:vAlign w:val="bottom"/>
          </w:tcPr>
          <w:p>
            <w:pPr>
              <w:spacing w:after="0"/>
              <w:rPr>
                <w:sz w:val="24"/>
                <w:szCs w:val="24"/>
                <w:color w:val="auto"/>
              </w:rPr>
            </w:pPr>
          </w:p>
        </w:tc>
        <w:tc>
          <w:tcPr>
            <w:tcW w:w="7440" w:type="dxa"/>
            <w:vAlign w:val="bottom"/>
          </w:tcPr>
          <w:p>
            <w:pPr>
              <w:ind w:left="60"/>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29,059,171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24,705,980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20" w:lineRule="exact"/>
              <w:rPr>
                <w:sz w:val="1"/>
                <w:szCs w:val="1"/>
                <w:color w:val="auto"/>
              </w:rPr>
            </w:pPr>
          </w:p>
        </w:tc>
        <w:tc>
          <w:tcPr>
            <w:tcW w:w="744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640" w:type="dxa"/>
            <w:vAlign w:val="bottom"/>
            <w:vMerge w:val="continue"/>
          </w:tcPr>
          <w:p>
            <w:pPr>
              <w:spacing w:after="0"/>
              <w:rPr>
                <w:sz w:val="24"/>
                <w:szCs w:val="24"/>
                <w:color w:val="auto"/>
              </w:rPr>
            </w:pPr>
          </w:p>
        </w:tc>
        <w:tc>
          <w:tcPr>
            <w:tcW w:w="7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77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226"/>
        </w:trPr>
        <w:tc>
          <w:tcPr>
            <w:tcW w:w="7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2,405,957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2,718,971</w:t>
            </w:r>
          </w:p>
        </w:tc>
      </w:tr>
      <w:tr>
        <w:trPr>
          <w:trHeight w:val="230"/>
        </w:trPr>
        <w:tc>
          <w:tcPr>
            <w:tcW w:w="7780" w:type="dxa"/>
            <w:vAlign w:val="bottom"/>
          </w:tcPr>
          <w:p>
            <w:pPr>
              <w:ind w:left="6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1,165,295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543,041</w:t>
            </w:r>
          </w:p>
        </w:tc>
      </w:tr>
      <w:tr>
        <w:trPr>
          <w:trHeight w:val="229"/>
        </w:trPr>
        <w:tc>
          <w:tcPr>
            <w:tcW w:w="7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subject to repurchase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21,404</w:t>
            </w:r>
          </w:p>
        </w:tc>
      </w:tr>
      <w:tr>
        <w:trPr>
          <w:trHeight w:val="230"/>
        </w:trPr>
        <w:tc>
          <w:tcPr>
            <w:tcW w:w="7780" w:type="dxa"/>
            <w:vAlign w:val="bottom"/>
          </w:tcPr>
          <w:p>
            <w:pPr>
              <w:ind w:left="60"/>
              <w:spacing w:after="0"/>
              <w:rPr>
                <w:sz w:val="20"/>
                <w:szCs w:val="20"/>
                <w:color w:val="auto"/>
              </w:rPr>
            </w:pPr>
            <w:r>
              <w:rPr>
                <w:rFonts w:ascii="Arial" w:cs="Arial" w:eastAsia="Arial" w:hAnsi="Arial"/>
                <w:sz w:val="18"/>
                <w:szCs w:val="18"/>
                <w:color w:val="auto"/>
              </w:rPr>
              <w:t>ESPP purchase rights</w:t>
            </w:r>
          </w:p>
        </w:tc>
        <w:tc>
          <w:tcPr>
            <w:tcW w:w="1240" w:type="dxa"/>
            <w:vAlign w:val="bottom"/>
          </w:tcPr>
          <w:p>
            <w:pPr>
              <w:jc w:val="right"/>
              <w:spacing w:after="0"/>
              <w:rPr>
                <w:sz w:val="20"/>
                <w:szCs w:val="20"/>
                <w:color w:val="auto"/>
              </w:rPr>
            </w:pPr>
            <w:r>
              <w:rPr>
                <w:rFonts w:ascii="Arial" w:cs="Arial" w:eastAsia="Arial" w:hAnsi="Arial"/>
                <w:sz w:val="18"/>
                <w:szCs w:val="18"/>
                <w:color w:val="auto"/>
              </w:rPr>
              <w:t>83,040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65,442</w:t>
            </w:r>
          </w:p>
        </w:tc>
      </w:tr>
      <w:tr>
        <w:trPr>
          <w:trHeight w:val="229"/>
        </w:trPr>
        <w:tc>
          <w:tcPr>
            <w:tcW w:w="7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warrants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r>
      <w:tr>
        <w:trPr>
          <w:trHeight w:val="223"/>
        </w:trPr>
        <w:tc>
          <w:tcPr>
            <w:tcW w:w="77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3,778,250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3,466,980</w:t>
            </w:r>
          </w:p>
        </w:tc>
      </w:tr>
      <w:tr>
        <w:trPr>
          <w:trHeight w:val="20"/>
        </w:trPr>
        <w:tc>
          <w:tcPr>
            <w:tcW w:w="7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loss before income taxes are as follows:</w:t>
      </w:r>
    </w:p>
    <w:p>
      <w:pPr>
        <w:spacing w:after="0" w:line="140"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09"/>
        </w:trPr>
        <w:tc>
          <w:tcPr>
            <w:tcW w:w="77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4"/>
              </w:rPr>
              <w:t>2019</w:t>
            </w:r>
          </w:p>
        </w:tc>
      </w:tr>
      <w:tr>
        <w:trPr>
          <w:trHeight w:val="207"/>
        </w:trPr>
        <w:tc>
          <w:tcPr>
            <w:tcW w:w="7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7"/>
                <w:szCs w:val="17"/>
                <w:color w:val="auto"/>
              </w:rPr>
            </w:pPr>
          </w:p>
        </w:tc>
      </w:tr>
      <w:tr>
        <w:trPr>
          <w:trHeight w:val="23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w:t>
            </w:r>
          </w:p>
        </w:tc>
      </w:tr>
      <w:tr>
        <w:trPr>
          <w:trHeight w:val="229"/>
        </w:trPr>
        <w:tc>
          <w:tcPr>
            <w:tcW w:w="7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48"/>
        </w:trPr>
        <w:tc>
          <w:tcPr>
            <w:tcW w:w="7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There was no provision for income taxes recorded for the years ended December 31, 2020 and 2019.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deferred income taxes are as follows:</w:t>
      </w:r>
    </w:p>
    <w:p>
      <w:pPr>
        <w:spacing w:after="0" w:line="145"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r>
      <w:tr>
        <w:trPr>
          <w:trHeight w:val="210"/>
        </w:trPr>
        <w:tc>
          <w:tcPr>
            <w:tcW w:w="7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89"/>
              </w:rPr>
              <w:t>2019</w:t>
            </w:r>
          </w:p>
        </w:tc>
      </w:tr>
      <w:tr>
        <w:trPr>
          <w:trHeight w:val="210"/>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32"/>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7740" w:type="dxa"/>
            <w:vAlign w:val="bottom"/>
          </w:tcPr>
          <w:p>
            <w:pPr>
              <w:ind w:left="340"/>
              <w:spacing w:after="0"/>
              <w:rPr>
                <w:sz w:val="20"/>
                <w:szCs w:val="20"/>
                <w:color w:val="auto"/>
              </w:rPr>
            </w:pPr>
            <w:r>
              <w:rPr>
                <w:rFonts w:ascii="Arial" w:cs="Arial" w:eastAsia="Arial" w:hAnsi="Arial"/>
                <w:sz w:val="18"/>
                <w:szCs w:val="18"/>
                <w:color w:val="auto"/>
              </w:rPr>
              <w:t>Total deferred income taxes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9,892</w:t>
            </w:r>
          </w:p>
        </w:tc>
      </w:tr>
      <w:tr>
        <w:trPr>
          <w:trHeight w:val="230"/>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deferred tax 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w:t>
            </w:r>
          </w:p>
        </w:tc>
      </w:tr>
      <w:tr>
        <w:trPr>
          <w:trHeight w:val="223"/>
        </w:trPr>
        <w:tc>
          <w:tcPr>
            <w:tcW w:w="7740" w:type="dxa"/>
            <w:vAlign w:val="bottom"/>
          </w:tcPr>
          <w:p>
            <w:pPr>
              <w:ind w:left="340"/>
              <w:spacing w:after="0"/>
              <w:rPr>
                <w:sz w:val="20"/>
                <w:szCs w:val="20"/>
                <w:color w:val="auto"/>
              </w:rPr>
            </w:pPr>
            <w:r>
              <w:rPr>
                <w:rFonts w:ascii="Arial" w:cs="Arial" w:eastAsia="Arial" w:hAnsi="Arial"/>
                <w:sz w:val="18"/>
                <w:szCs w:val="18"/>
                <w:color w:val="auto"/>
              </w:rPr>
              <w:t>Net deferred income tax</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127"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75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statutory federal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State tax, net of federal benefit</w:t>
            </w: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Change in deferred tax valuation allowance</w:t>
            </w:r>
          </w:p>
        </w:tc>
        <w:tc>
          <w:tcPr>
            <w:tcW w:w="1360" w:type="dxa"/>
            <w:vAlign w:val="bottom"/>
          </w:tcPr>
          <w:p>
            <w:pPr>
              <w:jc w:val="right"/>
              <w:spacing w:after="0"/>
              <w:rPr>
                <w:sz w:val="20"/>
                <w:szCs w:val="20"/>
                <w:color w:val="auto"/>
              </w:rPr>
            </w:pPr>
            <w:r>
              <w:rPr>
                <w:rFonts w:ascii="Arial" w:cs="Arial" w:eastAsia="Arial" w:hAnsi="Arial"/>
                <w:sz w:val="18"/>
                <w:szCs w:val="18"/>
                <w:color w:val="auto"/>
              </w:rPr>
              <w:t>30.1 %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25.8 %</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Foreign rate differences</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1"/>
        </w:trPr>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deferred tax assets are presented below:</w:t>
      </w:r>
    </w:p>
    <w:p>
      <w:pPr>
        <w:spacing w:after="0" w:line="15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84"/>
              </w:rPr>
              <w:t>2019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operating loss carryforwards</w:t>
            </w:r>
          </w:p>
        </w:tc>
        <w:tc>
          <w:tcPr>
            <w:tcW w:w="3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52,331</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ind w:left="60"/>
              <w:spacing w:after="0"/>
              <w:rPr>
                <w:sz w:val="20"/>
                <w:szCs w:val="20"/>
                <w:color w:val="auto"/>
              </w:rPr>
            </w:pPr>
            <w:r>
              <w:rPr>
                <w:rFonts w:ascii="Arial" w:cs="Arial" w:eastAsia="Arial" w:hAnsi="Arial"/>
                <w:sz w:val="18"/>
                <w:szCs w:val="18"/>
                <w:color w:val="auto"/>
              </w:rPr>
              <w:t>Research and development credits</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Accruals and reserves</w:t>
            </w:r>
          </w:p>
        </w:tc>
        <w:tc>
          <w:tcPr>
            <w:tcW w:w="3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ind w:left="60"/>
              <w:spacing w:after="0"/>
              <w:rPr>
                <w:sz w:val="20"/>
                <w:szCs w:val="20"/>
                <w:color w:val="auto"/>
              </w:rPr>
            </w:pPr>
            <w:r>
              <w:rPr>
                <w:rFonts w:ascii="Arial" w:cs="Arial" w:eastAsia="Arial" w:hAnsi="Arial"/>
                <w:sz w:val="18"/>
                <w:szCs w:val="18"/>
                <w:color w:val="auto"/>
              </w:rPr>
              <w:t>Stock compensation</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Depreciation and amortization</w:t>
            </w:r>
          </w:p>
        </w:tc>
        <w:tc>
          <w:tcPr>
            <w:tcW w:w="3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50,304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Valuation allowance</w:t>
            </w:r>
          </w:p>
        </w:tc>
        <w:tc>
          <w:tcPr>
            <w:tcW w:w="3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ind w:left="500"/>
              <w:spacing w:after="0"/>
              <w:rPr>
                <w:sz w:val="20"/>
                <w:szCs w:val="20"/>
                <w:color w:val="auto"/>
              </w:rPr>
            </w:pPr>
            <w:r>
              <w:rPr>
                <w:rFonts w:ascii="Arial" w:cs="Arial" w:eastAsia="Arial" w:hAnsi="Arial"/>
                <w:sz w:val="18"/>
                <w:szCs w:val="18"/>
                <w:color w:val="auto"/>
              </w:rPr>
              <w:t>Total deferred tax asset, net of valuation allowance</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gridSpan w:val="6"/>
          </w:tcPr>
          <w:p>
            <w:pPr>
              <w:ind w:left="20"/>
              <w:spacing w:after="0"/>
              <w:rPr>
                <w:sz w:val="20"/>
                <w:szCs w:val="20"/>
                <w:color w:val="auto"/>
              </w:rPr>
            </w:pPr>
            <w:r>
              <w:rPr>
                <w:rFonts w:ascii="Arial" w:cs="Arial" w:eastAsia="Arial" w:hAnsi="Arial"/>
                <w:sz w:val="18"/>
                <w:szCs w:val="18"/>
                <w:color w:val="auto"/>
                <w:w w:val="96"/>
              </w:rPr>
              <w:t>The following table summarizes changes in the valuation allowance for the years ended December 31, 2020 and 2019:</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6"/>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89"/>
              </w:rPr>
              <w:t>2019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50,304</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40,412</w:t>
            </w:r>
          </w:p>
        </w:tc>
        <w:tc>
          <w:tcPr>
            <w:tcW w:w="4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Additions during the period</w:t>
            </w:r>
          </w:p>
        </w:tc>
        <w:tc>
          <w:tcPr>
            <w:tcW w:w="3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50,304</w:t>
            </w:r>
          </w:p>
        </w:tc>
        <w:tc>
          <w:tcPr>
            <w:tcW w:w="4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104</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2020, the Company had net operating loss (“NOL”) carryforwards of approximately $200.5 million and $165.0 million available to reduce future taxable income, if any, for federal and state income tax purposes, respectively. If not utilized, the Company’s federal NOL carryforward begins to expire in 2028, and the state NOL carryforward begins to expire in 2021.</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2020, the Company had credit carryforwards of approximately $2.5 million and $2.5 million available to reduce future taxable income, if any, for both federal and state income tax purposes, respectively. The federal credits begin to expire in 2029, and the state credits have no expiration date.</w:t>
      </w:r>
    </w:p>
    <w:p>
      <w:pPr>
        <w:spacing w:after="0" w:line="21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updated its Section 382 ownership change analysis through December 31, 2020 and determined that the last ownership change was in February 2020 due to the follow-offering. The analysis concluded that no additional NOL carryforwards will expire due to the Section 382 limitation from the ownership change for both federal and state tax purposes. The Company maintains the reduction of $1.4 million of its NOL carryforwards from the previous ownership change. The Company will continually assess the need to update its Section 382 ownership change analysis, as the Company may experience ownership changes in the future that could materially limit its ability to use its NOL carryforwards.</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CARES Act includes provisions relating to refundable payroll tax credits, deferment of employer's social security payments, net operating loss carryback periods, alternative minimum tax credit refunds, modifications to the net interest deduction limitations and technical corrections to tax depreciation methods for qualified improvement property. The Company deferred the payment of an employer's share of social security taxes through December 31, 2020 of $1.0 million.</w:t>
      </w:r>
    </w:p>
    <w:p>
      <w:pPr>
        <w:spacing w:after="0" w:line="187"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On June 29, 2020, Governor Gavin Newsom signed California Assembly Bill 85 (AB 85) into law. The legislation suspends the California net operating loss deductions for 2020, 2021, and 2022 for certain taxpayers and imposes a limitation of certain California Tax Credits for 2020, 2021, and 2022. The legislation disallows the use of California net operating loss deductions if the taxpayer recognizes business income and its adjusted gross income is greater than $1.0 million. The carryover periods for net operating loss deductions disallowed by this provision will be extended. Additionally, any business credit will only offset a maximum of $5.0 million of California tax. Given the Company’s loss position for the year ended December 31, 2020, the new legislation did not impact the current year provision. The Company will continue to monitor the possible California net operating loss and credit limitations in future periods.</w:t>
      </w:r>
    </w:p>
    <w:p>
      <w:pPr>
        <w:spacing w:after="0" w:line="19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2020 and 2019 consisted of the following:</w:t>
      </w:r>
    </w:p>
    <w:p>
      <w:pPr>
        <w:spacing w:after="0" w:line="152"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6"/>
                <w:szCs w:val="16"/>
                <w:b w:val="1"/>
                <w:bCs w:val="1"/>
                <w:color w:val="auto"/>
                <w:w w:val="99"/>
              </w:rPr>
              <w:t>Year ended December 31,</w:t>
            </w:r>
          </w:p>
        </w:tc>
      </w:tr>
      <w:tr>
        <w:trPr>
          <w:trHeight w:val="210"/>
        </w:trPr>
        <w:tc>
          <w:tcPr>
            <w:tcW w:w="7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95"/>
              </w:rPr>
              <w:t>2019</w:t>
            </w:r>
          </w:p>
        </w:tc>
      </w:tr>
      <w:tr>
        <w:trPr>
          <w:trHeight w:val="210"/>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232"/>
        </w:trPr>
        <w:tc>
          <w:tcPr>
            <w:tcW w:w="7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beginning of the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7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Increases related to current year's tax positions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48"/>
        </w:trPr>
        <w:tc>
          <w:tcPr>
            <w:tcW w:w="7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Balance at end of the year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elected to recognize interest and penalties related to uncertain tax positions as a component of income tax expense. The Company has no accrued interest related to unrecognized tax benefits as of December 31, 2020 and 2019. None of the Company’s unrecognized tax benefits that, if recognized, would affect its effective tax rates for the years ended December 31, 2020 and 2019. The Company does not anticipate the total amounts of unrecognized tax benefits will significantly increase or decrease in the next 12 months.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currently has no federal, state or foreign tax examinations in progress nor has it had any federal or state examinations since inception.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Company’s net operating loss carry forwards, all of its tax years are subject to federal and state tax examinations.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w:t>
      </w:r>
    </w:p>
    <w:p>
      <w:pPr>
        <w:spacing w:after="0" w:line="14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year ended December 31, 2020, the Company expensed $118,000 of the reimbursement charges from SeaSpine, which was recorded within research and development expense in the consolidated statement of operations. There was no outstanding liabilities to SeaSpine as of December 31, 2020.</w:t>
      </w:r>
    </w:p>
    <w:p>
      <w:pPr>
        <w:spacing w:after="0" w:line="16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Supplementary Data</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Selected Quarterly Consolidated Financial Data (Unaudited)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Schedule II - Valuation and Qualifying Accounts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financial statements or notes thereto.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spacing w:after="0" w:line="22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1" w:lineRule="exact"/>
        <w:rPr>
          <w:sz w:val="20"/>
          <w:szCs w:val="20"/>
          <w:color w:val="auto"/>
        </w:rPr>
      </w:pPr>
    </w:p>
    <w:p>
      <w:pPr>
        <w:jc w:val="both"/>
        <w:ind w:firstLine="405"/>
        <w:spacing w:after="0" w:line="230" w:lineRule="exact"/>
        <w:rPr>
          <w:sz w:val="20"/>
          <w:szCs w:val="20"/>
          <w:color w:val="auto"/>
        </w:rPr>
      </w:pPr>
      <w:r>
        <w:rPr>
          <w:rFonts w:ascii="Arial" w:cs="Arial" w:eastAsia="Arial" w:hAnsi="Arial"/>
          <w:sz w:val="18"/>
          <w:szCs w:val="18"/>
          <w:color w:val="auto"/>
        </w:rPr>
        <w:t>As of December 31, 2020, our management, with the participation of our Chief Executive Officer (“CEO”) and our Chief Operating Officer &amp; Chief Financial Officer (“COO/CFO”), have evaluated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Based on that evaluation, our CEO and our COO/CFO have concluded that, as of December 31, 2020, our disclosure controls and procedures were effective at the reasonable assurance level.</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 Our management assessed the effectiveness of our internal control over financial reporting as of December 31, 2020. In making this assessment, our management used the criteria set forth in the Internal Control -Integrated Framework (2013) issued by the Committee of Sponsoring Organizations of the Treadway Commission (COSO). Based on management's assessment, management has concluded that, as of December 31, 2020, our internal control over financial reporting was effective.</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because as an “emerging growth company” we are exempt from Section 404(b) of the Sarbanes-Oxley Act of 2002.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r>
        <w:rPr>
          <w:rFonts w:ascii="Arial" w:cs="Arial" w:eastAsia="Arial" w:hAnsi="Arial"/>
          <w:sz w:val="18"/>
          <w:szCs w:val="18"/>
          <w:i w:val="1"/>
          <w:iCs w:val="1"/>
          <w:color w:val="auto"/>
        </w:rPr>
        <w: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the year ended December 31, 2020, that have materially affected, or are reasonably likely to materially affect, our internal control over financial reporting. In response to the COVID-19 pandemic, certain of our employees still continued to work remotely during the quarter. Management took measures to ensure that our internal control over financial reporting remained unchanged during this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3" w:lineRule="exact"/>
        <w:rPr>
          <w:sz w:val="20"/>
          <w:szCs w:val="20"/>
          <w:color w:val="auto"/>
        </w:rPr>
      </w:pPr>
    </w:p>
    <w:p>
      <w:pPr>
        <w:jc w:val="both"/>
        <w:ind w:firstLine="405"/>
        <w:spacing w:after="0" w:line="319" w:lineRule="auto"/>
        <w:rPr>
          <w:sz w:val="20"/>
          <w:szCs w:val="20"/>
          <w:color w:val="auto"/>
        </w:rPr>
      </w:pPr>
      <w:r>
        <w:rPr>
          <w:rFonts w:ascii="Arial" w:cs="Arial" w:eastAsia="Arial" w:hAnsi="Arial"/>
          <w:sz w:val="16"/>
          <w:szCs w:val="16"/>
          <w:color w:val="auto"/>
        </w:rPr>
        <w:t>Information required by this item will be contained in our definitive proxy statement to be filed with the Securities and Exchange Commission on Schedule 14A in connection with our 2021 Annual Meeting of Stockholders, or the 2021 Proxy Statement, which will be filed not later than 120 days after the end of our fiscal year ended December 31, 2020, under the headings “Management,” “Proposal 1 - Election of Directors,” “Information Regarding the Board of Directors and Corporate Governance”, and, if applicable, “Delinquent Section 16(a) Reports”, and is incorporated herein by reference.</w:t>
      </w:r>
    </w:p>
    <w:p>
      <w:pPr>
        <w:spacing w:after="0" w:line="14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and “Compensation of Non-Employee Board Members” in our 2021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2021 Proxy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“Information Regarding the Board of Directors and Corporate Governance”, respectively, in our 2021 Proxy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The information required by this item regarding principal accountant fees and services will be incorporated by reference to the information set forth in the section titled “Principal Accountant Fees and Services” in our 2021 Proxy Statement.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right="6960" w:firstLine="8"/>
        <w:spacing w:after="0" w:line="516" w:lineRule="auto"/>
        <w:tabs>
          <w:tab w:leader="none" w:pos="2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 Financial Statements</w:t>
      </w:r>
    </w:p>
    <w:p>
      <w:pPr>
        <w:ind w:right="3440" w:firstLine="405"/>
        <w:spacing w:after="0" w:line="338" w:lineRule="exact"/>
        <w:rPr>
          <w:rFonts w:ascii="Arial" w:cs="Arial" w:eastAsia="Arial" w:hAnsi="Arial"/>
          <w:sz w:val="18"/>
          <w:szCs w:val="18"/>
          <w:color w:val="auto"/>
        </w:rPr>
      </w:pPr>
      <w:r>
        <w:rPr>
          <w:rFonts w:ascii="Arial" w:cs="Arial" w:eastAsia="Arial" w:hAnsi="Arial"/>
          <w:sz w:val="18"/>
          <w:szCs w:val="18"/>
          <w:color w:val="auto"/>
        </w:rPr>
        <w:t>Information in response to this Item is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 Financial Statement Schedules</w:t>
      </w:r>
    </w:p>
    <w:p>
      <w:pPr>
        <w:spacing w:after="0" w:line="216" w:lineRule="exact"/>
        <w:rPr>
          <w:rFonts w:ascii="Arial" w:cs="Arial" w:eastAsia="Arial" w:hAnsi="Arial"/>
          <w:sz w:val="18"/>
          <w:szCs w:val="18"/>
          <w:color w:val="auto"/>
        </w:rPr>
      </w:pPr>
    </w:p>
    <w:p>
      <w:pPr>
        <w:ind w:right="880" w:firstLine="405"/>
        <w:spacing w:after="0" w:line="508" w:lineRule="auto"/>
        <w:rPr>
          <w:rFonts w:ascii="Arial" w:cs="Arial" w:eastAsia="Arial" w:hAnsi="Arial"/>
          <w:sz w:val="18"/>
          <w:szCs w:val="18"/>
          <w:color w:val="auto"/>
        </w:rPr>
      </w:pPr>
      <w:r>
        <w:rPr>
          <w:rFonts w:ascii="Arial" w:cs="Arial" w:eastAsia="Arial" w:hAnsi="Arial"/>
          <w:sz w:val="18"/>
          <w:szCs w:val="18"/>
          <w:color w:val="auto"/>
        </w:rPr>
        <w:t>All schedules are omitted because they are not applicable or the required information is shown in the financial statements or notes thereto. 3. Exhibits</w:t>
      </w:r>
    </w:p>
    <w:p>
      <w:pPr>
        <w:spacing w:after="0" w:line="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following exhibits, as required by Item 601 of Regulation S-K are attached or incorporated by reference as stated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Incorporation By Reference</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0"/>
                <w:szCs w:val="10"/>
                <w:color w:val="auto"/>
              </w:rPr>
            </w:pPr>
          </w:p>
        </w:tc>
        <w:tc>
          <w:tcPr>
            <w:tcW w:w="5360" w:type="dxa"/>
            <w:vAlign w:val="bottom"/>
            <w:gridSpan w:val="4"/>
            <w:vMerge w:val="restart"/>
          </w:tcPr>
          <w:p>
            <w:pPr>
              <w:ind w:left="2200"/>
              <w:spacing w:after="0"/>
              <w:rPr>
                <w:sz w:val="20"/>
                <w:szCs w:val="20"/>
                <w:color w:val="auto"/>
              </w:rPr>
            </w:pPr>
            <w:r>
              <w:rPr>
                <w:rFonts w:ascii="Arial" w:cs="Arial" w:eastAsia="Arial" w:hAnsi="Arial"/>
                <w:sz w:val="14"/>
                <w:szCs w:val="14"/>
                <w:b w:val="1"/>
                <w:bCs w:val="1"/>
                <w:color w:val="auto"/>
              </w:rPr>
              <w:t>Description</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200" w:type="dxa"/>
            <w:vAlign w:val="bottom"/>
          </w:tcPr>
          <w:p>
            <w:pPr>
              <w:spacing w:after="0"/>
              <w:rPr>
                <w:sz w:val="10"/>
                <w:szCs w:val="10"/>
                <w:color w:val="auto"/>
              </w:rPr>
            </w:pPr>
          </w:p>
        </w:tc>
        <w:tc>
          <w:tcPr>
            <w:tcW w:w="16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SEC File No.</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5360" w:type="dxa"/>
            <w:vAlign w:val="bottom"/>
            <w:gridSpan w:val="4"/>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140" w:type="dxa"/>
            <w:vAlign w:val="bottom"/>
            <w:tcBorders>
              <w:top w:val="single" w:sz="8" w:color="auto"/>
            </w:tcBorders>
            <w:gridSpan w:val="3"/>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Amended and Restated Certificate of Incorporation.</w:t>
              </w:r>
            </w:hyperlink>
          </w:p>
        </w:tc>
        <w:tc>
          <w:tcPr>
            <w:tcW w:w="220" w:type="dxa"/>
            <w:vAlign w:val="bottom"/>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001-38701</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center"/>
              <w:ind w:right="113"/>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4"/>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Amended and Restated Bylaws.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14"/>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right="113"/>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29"/>
        </w:trPr>
        <w:tc>
          <w:tcPr>
            <w:tcW w:w="10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4"/>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Form of Common Stock Certificate of the Company.</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14"/>
              <w:spacing w:after="0"/>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right="113"/>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4"/>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24">
              <w:r>
                <w:rPr>
                  <w:rFonts w:ascii="Arial" w:cs="Arial" w:eastAsia="Arial" w:hAnsi="Arial"/>
                  <w:sz w:val="18"/>
                  <w:szCs w:val="18"/>
                  <w:u w:val="single" w:color="auto"/>
                  <w:color w:val="0000FF"/>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25">
              <w:r>
                <w:rPr>
                  <w:rFonts w:ascii="Arial" w:cs="Arial" w:eastAsia="Arial" w:hAnsi="Arial"/>
                  <w:sz w:val="18"/>
                  <w:szCs w:val="18"/>
                  <w:u w:val="single" w:color="auto"/>
                  <w:color w:val="0000FF"/>
                </w:rPr>
                <w:t>3.2</w:t>
              </w:r>
            </w:hyperlink>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4"/>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Description of SI-BONE, Inc. Common Stock</w:t>
              </w:r>
            </w:hyperlink>
          </w:p>
        </w:tc>
        <w:tc>
          <w:tcPr>
            <w:tcW w:w="640" w:type="dxa"/>
            <w:vAlign w:val="bottom"/>
          </w:tcPr>
          <w:p>
            <w:pPr>
              <w:ind w:left="20"/>
              <w:spacing w:after="0"/>
              <w:rPr>
                <w:sz w:val="20"/>
                <w:szCs w:val="20"/>
                <w:color w:val="auto"/>
              </w:rPr>
            </w:pPr>
            <w:r>
              <w:rPr>
                <w:rFonts w:ascii="Arial" w:cs="Arial" w:eastAsia="Arial" w:hAnsi="Arial"/>
                <w:sz w:val="18"/>
                <w:szCs w:val="18"/>
                <w:color w:val="auto"/>
              </w:rPr>
              <w:t>10-Q</w:t>
            </w:r>
          </w:p>
        </w:tc>
        <w:tc>
          <w:tcPr>
            <w:tcW w:w="1440" w:type="dxa"/>
            <w:vAlign w:val="bottom"/>
            <w:gridSpan w:val="2"/>
          </w:tcPr>
          <w:p>
            <w:pPr>
              <w:jc w:val="center"/>
              <w:ind w:left="134"/>
              <w:spacing w:after="0"/>
              <w:rPr>
                <w:sz w:val="20"/>
                <w:szCs w:val="20"/>
                <w:color w:val="auto"/>
              </w:rPr>
            </w:pPr>
            <w:r>
              <w:rPr>
                <w:rFonts w:ascii="Arial" w:cs="Arial" w:eastAsia="Arial" w:hAnsi="Arial"/>
                <w:sz w:val="18"/>
                <w:szCs w:val="18"/>
                <w:color w:val="auto"/>
                <w:w w:val="90"/>
              </w:rPr>
              <w:t>001-38701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right="113"/>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5/5/2020</w:t>
            </w:r>
          </w:p>
        </w:tc>
        <w:tc>
          <w:tcPr>
            <w:tcW w:w="0" w:type="dxa"/>
            <w:vAlign w:val="bottom"/>
          </w:tcPr>
          <w:p>
            <w:pPr>
              <w:spacing w:after="0"/>
              <w:rPr>
                <w:sz w:val="1"/>
                <w:szCs w:val="1"/>
                <w:color w:val="auto"/>
              </w:rPr>
            </w:pPr>
          </w:p>
        </w:tc>
      </w:tr>
      <w:tr>
        <w:trPr>
          <w:trHeight w:val="190"/>
        </w:trPr>
        <w:tc>
          <w:tcPr>
            <w:tcW w:w="1080" w:type="dxa"/>
            <w:vAlign w:val="bottom"/>
          </w:tcPr>
          <w:p>
            <w:pPr>
              <w:jc w:val="center"/>
              <w:spacing w:after="0" w:line="190" w:lineRule="exact"/>
              <w:rPr>
                <w:sz w:val="20"/>
                <w:szCs w:val="20"/>
                <w:color w:val="auto"/>
              </w:rPr>
            </w:pPr>
            <w:r>
              <w:rPr>
                <w:rFonts w:ascii="Arial" w:cs="Arial" w:eastAsia="Arial" w:hAnsi="Arial"/>
                <w:sz w:val="18"/>
                <w:szCs w:val="18"/>
                <w:color w:val="auto"/>
                <w:w w:val="87"/>
              </w:rPr>
              <w:t>10.1+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gridSpan w:val="4"/>
          </w:tcPr>
          <w:p>
            <w:pPr>
              <w:spacing w:after="0" w:line="190" w:lineRule="exact"/>
              <w:rPr>
                <w:rFonts w:ascii="Arial" w:cs="Arial" w:eastAsia="Arial" w:hAnsi="Arial"/>
                <w:sz w:val="18"/>
                <w:szCs w:val="18"/>
                <w:color w:val="0000FF"/>
                <w:w w:val="97"/>
              </w:rPr>
            </w:pPr>
            <w:hyperlink r:id="rId128">
              <w:r>
                <w:rPr>
                  <w:rFonts w:ascii="Arial" w:cs="Arial" w:eastAsia="Arial" w:hAnsi="Arial"/>
                  <w:sz w:val="18"/>
                  <w:szCs w:val="18"/>
                  <w:color w:val="0000FF"/>
                  <w:w w:val="97"/>
                </w:rPr>
                <w:t>Form of Indemnity Agreement between the Registrant and each of its</w:t>
              </w:r>
            </w:hyperlink>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5"/>
              </w:rPr>
              <w:t>S-1</w:t>
            </w:r>
          </w:p>
        </w:tc>
        <w:tc>
          <w:tcPr>
            <w:tcW w:w="1440" w:type="dxa"/>
            <w:vAlign w:val="bottom"/>
            <w:gridSpan w:val="2"/>
          </w:tcPr>
          <w:p>
            <w:pPr>
              <w:jc w:val="center"/>
              <w:ind w:left="114"/>
              <w:spacing w:after="0" w:line="190" w:lineRule="exact"/>
              <w:rPr>
                <w:sz w:val="20"/>
                <w:szCs w:val="20"/>
                <w:color w:val="auto"/>
              </w:rPr>
            </w:pPr>
            <w:r>
              <w:rPr>
                <w:rFonts w:ascii="Arial" w:cs="Arial" w:eastAsia="Arial" w:hAnsi="Arial"/>
                <w:sz w:val="18"/>
                <w:szCs w:val="18"/>
                <w:color w:val="auto"/>
                <w:w w:val="91"/>
              </w:rPr>
              <w:t>333-227445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ind w:right="133"/>
              <w:spacing w:after="0" w:line="190" w:lineRule="exact"/>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16"/>
                <w:szCs w:val="16"/>
                <w:color w:val="auto"/>
              </w:rPr>
            </w:pPr>
          </w:p>
        </w:tc>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92"/>
              </w:rPr>
              <w:t>9/20/2018</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directors and executive officers.</w:t>
              </w:r>
            </w:hyperlink>
          </w:p>
        </w:tc>
        <w:tc>
          <w:tcPr>
            <w:tcW w:w="2700" w:type="dxa"/>
            <w:vAlign w:val="bottom"/>
            <w:tcBorders>
              <w:top w:val="single" w:sz="8" w:color="0000FF"/>
            </w:tcBorders>
          </w:tcPr>
          <w:p>
            <w:pPr>
              <w:spacing w:after="0"/>
              <w:rPr>
                <w:sz w:val="13"/>
                <w:szCs w:val="13"/>
                <w:color w:val="auto"/>
              </w:rPr>
            </w:pPr>
          </w:p>
        </w:tc>
        <w:tc>
          <w:tcPr>
            <w:tcW w:w="3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769" w:right="339" w:bottom="1440" w:gutter="0" w:footer="0" w:header="0"/>
        </w:sectPr>
      </w:pPr>
    </w:p>
    <w:p>
      <w:pPr>
        <w:ind w:left="3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129">
        <w:r>
          <w:rPr>
            <w:rFonts w:ascii="Arial" w:cs="Arial" w:eastAsia="Arial" w:hAnsi="Arial"/>
            <w:sz w:val="16"/>
            <w:szCs w:val="16"/>
            <w:u w:val="single" w:color="auto"/>
            <w:color w:val="0000FF"/>
          </w:rPr>
          <w:t>2008 Stock Plan and forms of agreements thereunder.</w:t>
        </w:r>
      </w:hyperlink>
    </w:p>
    <w:p>
      <w:pPr>
        <w:spacing w:after="0" w:line="23" w:lineRule="exact"/>
        <w:rPr>
          <w:sz w:val="20"/>
          <w:szCs w:val="20"/>
          <w:color w:val="auto"/>
        </w:rPr>
      </w:pPr>
    </w:p>
    <w:p>
      <w:pPr>
        <w:ind w:left="3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30">
        <w:r>
          <w:rPr>
            <w:rFonts w:ascii="Arial" w:cs="Arial" w:eastAsia="Arial" w:hAnsi="Arial"/>
            <w:sz w:val="16"/>
            <w:szCs w:val="16"/>
            <w:u w:val="single" w:color="auto"/>
            <w:color w:val="0000FF"/>
          </w:rPr>
          <w:t>2018 Equity Incentive Plan</w:t>
        </w:r>
      </w:hyperlink>
      <w:r>
        <w:rPr>
          <w:rFonts w:ascii="Arial" w:cs="Arial" w:eastAsia="Arial" w:hAnsi="Arial"/>
          <w:sz w:val="16"/>
          <w:szCs w:val="16"/>
          <w:color w:val="0000FF"/>
        </w:rPr>
        <w:t>.</w:t>
      </w:r>
    </w:p>
    <w:p>
      <w:pPr>
        <w:spacing w:after="0" w:line="23" w:lineRule="exact"/>
        <w:rPr>
          <w:sz w:val="20"/>
          <w:szCs w:val="20"/>
          <w:color w:val="auto"/>
        </w:rPr>
      </w:pPr>
    </w:p>
    <w:p>
      <w:pPr>
        <w:ind w:left="1300" w:hanging="1001"/>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31">
        <w:r>
          <w:rPr>
            <w:rFonts w:ascii="Arial" w:cs="Arial" w:eastAsia="Arial" w:hAnsi="Arial"/>
            <w:sz w:val="18"/>
            <w:szCs w:val="18"/>
            <w:u w:val="single" w:color="auto"/>
            <w:color w:val="0000FF"/>
          </w:rPr>
          <w:t>Forms of Stock Option Grant Notice, Option Agreement and Notice of</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Exercise under the 2018 Equity Incentive Plan.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10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10.3</w:t>
            </w:r>
          </w:p>
        </w:tc>
        <w:tc>
          <w:tcPr>
            <w:tcW w:w="110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100" w:type="dxa"/>
            <w:vAlign w:val="bottom"/>
          </w:tcPr>
          <w:p>
            <w:pPr>
              <w:jc w:val="right"/>
              <w:spacing w:after="0"/>
              <w:rPr>
                <w:sz w:val="20"/>
                <w:szCs w:val="20"/>
                <w:color w:val="auto"/>
              </w:rPr>
            </w:pPr>
            <w:r>
              <w:rPr>
                <w:rFonts w:ascii="Arial" w:cs="Arial" w:eastAsia="Arial" w:hAnsi="Arial"/>
                <w:sz w:val="18"/>
                <w:szCs w:val="18"/>
                <w:color w:val="auto"/>
              </w:rPr>
              <w:t>10/5/2018</w:t>
            </w:r>
          </w:p>
        </w:tc>
      </w:tr>
    </w:tbl>
    <w:p>
      <w:pPr>
        <w:spacing w:after="0" w:line="175" w:lineRule="exact"/>
        <w:rPr>
          <w:sz w:val="20"/>
          <w:szCs w:val="20"/>
          <w:color w:val="auto"/>
        </w:rPr>
      </w:pPr>
    </w:p>
    <w:p>
      <w:pPr>
        <w:sectPr>
          <w:pgSz w:w="11900" w:h="16838" w:orient="portrait"/>
          <w:cols w:equalWidth="0" w:num="2">
            <w:col w:w="6380" w:space="380"/>
            <w:col w:w="4480"/>
          </w:cols>
          <w:pgMar w:left="320" w:top="769" w:right="339" w:bottom="1440" w:gutter="0" w:footer="0" w:header="0"/>
          <w:type w:val="continuous"/>
        </w:sectPr>
      </w:pPr>
    </w:p>
    <w:tbl>
      <w:tblPr>
        <w:tblLayout w:type="fixed"/>
        <w:tblInd w:w="300" w:type="dxa"/>
        <w:tblCellMar>
          <w:top w:w="0" w:type="dxa"/>
          <w:left w:w="0" w:type="dxa"/>
          <w:bottom w:w="0" w:type="dxa"/>
          <w:right w:w="0" w:type="dxa"/>
        </w:tblCellMar>
      </w:tblPr>
      <w:tr>
        <w:trPr>
          <w:trHeight w:val="190"/>
        </w:trPr>
        <w:tc>
          <w:tcPr>
            <w:tcW w:w="1000" w:type="dxa"/>
            <w:vAlign w:val="bottom"/>
          </w:tcPr>
          <w:p>
            <w:pPr>
              <w:jc w:val="right"/>
              <w:ind w:right="510"/>
              <w:spacing w:after="0" w:line="190" w:lineRule="exact"/>
              <w:rPr>
                <w:sz w:val="20"/>
                <w:szCs w:val="20"/>
                <w:color w:val="auto"/>
              </w:rPr>
            </w:pPr>
            <w:r>
              <w:rPr>
                <w:rFonts w:ascii="Arial" w:cs="Arial" w:eastAsia="Arial" w:hAnsi="Arial"/>
                <w:sz w:val="18"/>
                <w:szCs w:val="18"/>
                <w:color w:val="auto"/>
                <w:w w:val="83"/>
              </w:rPr>
              <w:t>10.5+</w:t>
            </w:r>
          </w:p>
        </w:tc>
        <w:tc>
          <w:tcPr>
            <w:tcW w:w="5300" w:type="dxa"/>
            <w:vAlign w:val="bottom"/>
            <w:gridSpan w:val="6"/>
          </w:tcPr>
          <w:p>
            <w:pPr>
              <w:spacing w:after="0" w:line="190"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Forms of Restricted Stock Unit Grant Notice and Restricted Stock Unit</w:t>
              </w:r>
            </w:hyperlink>
          </w:p>
        </w:tc>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w w:val="97"/>
              </w:rPr>
              <w:t>S-1/A</w:t>
            </w:r>
          </w:p>
        </w:tc>
        <w:tc>
          <w:tcPr>
            <w:tcW w:w="148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10.5</w:t>
            </w:r>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10/5/2018</w:t>
            </w:r>
          </w:p>
        </w:tc>
      </w:tr>
      <w:tr>
        <w:trPr>
          <w:trHeight w:val="155"/>
        </w:trPr>
        <w:tc>
          <w:tcPr>
            <w:tcW w:w="1000" w:type="dxa"/>
            <w:vAlign w:val="bottom"/>
          </w:tcPr>
          <w:p>
            <w:pPr>
              <w:spacing w:after="0"/>
              <w:rPr>
                <w:sz w:val="13"/>
                <w:szCs w:val="13"/>
                <w:color w:val="auto"/>
              </w:rPr>
            </w:pPr>
          </w:p>
        </w:tc>
        <w:tc>
          <w:tcPr>
            <w:tcW w:w="51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Award Agreement under the 2018 Equity Incentive Plan.</w:t>
              </w:r>
            </w:hyperlink>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9"/>
        </w:trPr>
        <w:tc>
          <w:tcPr>
            <w:tcW w:w="1000" w:type="dxa"/>
            <w:vAlign w:val="bottom"/>
          </w:tcPr>
          <w:p>
            <w:pPr>
              <w:jc w:val="right"/>
              <w:ind w:right="510"/>
              <w:spacing w:after="0"/>
              <w:rPr>
                <w:sz w:val="20"/>
                <w:szCs w:val="20"/>
                <w:color w:val="auto"/>
              </w:rPr>
            </w:pPr>
            <w:r>
              <w:rPr>
                <w:rFonts w:ascii="Arial" w:cs="Arial" w:eastAsia="Arial" w:hAnsi="Arial"/>
                <w:sz w:val="18"/>
                <w:szCs w:val="18"/>
                <w:color w:val="auto"/>
                <w:w w:val="83"/>
              </w:rPr>
              <w:t>10.6+</w:t>
            </w:r>
          </w:p>
        </w:tc>
        <w:tc>
          <w:tcPr>
            <w:tcW w:w="408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2018 Employee Stock Purchase Plan.</w:t>
              </w:r>
            </w:hyperlink>
          </w:p>
        </w:tc>
        <w:tc>
          <w:tcPr>
            <w:tcW w:w="1220" w:type="dxa"/>
            <w:vAlign w:val="bottom"/>
            <w:gridSpan w:val="4"/>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10.6</w:t>
            </w:r>
          </w:p>
        </w:tc>
        <w:tc>
          <w:tcPr>
            <w:tcW w:w="110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190"/>
        </w:trPr>
        <w:tc>
          <w:tcPr>
            <w:tcW w:w="1000" w:type="dxa"/>
            <w:vAlign w:val="bottom"/>
          </w:tcPr>
          <w:p>
            <w:pPr>
              <w:jc w:val="right"/>
              <w:ind w:right="510"/>
              <w:spacing w:after="0" w:line="190" w:lineRule="exact"/>
              <w:rPr>
                <w:sz w:val="20"/>
                <w:szCs w:val="20"/>
                <w:color w:val="auto"/>
              </w:rPr>
            </w:pPr>
            <w:r>
              <w:rPr>
                <w:rFonts w:ascii="Arial" w:cs="Arial" w:eastAsia="Arial" w:hAnsi="Arial"/>
                <w:sz w:val="18"/>
                <w:szCs w:val="18"/>
                <w:color w:val="auto"/>
                <w:w w:val="84"/>
              </w:rPr>
              <w:t>10.7#</w:t>
            </w:r>
          </w:p>
        </w:tc>
        <w:tc>
          <w:tcPr>
            <w:tcW w:w="4760" w:type="dxa"/>
            <w:vAlign w:val="bottom"/>
            <w:tcBorders>
              <w:bottom w:val="single" w:sz="8" w:color="0000FF"/>
            </w:tcBorders>
            <w:gridSpan w:val="3"/>
          </w:tcPr>
          <w:p>
            <w:pPr>
              <w:spacing w:after="0" w:line="190"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Manufacturing, Quality and Supply Agreement, dated January 31,</w:t>
              </w:r>
            </w:hyperlink>
          </w:p>
        </w:tc>
        <w:tc>
          <w:tcPr>
            <w:tcW w:w="540" w:type="dxa"/>
            <w:vAlign w:val="bottom"/>
            <w:gridSpan w:val="3"/>
          </w:tcPr>
          <w:p>
            <w:pPr>
              <w:spacing w:after="0"/>
              <w:rPr>
                <w:sz w:val="16"/>
                <w:szCs w:val="16"/>
                <w:color w:val="auto"/>
              </w:rPr>
            </w:pPr>
          </w:p>
        </w:tc>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w w:val="85"/>
              </w:rPr>
              <w:t>S-1</w:t>
            </w:r>
          </w:p>
        </w:tc>
        <w:tc>
          <w:tcPr>
            <w:tcW w:w="148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333-227445</w:t>
            </w:r>
          </w:p>
        </w:tc>
        <w:tc>
          <w:tcPr>
            <w:tcW w:w="102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10.6</w:t>
            </w:r>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9/20/2018</w:t>
            </w:r>
          </w:p>
        </w:tc>
      </w:tr>
      <w:tr>
        <w:trPr>
          <w:trHeight w:val="155"/>
        </w:trPr>
        <w:tc>
          <w:tcPr>
            <w:tcW w:w="1000" w:type="dxa"/>
            <w:vAlign w:val="bottom"/>
          </w:tcPr>
          <w:p>
            <w:pPr>
              <w:spacing w:after="0"/>
              <w:rPr>
                <w:sz w:val="13"/>
                <w:szCs w:val="13"/>
                <w:color w:val="auto"/>
              </w:rPr>
            </w:pPr>
          </w:p>
        </w:tc>
        <w:tc>
          <w:tcPr>
            <w:tcW w:w="5300" w:type="dxa"/>
            <w:vAlign w:val="bottom"/>
            <w:gridSpan w:val="6"/>
          </w:tcPr>
          <w:p>
            <w:pPr>
              <w:spacing w:after="0" w:line="156"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2017, between the Registrant and rms Company and Addendum No. 1</w:t>
              </w:r>
            </w:hyperlink>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4">
              <w:r>
                <w:rPr>
                  <w:rFonts w:ascii="Arial" w:cs="Arial" w:eastAsia="Arial" w:hAnsi="Arial"/>
                  <w:sz w:val="18"/>
                  <w:szCs w:val="18"/>
                  <w:color w:val="0000FF"/>
                  <w:w w:val="88"/>
                </w:rPr>
                <w:t>dated July 7, 2017.</w:t>
              </w:r>
            </w:hyperlink>
          </w:p>
        </w:tc>
        <w:tc>
          <w:tcPr>
            <w:tcW w:w="3700" w:type="dxa"/>
            <w:vAlign w:val="bottom"/>
            <w:tcBorders>
              <w:top w:val="single" w:sz="8" w:color="0000FF"/>
            </w:tcBorders>
            <w:gridSpan w:val="3"/>
          </w:tcPr>
          <w:p>
            <w:pPr>
              <w:spacing w:after="0"/>
              <w:rPr>
                <w:sz w:val="13"/>
                <w:szCs w:val="13"/>
                <w:color w:val="auto"/>
              </w:rPr>
            </w:pPr>
          </w:p>
        </w:tc>
        <w:tc>
          <w:tcPr>
            <w:tcW w:w="2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26" w:lineRule="exact"/>
        <w:rPr>
          <w:sz w:val="20"/>
          <w:szCs w:val="20"/>
          <w:color w:val="auto"/>
        </w:rPr>
      </w:pPr>
    </w:p>
    <w:p>
      <w:pPr>
        <w:sectPr>
          <w:pgSz w:w="11900" w:h="16838" w:orient="portrait"/>
          <w:cols w:equalWidth="0" w:num="1">
            <w:col w:w="11240"/>
          </w:cols>
          <w:pgMar w:left="320" w:top="769" w:right="339" w:bottom="1440" w:gutter="0" w:footer="0" w:header="0"/>
          <w:type w:val="continuous"/>
        </w:sectPr>
      </w:pPr>
    </w:p>
    <w:p>
      <w:pPr>
        <w:ind w:left="1300" w:right="440" w:hanging="1001"/>
        <w:spacing w:after="0" w:line="23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35">
        <w:r>
          <w:rPr>
            <w:rFonts w:ascii="Arial" w:cs="Arial" w:eastAsia="Arial" w:hAnsi="Arial"/>
            <w:sz w:val="18"/>
            <w:szCs w:val="18"/>
            <w:u w:val="single" w:color="auto"/>
            <w:color w:val="0000FF"/>
          </w:rPr>
          <w:t>Offer Letter Agreement, dated December 15, 2009, between the</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Registrant and Jeffrey W. Dunn.</w:t>
        </w:r>
      </w:hyperlink>
    </w:p>
    <w:p>
      <w:pPr>
        <w:ind w:left="1300" w:right="540" w:hanging="1001"/>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36">
        <w:r>
          <w:rPr>
            <w:rFonts w:ascii="Arial" w:cs="Arial" w:eastAsia="Arial" w:hAnsi="Arial"/>
            <w:sz w:val="18"/>
            <w:szCs w:val="18"/>
            <w:u w:val="single" w:color="auto"/>
            <w:color w:val="0000FF"/>
          </w:rPr>
          <w:t>Offer Letter Agreement, dated February 19, 2015, between the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Registrant and Michael A. Pisetsky</w:t>
        </w:r>
      </w:hyperlink>
    </w:p>
    <w:p>
      <w:pPr>
        <w:spacing w:after="0" w:line="1" w:lineRule="exact"/>
        <w:rPr>
          <w:sz w:val="20"/>
          <w:szCs w:val="20"/>
          <w:color w:val="auto"/>
        </w:rPr>
      </w:pPr>
    </w:p>
    <w:p>
      <w:pPr>
        <w:ind w:left="1300" w:hanging="1046"/>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37">
        <w:r>
          <w:rPr>
            <w:rFonts w:ascii="Arial" w:cs="Arial" w:eastAsia="Arial" w:hAnsi="Arial"/>
            <w:sz w:val="18"/>
            <w:szCs w:val="18"/>
            <w:u w:val="single" w:color="auto"/>
            <w:color w:val="0000FF"/>
          </w:rPr>
          <w:t>Letter Regarding Change to Employment Terms, dated June 20, 2016,</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between the Registrant and Michael A. Pisetsky.</w:t>
        </w:r>
      </w:hyperlink>
    </w:p>
    <w:p>
      <w:pPr>
        <w:spacing w:after="0" w:line="1" w:lineRule="exact"/>
        <w:rPr>
          <w:sz w:val="20"/>
          <w:szCs w:val="20"/>
          <w:color w:val="auto"/>
        </w:rPr>
      </w:pPr>
    </w:p>
    <w:p>
      <w:pPr>
        <w:ind w:left="1300" w:right="20" w:hanging="1043"/>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38">
        <w:r>
          <w:rPr>
            <w:rFonts w:ascii="Arial" w:cs="Arial" w:eastAsia="Arial" w:hAnsi="Arial"/>
            <w:sz w:val="18"/>
            <w:szCs w:val="18"/>
            <w:u w:val="single" w:color="auto"/>
            <w:color w:val="0000FF"/>
          </w:rPr>
          <w:t>Offer Letter Agreement, dated April 27, 2015, between the Registrant</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and Laura Francis.</w:t>
        </w:r>
      </w:hyperlink>
    </w:p>
    <w:p>
      <w:pPr>
        <w:spacing w:after="0" w:line="1" w:lineRule="exact"/>
        <w:rPr>
          <w:sz w:val="20"/>
          <w:szCs w:val="20"/>
          <w:color w:val="auto"/>
        </w:rPr>
      </w:pPr>
    </w:p>
    <w:p>
      <w:pPr>
        <w:ind w:left="1300" w:right="120" w:hanging="1046"/>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39">
        <w:r>
          <w:rPr>
            <w:rFonts w:ascii="Arial" w:cs="Arial" w:eastAsia="Arial" w:hAnsi="Arial"/>
            <w:sz w:val="18"/>
            <w:szCs w:val="18"/>
            <w:u w:val="single" w:color="auto"/>
            <w:color w:val="0000FF"/>
          </w:rPr>
          <w:t>Severance and Change in Control Agreement dated March 15, 2016,</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between the Registrant and Laura Francis.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333-227445</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80" w:type="dxa"/>
            <w:vAlign w:val="bottom"/>
          </w:tcPr>
          <w:p>
            <w:pPr>
              <w:jc w:val="right"/>
              <w:spacing w:after="0"/>
              <w:rPr>
                <w:sz w:val="20"/>
                <w:szCs w:val="20"/>
                <w:color w:val="auto"/>
              </w:rPr>
            </w:pPr>
            <w:r>
              <w:rPr>
                <w:rFonts w:ascii="Arial" w:cs="Arial" w:eastAsia="Arial" w:hAnsi="Arial"/>
                <w:sz w:val="18"/>
                <w:szCs w:val="18"/>
                <w:color w:val="auto"/>
              </w:rPr>
              <w:t>9/20/2018</w:t>
            </w:r>
          </w:p>
        </w:tc>
      </w:tr>
    </w:tbl>
    <w:p>
      <w:pPr>
        <w:spacing w:after="0" w:line="374" w:lineRule="exact"/>
        <w:rPr>
          <w:sz w:val="20"/>
          <w:szCs w:val="20"/>
          <w:color w:val="auto"/>
        </w:rPr>
      </w:pPr>
    </w:p>
    <w:p>
      <w:pPr>
        <w:sectPr>
          <w:pgSz w:w="11900" w:h="16838" w:orient="portrait"/>
          <w:cols w:equalWidth="0" w:num="2">
            <w:col w:w="6340" w:space="520"/>
            <w:col w:w="4380"/>
          </w:cols>
          <w:pgMar w:left="320" w:top="769" w:right="339" w:bottom="1440" w:gutter="0" w:footer="0" w:header="0"/>
          <w:type w:val="continuous"/>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0" w:name="page111"/>
    <w:bookmarkEnd w:id="110"/>
    <w:tbl>
      <w:tblPr>
        <w:tblLayout w:type="fixed"/>
        <w:tblInd w:w="120" w:type="dxa"/>
        <w:tblCellMar>
          <w:top w:w="0" w:type="dxa"/>
          <w:left w:w="0" w:type="dxa"/>
          <w:bottom w:w="0" w:type="dxa"/>
          <w:right w:w="0" w:type="dxa"/>
        </w:tblCellMar>
      </w:tblPr>
      <w:tr>
        <w:trPr>
          <w:trHeight w:val="207"/>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3"/>
              </w:rPr>
              <w:t>10.13+</w:t>
            </w:r>
          </w:p>
        </w:tc>
        <w:tc>
          <w:tcPr>
            <w:tcW w:w="5120" w:type="dxa"/>
            <w:vAlign w:val="bottom"/>
            <w:gridSpan w:val="25"/>
          </w:tcPr>
          <w:p>
            <w:pPr>
              <w:spacing w:after="0"/>
              <w:rPr>
                <w:rFonts w:ascii="Arial" w:cs="Arial" w:eastAsia="Arial" w:hAnsi="Arial"/>
                <w:sz w:val="18"/>
                <w:szCs w:val="18"/>
                <w:color w:val="0000FF"/>
                <w:w w:val="99"/>
              </w:rPr>
            </w:pPr>
            <w:hyperlink r:id="rId141">
              <w:r>
                <w:rPr>
                  <w:rFonts w:ascii="Arial" w:cs="Arial" w:eastAsia="Arial" w:hAnsi="Arial"/>
                  <w:sz w:val="18"/>
                  <w:szCs w:val="18"/>
                  <w:color w:val="0000FF"/>
                  <w:w w:val="99"/>
                </w:rPr>
                <w:t>Amended and Restated Letter Agreement, dated March 1, 2017,</w:t>
              </w:r>
            </w:hyperlink>
          </w:p>
        </w:tc>
      </w:tr>
      <w:tr>
        <w:trPr>
          <w:trHeight w:val="155"/>
        </w:trPr>
        <w:tc>
          <w:tcPr>
            <w:tcW w:w="118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8"/>
              </w:rPr>
            </w:pPr>
            <w:hyperlink r:id="rId141">
              <w:r>
                <w:rPr>
                  <w:rFonts w:ascii="Arial" w:cs="Arial" w:eastAsia="Arial" w:hAnsi="Arial"/>
                  <w:sz w:val="18"/>
                  <w:szCs w:val="18"/>
                  <w:color w:val="0000FF"/>
                  <w:w w:val="88"/>
                </w:rPr>
                <w:t>between the Registrant and Laura Francis.</w:t>
              </w:r>
            </w:hyperlink>
          </w:p>
        </w:tc>
        <w:tc>
          <w:tcPr>
            <w:tcW w:w="15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3"/>
              </w:rPr>
              <w:t>10.14+</w:t>
            </w:r>
          </w:p>
        </w:tc>
        <w:tc>
          <w:tcPr>
            <w:tcW w:w="5120" w:type="dxa"/>
            <w:vAlign w:val="bottom"/>
            <w:gridSpan w:val="25"/>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Offer Letter Agreement, dated June 19, 2016, between the Registrant</w:t>
              </w:r>
            </w:hyperlink>
          </w:p>
        </w:tc>
      </w:tr>
      <w:tr>
        <w:trPr>
          <w:trHeight w:val="155"/>
        </w:trPr>
        <w:tc>
          <w:tcPr>
            <w:tcW w:w="1180" w:type="dxa"/>
            <w:vAlign w:val="bottom"/>
          </w:tcPr>
          <w:p>
            <w:pPr>
              <w:spacing w:after="0"/>
              <w:rPr>
                <w:sz w:val="13"/>
                <w:szCs w:val="13"/>
                <w:color w:val="auto"/>
              </w:rPr>
            </w:pPr>
          </w:p>
        </w:tc>
        <w:tc>
          <w:tcPr>
            <w:tcW w:w="4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and Anthony J. Recupero.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88"/>
              </w:rPr>
              <w:t>10.15</w:t>
            </w:r>
          </w:p>
        </w:tc>
        <w:tc>
          <w:tcPr>
            <w:tcW w:w="5120" w:type="dxa"/>
            <w:vAlign w:val="bottom"/>
            <w:gridSpan w:val="25"/>
          </w:tcPr>
          <w:p>
            <w:pPr>
              <w:spacing w:after="0"/>
              <w:rPr>
                <w:rFonts w:ascii="Arial" w:cs="Arial" w:eastAsia="Arial" w:hAnsi="Arial"/>
                <w:sz w:val="18"/>
                <w:szCs w:val="18"/>
                <w:color w:val="0000FF"/>
                <w:w w:val="94"/>
              </w:rPr>
            </w:pPr>
            <w:hyperlink r:id="rId143">
              <w:r>
                <w:rPr>
                  <w:rFonts w:ascii="Arial" w:cs="Arial" w:eastAsia="Arial" w:hAnsi="Arial"/>
                  <w:sz w:val="18"/>
                  <w:szCs w:val="18"/>
                  <w:color w:val="0000FF"/>
                  <w:w w:val="94"/>
                </w:rPr>
                <w:t>Amended and Restated Investors’ Rights Agreement, dated June 2,</w:t>
              </w:r>
            </w:hyperlink>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120" w:type="dxa"/>
            <w:vAlign w:val="bottom"/>
            <w:gridSpan w:val="25"/>
          </w:tcPr>
          <w:p>
            <w:pPr>
              <w:spacing w:after="0" w:line="156"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2016, by and among the Registrant and the parties thereto, as amended</w:t>
              </w:r>
            </w:hyperlink>
          </w:p>
        </w:tc>
      </w:tr>
      <w:tr>
        <w:trPr>
          <w:trHeight w:val="156"/>
        </w:trPr>
        <w:tc>
          <w:tcPr>
            <w:tcW w:w="1180" w:type="dxa"/>
            <w:vAlign w:val="bottom"/>
          </w:tcPr>
          <w:p>
            <w:pPr>
              <w:spacing w:after="0"/>
              <w:rPr>
                <w:sz w:val="13"/>
                <w:szCs w:val="13"/>
                <w:color w:val="auto"/>
              </w:rPr>
            </w:pPr>
          </w:p>
        </w:tc>
        <w:tc>
          <w:tcPr>
            <w:tcW w:w="51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on October 4, 2018.</w:t>
              </w:r>
            </w:hyperlink>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92"/>
              </w:rPr>
              <w:t>10.16*</w:t>
            </w:r>
          </w:p>
        </w:tc>
        <w:tc>
          <w:tcPr>
            <w:tcW w:w="5120" w:type="dxa"/>
            <w:vAlign w:val="bottom"/>
            <w:gridSpan w:val="25"/>
          </w:tcPr>
          <w:p>
            <w:pPr>
              <w:spacing w:after="0"/>
              <w:rPr>
                <w:rFonts w:ascii="Arial" w:cs="Arial" w:eastAsia="Arial" w:hAnsi="Arial"/>
                <w:sz w:val="18"/>
                <w:szCs w:val="18"/>
                <w:color w:val="0000FF"/>
                <w:w w:val="95"/>
              </w:rPr>
            </w:pPr>
            <w:hyperlink w:anchor="page115">
              <w:r>
                <w:rPr>
                  <w:rFonts w:ascii="Arial" w:cs="Arial" w:eastAsia="Arial" w:hAnsi="Arial"/>
                  <w:sz w:val="18"/>
                  <w:szCs w:val="18"/>
                  <w:color w:val="0000FF"/>
                  <w:w w:val="95"/>
                </w:rPr>
                <w:t>Addendum No. 2 to Manufacturing, Quality and Supply Agreement,</w:t>
              </w:r>
            </w:hyperlink>
          </w:p>
        </w:tc>
      </w:tr>
      <w:tr>
        <w:trPr>
          <w:trHeight w:val="195"/>
        </w:trPr>
        <w:tc>
          <w:tcPr>
            <w:tcW w:w="1180" w:type="dxa"/>
            <w:vAlign w:val="bottom"/>
          </w:tcPr>
          <w:p>
            <w:pPr>
              <w:spacing w:after="0"/>
              <w:rPr>
                <w:sz w:val="16"/>
                <w:szCs w:val="16"/>
                <w:color w:val="auto"/>
              </w:rPr>
            </w:pPr>
          </w:p>
        </w:tc>
        <w:tc>
          <w:tcPr>
            <w:tcW w:w="4940" w:type="dxa"/>
            <w:vAlign w:val="bottom"/>
            <w:tcBorders>
              <w:top w:val="single" w:sz="8" w:color="0000FF"/>
            </w:tcBorders>
            <w:gridSpan w:val="18"/>
          </w:tcPr>
          <w:p>
            <w:pPr>
              <w:spacing w:after="0" w:line="195" w:lineRule="exact"/>
              <w:rPr>
                <w:rFonts w:ascii="Arial" w:cs="Arial" w:eastAsia="Arial" w:hAnsi="Arial"/>
                <w:sz w:val="18"/>
                <w:szCs w:val="18"/>
                <w:u w:val="single" w:color="auto"/>
                <w:color w:val="0000FF"/>
                <w:w w:val="98"/>
              </w:rPr>
            </w:pPr>
            <w:hyperlink w:anchor="page115">
              <w:r>
                <w:rPr>
                  <w:rFonts w:ascii="Arial" w:cs="Arial" w:eastAsia="Arial" w:hAnsi="Arial"/>
                  <w:sz w:val="18"/>
                  <w:szCs w:val="18"/>
                  <w:u w:val="single" w:color="auto"/>
                  <w:color w:val="0000FF"/>
                  <w:w w:val="98"/>
                </w:rPr>
                <w:t>dated July 1, 2020, between the Registrant and rsm Company.</w:t>
              </w:r>
            </w:hyperlink>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1180" w:type="dxa"/>
            <w:vAlign w:val="bottom"/>
          </w:tcPr>
          <w:p>
            <w:pPr>
              <w:jc w:val="center"/>
              <w:ind w:right="250"/>
              <w:spacing w:after="0" w:line="190" w:lineRule="exact"/>
              <w:rPr>
                <w:sz w:val="20"/>
                <w:szCs w:val="20"/>
                <w:color w:val="auto"/>
              </w:rPr>
            </w:pPr>
            <w:r>
              <w:rPr>
                <w:rFonts w:ascii="Arial" w:cs="Arial" w:eastAsia="Arial" w:hAnsi="Arial"/>
                <w:sz w:val="18"/>
                <w:szCs w:val="18"/>
                <w:color w:val="auto"/>
                <w:w w:val="88"/>
              </w:rPr>
              <w:t>10.17</w:t>
            </w:r>
          </w:p>
        </w:tc>
        <w:tc>
          <w:tcPr>
            <w:tcW w:w="4480" w:type="dxa"/>
            <w:vAlign w:val="bottom"/>
            <w:tcBorders>
              <w:bottom w:val="single" w:sz="8" w:color="0000FF"/>
            </w:tcBorders>
            <w:gridSpan w:val="10"/>
          </w:tcPr>
          <w:p>
            <w:pPr>
              <w:spacing w:after="0" w:line="190" w:lineRule="exact"/>
              <w:rPr>
                <w:rFonts w:ascii="Arial" w:cs="Arial" w:eastAsia="Arial" w:hAnsi="Arial"/>
                <w:sz w:val="18"/>
                <w:szCs w:val="18"/>
                <w:color w:val="0000FF"/>
                <w:w w:val="89"/>
              </w:rPr>
            </w:pPr>
            <w:hyperlink r:id="rId144">
              <w:r>
                <w:rPr>
                  <w:rFonts w:ascii="Arial" w:cs="Arial" w:eastAsia="Arial" w:hAnsi="Arial"/>
                  <w:sz w:val="18"/>
                  <w:szCs w:val="18"/>
                  <w:color w:val="0000FF"/>
                  <w:w w:val="89"/>
                </w:rPr>
                <w:t>Office Lease Agreement, dated February 2, 2018, between the</w:t>
              </w:r>
            </w:hyperlink>
          </w:p>
        </w:tc>
        <w:tc>
          <w:tcPr>
            <w:tcW w:w="640" w:type="dxa"/>
            <w:vAlign w:val="bottom"/>
            <w:gridSpan w:val="15"/>
          </w:tcPr>
          <w:p>
            <w:pPr>
              <w:spacing w:after="0"/>
              <w:rPr>
                <w:sz w:val="16"/>
                <w:szCs w:val="16"/>
                <w:color w:val="auto"/>
              </w:rPr>
            </w:pPr>
          </w:p>
        </w:tc>
      </w:tr>
      <w:tr>
        <w:trPr>
          <w:trHeight w:val="156"/>
        </w:trPr>
        <w:tc>
          <w:tcPr>
            <w:tcW w:w="1180" w:type="dxa"/>
            <w:vAlign w:val="bottom"/>
          </w:tcPr>
          <w:p>
            <w:pPr>
              <w:spacing w:after="0"/>
              <w:rPr>
                <w:sz w:val="13"/>
                <w:szCs w:val="13"/>
                <w:color w:val="auto"/>
              </w:rPr>
            </w:pPr>
          </w:p>
        </w:tc>
        <w:tc>
          <w:tcPr>
            <w:tcW w:w="5120" w:type="dxa"/>
            <w:vAlign w:val="bottom"/>
            <w:gridSpan w:val="25"/>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Registrant and Bixby SPE Finance 11, LLC, as amended on April 16,</w:t>
              </w:r>
            </w:hyperlink>
          </w:p>
        </w:tc>
      </w:tr>
      <w:tr>
        <w:trPr>
          <w:trHeight w:val="156"/>
        </w:trPr>
        <w:tc>
          <w:tcPr>
            <w:tcW w:w="11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44">
              <w:r>
                <w:rPr>
                  <w:rFonts w:ascii="Arial" w:cs="Arial" w:eastAsia="Arial" w:hAnsi="Arial"/>
                  <w:sz w:val="18"/>
                  <w:szCs w:val="18"/>
                  <w:color w:val="0000FF"/>
                  <w:w w:val="84"/>
                </w:rPr>
                <w:t>2018.</w:t>
              </w:r>
            </w:hyperlink>
          </w:p>
        </w:tc>
        <w:tc>
          <w:tcPr>
            <w:tcW w:w="4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9"/>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3"/>
              </w:rPr>
              <w:t>10.18+</w:t>
            </w:r>
          </w:p>
        </w:tc>
        <w:tc>
          <w:tcPr>
            <w:tcW w:w="5120" w:type="dxa"/>
            <w:vAlign w:val="bottom"/>
            <w:gridSpan w:val="25"/>
          </w:tcPr>
          <w:p>
            <w:pPr>
              <w:spacing w:after="0"/>
              <w:rPr>
                <w:rFonts w:ascii="Arial" w:cs="Arial" w:eastAsia="Arial" w:hAnsi="Arial"/>
                <w:sz w:val="18"/>
                <w:szCs w:val="18"/>
                <w:u w:val="single" w:color="auto"/>
                <w:color w:val="0000FF"/>
                <w:w w:val="96"/>
              </w:rPr>
            </w:pPr>
            <w:hyperlink r:id="rId145">
              <w:r>
                <w:rPr>
                  <w:rFonts w:ascii="Arial" w:cs="Arial" w:eastAsia="Arial" w:hAnsi="Arial"/>
                  <w:sz w:val="18"/>
                  <w:szCs w:val="18"/>
                  <w:u w:val="single" w:color="auto"/>
                  <w:color w:val="0000FF"/>
                  <w:w w:val="96"/>
                </w:rPr>
                <w:t>Form of Restricted Stock Unit Grant Notice and Award Agreement.</w:t>
              </w:r>
            </w:hyperlink>
          </w:p>
        </w:tc>
      </w:tr>
      <w:tr>
        <w:trPr>
          <w:trHeight w:val="190"/>
        </w:trPr>
        <w:tc>
          <w:tcPr>
            <w:tcW w:w="1180" w:type="dxa"/>
            <w:vAlign w:val="bottom"/>
          </w:tcPr>
          <w:p>
            <w:pPr>
              <w:jc w:val="center"/>
              <w:ind w:right="330"/>
              <w:spacing w:after="0" w:line="190" w:lineRule="exact"/>
              <w:rPr>
                <w:sz w:val="20"/>
                <w:szCs w:val="20"/>
                <w:color w:val="auto"/>
              </w:rPr>
            </w:pPr>
            <w:r>
              <w:rPr>
                <w:rFonts w:ascii="Arial" w:cs="Arial" w:eastAsia="Arial" w:hAnsi="Arial"/>
                <w:sz w:val="18"/>
                <w:szCs w:val="18"/>
                <w:color w:val="auto"/>
                <w:w w:val="93"/>
              </w:rPr>
              <w:t>10.19+</w:t>
            </w:r>
          </w:p>
        </w:tc>
        <w:tc>
          <w:tcPr>
            <w:tcW w:w="5120" w:type="dxa"/>
            <w:vAlign w:val="bottom"/>
            <w:gridSpan w:val="25"/>
          </w:tcPr>
          <w:p>
            <w:pPr>
              <w:spacing w:after="0" w:line="190" w:lineRule="exact"/>
              <w:rPr>
                <w:rFonts w:ascii="Arial" w:cs="Arial" w:eastAsia="Arial" w:hAnsi="Arial"/>
                <w:sz w:val="18"/>
                <w:szCs w:val="18"/>
                <w:color w:val="0000FF"/>
                <w:w w:val="97"/>
              </w:rPr>
            </w:pPr>
            <w:hyperlink r:id="rId146">
              <w:r>
                <w:rPr>
                  <w:rFonts w:ascii="Arial" w:cs="Arial" w:eastAsia="Arial" w:hAnsi="Arial"/>
                  <w:sz w:val="18"/>
                  <w:szCs w:val="18"/>
                  <w:color w:val="0000FF"/>
                  <w:w w:val="97"/>
                </w:rPr>
                <w:t>Amendment to Restricted Stock Units of Chief Operating Officer &amp;</w:t>
              </w:r>
            </w:hyperlink>
          </w:p>
        </w:tc>
      </w:tr>
      <w:tr>
        <w:trPr>
          <w:trHeight w:val="156"/>
        </w:trPr>
        <w:tc>
          <w:tcPr>
            <w:tcW w:w="118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Chief Financial Officer</w:t>
              </w:r>
            </w:hyperlink>
          </w:p>
        </w:tc>
        <w:tc>
          <w:tcPr>
            <w:tcW w:w="320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3"/>
              </w:rPr>
              <w:t>10.20+</w:t>
            </w:r>
          </w:p>
        </w:tc>
        <w:tc>
          <w:tcPr>
            <w:tcW w:w="5120" w:type="dxa"/>
            <w:vAlign w:val="bottom"/>
            <w:gridSpan w:val="25"/>
          </w:tcPr>
          <w:p>
            <w:pPr>
              <w:spacing w:after="0"/>
              <w:rPr>
                <w:rFonts w:ascii="Arial" w:cs="Arial" w:eastAsia="Arial" w:hAnsi="Arial"/>
                <w:sz w:val="18"/>
                <w:szCs w:val="18"/>
                <w:color w:val="0000FF"/>
                <w:w w:val="94"/>
              </w:rPr>
            </w:pPr>
            <w:hyperlink r:id="rId147">
              <w:r>
                <w:rPr>
                  <w:rFonts w:ascii="Arial" w:cs="Arial" w:eastAsia="Arial" w:hAnsi="Arial"/>
                  <w:sz w:val="18"/>
                  <w:szCs w:val="18"/>
                  <w:color w:val="0000FF"/>
                  <w:w w:val="94"/>
                </w:rPr>
                <w:t>Changes to Chief Executive Officer, Chief Operating Officer &amp; Chief</w:t>
              </w:r>
            </w:hyperlink>
          </w:p>
        </w:tc>
      </w:tr>
      <w:tr>
        <w:trPr>
          <w:trHeight w:val="195"/>
        </w:trPr>
        <w:tc>
          <w:tcPr>
            <w:tcW w:w="1180" w:type="dxa"/>
            <w:vAlign w:val="bottom"/>
          </w:tcPr>
          <w:p>
            <w:pPr>
              <w:spacing w:after="0"/>
              <w:rPr>
                <w:sz w:val="16"/>
                <w:szCs w:val="16"/>
                <w:color w:val="auto"/>
              </w:rPr>
            </w:pPr>
          </w:p>
        </w:tc>
        <w:tc>
          <w:tcPr>
            <w:tcW w:w="5000" w:type="dxa"/>
            <w:vAlign w:val="bottom"/>
            <w:tcBorders>
              <w:top w:val="single" w:sz="8" w:color="0000FF"/>
            </w:tcBorders>
            <w:gridSpan w:val="20"/>
          </w:tcPr>
          <w:p>
            <w:pPr>
              <w:spacing w:after="0" w:line="195" w:lineRule="exact"/>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Financial Officer, and Chief Commercial Officer Compensation</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23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3"/>
              </w:rPr>
              <w:t>10.21+</w:t>
            </w:r>
          </w:p>
        </w:tc>
        <w:tc>
          <w:tcPr>
            <w:tcW w:w="5120" w:type="dxa"/>
            <w:vAlign w:val="bottom"/>
            <w:gridSpan w:val="25"/>
          </w:tcPr>
          <w:p>
            <w:pPr>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Amendment to Offer Letter with Jeffrey Dunn</w:t>
              </w:r>
            </w:hyperlink>
          </w:p>
        </w:tc>
      </w:tr>
      <w:tr>
        <w:trPr>
          <w:trHeight w:val="22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92"/>
              </w:rPr>
              <w:t>10.22*</w:t>
            </w:r>
          </w:p>
        </w:tc>
        <w:tc>
          <w:tcPr>
            <w:tcW w:w="5120" w:type="dxa"/>
            <w:vAlign w:val="bottom"/>
            <w:gridSpan w:val="25"/>
          </w:tcPr>
          <w:p>
            <w:pPr>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2020 Non-Employee Directors' Compensation Policy</w:t>
              </w:r>
            </w:hyperlink>
          </w:p>
        </w:tc>
      </w:tr>
      <w:tr>
        <w:trPr>
          <w:trHeight w:val="190"/>
        </w:trPr>
        <w:tc>
          <w:tcPr>
            <w:tcW w:w="1180" w:type="dxa"/>
            <w:vAlign w:val="bottom"/>
          </w:tcPr>
          <w:p>
            <w:pPr>
              <w:jc w:val="center"/>
              <w:ind w:right="250"/>
              <w:spacing w:after="0" w:line="190" w:lineRule="exact"/>
              <w:rPr>
                <w:sz w:val="20"/>
                <w:szCs w:val="20"/>
                <w:color w:val="auto"/>
              </w:rPr>
            </w:pPr>
            <w:r>
              <w:rPr>
                <w:rFonts w:ascii="Arial" w:cs="Arial" w:eastAsia="Arial" w:hAnsi="Arial"/>
                <w:sz w:val="18"/>
                <w:szCs w:val="18"/>
                <w:color w:val="auto"/>
                <w:w w:val="88"/>
              </w:rPr>
              <w:t>10.23</w:t>
            </w:r>
          </w:p>
        </w:tc>
        <w:tc>
          <w:tcPr>
            <w:tcW w:w="5120" w:type="dxa"/>
            <w:vAlign w:val="bottom"/>
            <w:gridSpan w:val="25"/>
          </w:tcPr>
          <w:p>
            <w:pPr>
              <w:spacing w:after="0" w:line="190" w:lineRule="exact"/>
              <w:rPr>
                <w:rFonts w:ascii="Arial" w:cs="Arial" w:eastAsia="Arial" w:hAnsi="Arial"/>
                <w:sz w:val="18"/>
                <w:szCs w:val="18"/>
                <w:color w:val="0000FF"/>
                <w:w w:val="99"/>
              </w:rPr>
            </w:pPr>
            <w:hyperlink r:id="rId149">
              <w:r>
                <w:rPr>
                  <w:rFonts w:ascii="Arial" w:cs="Arial" w:eastAsia="Arial" w:hAnsi="Arial"/>
                  <w:sz w:val="18"/>
                  <w:szCs w:val="18"/>
                  <w:color w:val="0000FF"/>
                  <w:w w:val="99"/>
                </w:rPr>
                <w:t>Loan and Security Agreement, dated May 29, 2020, between SI-</w:t>
              </w:r>
            </w:hyperlink>
          </w:p>
        </w:tc>
      </w:tr>
      <w:tr>
        <w:trPr>
          <w:trHeight w:val="155"/>
        </w:trPr>
        <w:tc>
          <w:tcPr>
            <w:tcW w:w="1180" w:type="dxa"/>
            <w:vAlign w:val="bottom"/>
          </w:tcPr>
          <w:p>
            <w:pPr>
              <w:spacing w:after="0"/>
              <w:rPr>
                <w:sz w:val="13"/>
                <w:szCs w:val="13"/>
                <w:color w:val="auto"/>
              </w:rPr>
            </w:pPr>
          </w:p>
        </w:tc>
        <w:tc>
          <w:tcPr>
            <w:tcW w:w="464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149">
              <w:r>
                <w:rPr>
                  <w:rFonts w:ascii="Arial" w:cs="Arial" w:eastAsia="Arial" w:hAnsi="Arial"/>
                  <w:sz w:val="18"/>
                  <w:szCs w:val="18"/>
                  <w:color w:val="0000FF"/>
                  <w:w w:val="93"/>
                </w:rPr>
                <w:t>BONE, Inc. and Solar Capital Ltd., as collateral agent, and the</w:t>
              </w:r>
            </w:hyperlink>
          </w:p>
        </w:tc>
        <w:tc>
          <w:tcPr>
            <w:tcW w:w="480" w:type="dxa"/>
            <w:vAlign w:val="bottom"/>
            <w:gridSpan w:val="13"/>
          </w:tcPr>
          <w:p>
            <w:pPr>
              <w:spacing w:after="0" w:line="156" w:lineRule="exact"/>
              <w:rPr>
                <w:rFonts w:ascii="Arial" w:cs="Arial" w:eastAsia="Arial" w:hAnsi="Arial"/>
                <w:sz w:val="18"/>
                <w:szCs w:val="18"/>
                <w:color w:val="0000FF"/>
                <w:w w:val="77"/>
              </w:rPr>
            </w:pPr>
            <w:hyperlink r:id="rId149">
              <w:r>
                <w:rPr>
                  <w:rFonts w:ascii="Arial" w:cs="Arial" w:eastAsia="Arial" w:hAnsi="Arial"/>
                  <w:sz w:val="18"/>
                  <w:szCs w:val="18"/>
                  <w:color w:val="0000FF"/>
                  <w:w w:val="77"/>
                </w:rPr>
                <w:t>lenders</w:t>
              </w:r>
            </w:hyperlink>
          </w:p>
        </w:tc>
      </w:tr>
      <w:tr>
        <w:trPr>
          <w:trHeight w:val="156"/>
        </w:trPr>
        <w:tc>
          <w:tcPr>
            <w:tcW w:w="1180" w:type="dxa"/>
            <w:vAlign w:val="bottom"/>
          </w:tcPr>
          <w:p>
            <w:pPr>
              <w:spacing w:after="0"/>
              <w:rPr>
                <w:sz w:val="13"/>
                <w:szCs w:val="13"/>
                <w:color w:val="auto"/>
              </w:rPr>
            </w:pPr>
          </w:p>
        </w:tc>
        <w:tc>
          <w:tcPr>
            <w:tcW w:w="50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from time to time party thereto.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80" w:type="dxa"/>
            <w:vAlign w:val="bottom"/>
          </w:tcPr>
          <w:p>
            <w:pPr>
              <w:jc w:val="center"/>
              <w:ind w:right="250"/>
              <w:spacing w:after="0"/>
              <w:rPr>
                <w:sz w:val="20"/>
                <w:szCs w:val="20"/>
                <w:color w:val="auto"/>
              </w:rPr>
            </w:pPr>
            <w:r>
              <w:rPr>
                <w:rFonts w:ascii="Arial" w:cs="Arial" w:eastAsia="Arial" w:hAnsi="Arial"/>
                <w:sz w:val="18"/>
                <w:szCs w:val="18"/>
                <w:color w:val="auto"/>
                <w:w w:val="92"/>
              </w:rPr>
              <w:t>10.24*</w:t>
            </w:r>
          </w:p>
        </w:tc>
        <w:tc>
          <w:tcPr>
            <w:tcW w:w="5120" w:type="dxa"/>
            <w:vAlign w:val="bottom"/>
            <w:gridSpan w:val="25"/>
          </w:tcPr>
          <w:p>
            <w:pPr>
              <w:spacing w:after="0"/>
              <w:rPr>
                <w:rFonts w:ascii="Arial" w:cs="Arial" w:eastAsia="Arial" w:hAnsi="Arial"/>
                <w:sz w:val="18"/>
                <w:szCs w:val="18"/>
                <w:color w:val="0000FF"/>
                <w:w w:val="99"/>
              </w:rPr>
            </w:pPr>
            <w:hyperlink w:anchor="page119">
              <w:r>
                <w:rPr>
                  <w:rFonts w:ascii="Arial" w:cs="Arial" w:eastAsia="Arial" w:hAnsi="Arial"/>
                  <w:sz w:val="18"/>
                  <w:szCs w:val="18"/>
                  <w:color w:val="0000FF"/>
                  <w:w w:val="99"/>
                </w:rPr>
                <w:t>SI-BONE, Inc. Severance Benefit Plan and Form of Participation</w:t>
              </w:r>
            </w:hyperlink>
          </w:p>
        </w:tc>
      </w:tr>
      <w:tr>
        <w:trPr>
          <w:trHeight w:val="156"/>
        </w:trPr>
        <w:tc>
          <w:tcPr>
            <w:tcW w:w="1180" w:type="dxa"/>
            <w:vAlign w:val="bottom"/>
          </w:tcPr>
          <w:p>
            <w:pPr>
              <w:spacing w:after="0"/>
              <w:rPr>
                <w:sz w:val="13"/>
                <w:szCs w:val="13"/>
                <w:color w:val="auto"/>
              </w:rPr>
            </w:pPr>
          </w:p>
        </w:tc>
        <w:tc>
          <w:tcPr>
            <w:tcW w:w="8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119">
              <w:r>
                <w:rPr>
                  <w:rFonts w:ascii="Arial" w:cs="Arial" w:eastAsia="Arial" w:hAnsi="Arial"/>
                  <w:sz w:val="18"/>
                  <w:szCs w:val="18"/>
                  <w:color w:val="0000FF"/>
                  <w:w w:val="88"/>
                </w:rPr>
                <w:t>Agreement</w:t>
              </w:r>
            </w:hyperlink>
          </w:p>
        </w:tc>
        <w:tc>
          <w:tcPr>
            <w:tcW w:w="3900" w:type="dxa"/>
            <w:vAlign w:val="bottom"/>
            <w:tcBorders>
              <w:top w:val="single" w:sz="8" w:color="0000FF"/>
            </w:tcBorders>
            <w:gridSpan w:val="11"/>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49"/>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5"/>
              </w:rPr>
              <w:t>21.1*</w:t>
            </w:r>
          </w:p>
        </w:tc>
        <w:tc>
          <w:tcPr>
            <w:tcW w:w="5120" w:type="dxa"/>
            <w:vAlign w:val="bottom"/>
            <w:gridSpan w:val="25"/>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List of Subsidiaries of Registrant</w:t>
              </w:r>
            </w:hyperlink>
          </w:p>
        </w:tc>
      </w:tr>
      <w:tr>
        <w:trPr>
          <w:trHeight w:val="190"/>
        </w:trPr>
        <w:tc>
          <w:tcPr>
            <w:tcW w:w="1180" w:type="dxa"/>
            <w:vAlign w:val="bottom"/>
          </w:tcPr>
          <w:p>
            <w:pPr>
              <w:jc w:val="center"/>
              <w:ind w:right="330"/>
              <w:spacing w:after="0" w:line="190" w:lineRule="exact"/>
              <w:rPr>
                <w:sz w:val="20"/>
                <w:szCs w:val="20"/>
                <w:color w:val="auto"/>
              </w:rPr>
            </w:pPr>
            <w:r>
              <w:rPr>
                <w:rFonts w:ascii="Arial" w:cs="Arial" w:eastAsia="Arial" w:hAnsi="Arial"/>
                <w:sz w:val="18"/>
                <w:szCs w:val="18"/>
                <w:color w:val="auto"/>
                <w:w w:val="95"/>
              </w:rPr>
              <w:t>23.1*</w:t>
            </w:r>
          </w:p>
        </w:tc>
        <w:tc>
          <w:tcPr>
            <w:tcW w:w="5120" w:type="dxa"/>
            <w:vAlign w:val="bottom"/>
            <w:gridSpan w:val="25"/>
          </w:tcPr>
          <w:p>
            <w:pPr>
              <w:spacing w:after="0" w:line="190" w:lineRule="exact"/>
              <w:rPr>
                <w:rFonts w:ascii="Arial" w:cs="Arial" w:eastAsia="Arial" w:hAnsi="Arial"/>
                <w:sz w:val="18"/>
                <w:szCs w:val="18"/>
                <w:color w:val="0000FF"/>
                <w:w w:val="92"/>
              </w:rPr>
            </w:pPr>
            <w:hyperlink w:anchor="page134">
              <w:r>
                <w:rPr>
                  <w:rFonts w:ascii="Arial" w:cs="Arial" w:eastAsia="Arial" w:hAnsi="Arial"/>
                  <w:sz w:val="18"/>
                  <w:szCs w:val="18"/>
                  <w:color w:val="0000FF"/>
                  <w:w w:val="92"/>
                </w:rPr>
                <w:t>Consent of PricewaterhouseCoopers, Independent Registered Public</w:t>
              </w:r>
            </w:hyperlink>
          </w:p>
        </w:tc>
      </w:tr>
      <w:tr>
        <w:trPr>
          <w:trHeight w:val="155"/>
        </w:trPr>
        <w:tc>
          <w:tcPr>
            <w:tcW w:w="1180" w:type="dxa"/>
            <w:vAlign w:val="bottom"/>
          </w:tcPr>
          <w:p>
            <w:pPr>
              <w:spacing w:after="0"/>
              <w:rPr>
                <w:sz w:val="13"/>
                <w:szCs w:val="13"/>
                <w:color w:val="auto"/>
              </w:rPr>
            </w:pPr>
          </w:p>
        </w:tc>
        <w:tc>
          <w:tcPr>
            <w:tcW w:w="49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34">
              <w:r>
                <w:rPr>
                  <w:rFonts w:ascii="Arial" w:cs="Arial" w:eastAsia="Arial" w:hAnsi="Arial"/>
                  <w:sz w:val="18"/>
                  <w:szCs w:val="18"/>
                  <w:color w:val="0000FF"/>
                </w:rPr>
                <w:t>Accounting Firm</w:t>
              </w:r>
            </w:hyperlink>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9"/>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5"/>
              </w:rPr>
              <w:t>24.1*</w:t>
            </w:r>
          </w:p>
        </w:tc>
        <w:tc>
          <w:tcPr>
            <w:tcW w:w="5120" w:type="dxa"/>
            <w:vAlign w:val="bottom"/>
            <w:gridSpan w:val="25"/>
          </w:tcPr>
          <w:p>
            <w:pPr>
              <w:spacing w:after="0"/>
              <w:rPr>
                <w:rFonts w:ascii="Arial" w:cs="Arial" w:eastAsia="Arial" w:hAnsi="Arial"/>
                <w:sz w:val="18"/>
                <w:szCs w:val="18"/>
                <w:u w:val="single" w:color="auto"/>
                <w:color w:val="0000FF"/>
                <w:w w:val="98"/>
              </w:rPr>
            </w:pPr>
            <w:hyperlink w:anchor="page112">
              <w:r>
                <w:rPr>
                  <w:rFonts w:ascii="Arial" w:cs="Arial" w:eastAsia="Arial" w:hAnsi="Arial"/>
                  <w:sz w:val="18"/>
                  <w:szCs w:val="18"/>
                  <w:u w:val="single" w:color="auto"/>
                  <w:color w:val="0000FF"/>
                  <w:w w:val="98"/>
                </w:rPr>
                <w:t>Power of Attorney (contained in the signature page of this report)</w:t>
              </w:r>
            </w:hyperlink>
          </w:p>
        </w:tc>
      </w:tr>
      <w:tr>
        <w:trPr>
          <w:trHeight w:val="190"/>
        </w:trPr>
        <w:tc>
          <w:tcPr>
            <w:tcW w:w="1180" w:type="dxa"/>
            <w:vAlign w:val="bottom"/>
          </w:tcPr>
          <w:p>
            <w:pPr>
              <w:jc w:val="center"/>
              <w:ind w:right="330"/>
              <w:spacing w:after="0" w:line="190" w:lineRule="exact"/>
              <w:rPr>
                <w:sz w:val="20"/>
                <w:szCs w:val="20"/>
                <w:color w:val="auto"/>
              </w:rPr>
            </w:pPr>
            <w:r>
              <w:rPr>
                <w:rFonts w:ascii="Arial" w:cs="Arial" w:eastAsia="Arial" w:hAnsi="Arial"/>
                <w:sz w:val="18"/>
                <w:szCs w:val="18"/>
                <w:color w:val="auto"/>
                <w:w w:val="95"/>
              </w:rPr>
              <w:t>31.1*</w:t>
            </w:r>
          </w:p>
        </w:tc>
        <w:tc>
          <w:tcPr>
            <w:tcW w:w="5120" w:type="dxa"/>
            <w:vAlign w:val="bottom"/>
            <w:gridSpan w:val="25"/>
          </w:tcPr>
          <w:p>
            <w:pPr>
              <w:spacing w:after="0" w:line="190" w:lineRule="exact"/>
              <w:rPr>
                <w:rFonts w:ascii="Arial" w:cs="Arial" w:eastAsia="Arial" w:hAnsi="Arial"/>
                <w:sz w:val="18"/>
                <w:szCs w:val="18"/>
                <w:color w:val="0000FF"/>
                <w:w w:val="93"/>
              </w:rPr>
            </w:pPr>
            <w:hyperlink w:anchor="page135">
              <w:r>
                <w:rPr>
                  <w:rFonts w:ascii="Arial" w:cs="Arial" w:eastAsia="Arial" w:hAnsi="Arial"/>
                  <w:sz w:val="18"/>
                  <w:szCs w:val="18"/>
                  <w:color w:val="0000FF"/>
                  <w:w w:val="93"/>
                </w:rPr>
                <w:t>Certification of Principal Executive Officer Pursuant to Section 302 of</w:t>
              </w:r>
            </w:hyperlink>
          </w:p>
        </w:tc>
      </w:tr>
      <w:tr>
        <w:trPr>
          <w:trHeight w:val="155"/>
        </w:trPr>
        <w:tc>
          <w:tcPr>
            <w:tcW w:w="11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35">
              <w:r>
                <w:rPr>
                  <w:rFonts w:ascii="Arial" w:cs="Arial" w:eastAsia="Arial" w:hAnsi="Arial"/>
                  <w:sz w:val="18"/>
                  <w:szCs w:val="18"/>
                  <w:color w:val="0000FF"/>
                  <w:w w:val="90"/>
                </w:rPr>
                <w:t>the Sarbanes-Oxley Act of 2002</w:t>
              </w:r>
            </w:hyperlink>
          </w:p>
        </w:tc>
        <w:tc>
          <w:tcPr>
            <w:tcW w:w="27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5"/>
              </w:rPr>
              <w:t>31.2*</w:t>
            </w:r>
          </w:p>
        </w:tc>
        <w:tc>
          <w:tcPr>
            <w:tcW w:w="5120" w:type="dxa"/>
            <w:vAlign w:val="bottom"/>
            <w:gridSpan w:val="25"/>
          </w:tcPr>
          <w:p>
            <w:pPr>
              <w:spacing w:after="0"/>
              <w:rPr>
                <w:rFonts w:ascii="Arial" w:cs="Arial" w:eastAsia="Arial" w:hAnsi="Arial"/>
                <w:sz w:val="18"/>
                <w:szCs w:val="18"/>
                <w:color w:val="0000FF"/>
                <w:w w:val="94"/>
              </w:rPr>
            </w:pPr>
            <w:hyperlink w:anchor="page136">
              <w:r>
                <w:rPr>
                  <w:rFonts w:ascii="Arial" w:cs="Arial" w:eastAsia="Arial" w:hAnsi="Arial"/>
                  <w:sz w:val="18"/>
                  <w:szCs w:val="18"/>
                  <w:color w:val="0000FF"/>
                  <w:w w:val="94"/>
                </w:rPr>
                <w:t>Certification of Principal Financial Officer Pursuant to Section 302 of</w:t>
              </w:r>
            </w:hyperlink>
          </w:p>
        </w:tc>
      </w:tr>
      <w:tr>
        <w:trPr>
          <w:trHeight w:val="155"/>
        </w:trPr>
        <w:tc>
          <w:tcPr>
            <w:tcW w:w="11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36">
              <w:r>
                <w:rPr>
                  <w:rFonts w:ascii="Arial" w:cs="Arial" w:eastAsia="Arial" w:hAnsi="Arial"/>
                  <w:sz w:val="18"/>
                  <w:szCs w:val="18"/>
                  <w:color w:val="0000FF"/>
                  <w:w w:val="90"/>
                </w:rPr>
                <w:t>the Sarbanes-Oxley Act of 2002</w:t>
              </w:r>
            </w:hyperlink>
          </w:p>
        </w:tc>
        <w:tc>
          <w:tcPr>
            <w:tcW w:w="2700" w:type="dxa"/>
            <w:vAlign w:val="bottom"/>
            <w:tcBorders>
              <w:top w:val="single" w:sz="8" w:color="0000FF"/>
            </w:tcBorders>
            <w:gridSpan w:val="1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1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7"/>
              </w:rPr>
              <w:t>32.1**</w:t>
            </w:r>
          </w:p>
        </w:tc>
        <w:tc>
          <w:tcPr>
            <w:tcW w:w="5120" w:type="dxa"/>
            <w:vAlign w:val="bottom"/>
            <w:gridSpan w:val="25"/>
          </w:tcPr>
          <w:p>
            <w:pPr>
              <w:spacing w:after="0"/>
              <w:rPr>
                <w:rFonts w:ascii="Arial" w:cs="Arial" w:eastAsia="Arial" w:hAnsi="Arial"/>
                <w:sz w:val="18"/>
                <w:szCs w:val="18"/>
                <w:color w:val="0000FF"/>
                <w:w w:val="98"/>
              </w:rPr>
            </w:pPr>
            <w:hyperlink w:anchor="page137">
              <w:r>
                <w:rPr>
                  <w:rFonts w:ascii="Arial" w:cs="Arial" w:eastAsia="Arial" w:hAnsi="Arial"/>
                  <w:sz w:val="18"/>
                  <w:szCs w:val="18"/>
                  <w:color w:val="0000FF"/>
                  <w:w w:val="98"/>
                </w:rPr>
                <w:t>Certification of Principal Executive Officer and Principal Financial</w:t>
              </w:r>
            </w:hyperlink>
          </w:p>
        </w:tc>
      </w:tr>
      <w:tr>
        <w:trPr>
          <w:trHeight w:val="195"/>
        </w:trPr>
        <w:tc>
          <w:tcPr>
            <w:tcW w:w="1180" w:type="dxa"/>
            <w:vAlign w:val="bottom"/>
          </w:tcPr>
          <w:p>
            <w:pPr>
              <w:spacing w:after="0"/>
              <w:rPr>
                <w:sz w:val="16"/>
                <w:szCs w:val="16"/>
                <w:color w:val="auto"/>
              </w:rPr>
            </w:pPr>
          </w:p>
        </w:tc>
        <w:tc>
          <w:tcPr>
            <w:tcW w:w="4840" w:type="dxa"/>
            <w:vAlign w:val="bottom"/>
            <w:tcBorders>
              <w:top w:val="single" w:sz="8" w:color="0000FF"/>
            </w:tcBorders>
            <w:gridSpan w:val="15"/>
          </w:tcPr>
          <w:p>
            <w:pPr>
              <w:spacing w:after="0" w:line="195" w:lineRule="exact"/>
              <w:rPr>
                <w:rFonts w:ascii="Arial" w:cs="Arial" w:eastAsia="Arial" w:hAnsi="Arial"/>
                <w:sz w:val="18"/>
                <w:szCs w:val="18"/>
                <w:u w:val="single" w:color="auto"/>
                <w:color w:val="0000FF"/>
                <w:w w:val="90"/>
              </w:rPr>
            </w:pPr>
            <w:hyperlink w:anchor="page137">
              <w:r>
                <w:rPr>
                  <w:rFonts w:ascii="Arial" w:cs="Arial" w:eastAsia="Arial" w:hAnsi="Arial"/>
                  <w:sz w:val="18"/>
                  <w:szCs w:val="18"/>
                  <w:u w:val="single" w:color="auto"/>
                  <w:color w:val="0000FF"/>
                  <w:w w:val="90"/>
                </w:rPr>
                <w:t>Officer Pursuant to Section 906 of the Sarbanes-Oxley Act of 2002</w:t>
              </w:r>
            </w:hyperlink>
          </w:p>
        </w:tc>
        <w:tc>
          <w:tcPr>
            <w:tcW w:w="280" w:type="dxa"/>
            <w:vAlign w:val="bottom"/>
            <w:gridSpan w:val="10"/>
          </w:tcPr>
          <w:p>
            <w:pPr>
              <w:spacing w:after="0"/>
              <w:rPr>
                <w:sz w:val="16"/>
                <w:szCs w:val="16"/>
                <w:color w:val="auto"/>
              </w:rPr>
            </w:pPr>
          </w:p>
        </w:tc>
      </w:tr>
      <w:tr>
        <w:trPr>
          <w:trHeight w:val="176"/>
        </w:trPr>
        <w:tc>
          <w:tcPr>
            <w:tcW w:w="1180" w:type="dxa"/>
            <w:vAlign w:val="bottom"/>
          </w:tcPr>
          <w:p>
            <w:pPr>
              <w:jc w:val="center"/>
              <w:ind w:right="330"/>
              <w:spacing w:after="0" w:line="176" w:lineRule="exact"/>
              <w:rPr>
                <w:sz w:val="20"/>
                <w:szCs w:val="20"/>
                <w:color w:val="auto"/>
              </w:rPr>
            </w:pPr>
            <w:r>
              <w:rPr>
                <w:rFonts w:ascii="Arial" w:cs="Arial" w:eastAsia="Arial" w:hAnsi="Arial"/>
                <w:sz w:val="18"/>
                <w:szCs w:val="18"/>
                <w:color w:val="auto"/>
                <w:w w:val="94"/>
              </w:rPr>
              <w:t>101.INS*</w:t>
            </w:r>
          </w:p>
        </w:tc>
        <w:tc>
          <w:tcPr>
            <w:tcW w:w="5120" w:type="dxa"/>
            <w:vAlign w:val="bottom"/>
            <w:gridSpan w:val="25"/>
          </w:tcPr>
          <w:p>
            <w:pPr>
              <w:spacing w:after="0" w:line="176" w:lineRule="exact"/>
              <w:rPr>
                <w:sz w:val="20"/>
                <w:szCs w:val="20"/>
                <w:color w:val="auto"/>
              </w:rPr>
            </w:pPr>
            <w:r>
              <w:rPr>
                <w:rFonts w:ascii="Arial" w:cs="Arial" w:eastAsia="Arial" w:hAnsi="Arial"/>
                <w:sz w:val="18"/>
                <w:szCs w:val="18"/>
                <w:color w:val="auto"/>
                <w:w w:val="96"/>
              </w:rPr>
              <w:t>Inline XBRL Instance Document - the instance document does not</w:t>
            </w:r>
          </w:p>
        </w:tc>
      </w:tr>
      <w:tr>
        <w:trPr>
          <w:trHeight w:val="175"/>
        </w:trPr>
        <w:tc>
          <w:tcPr>
            <w:tcW w:w="1180" w:type="dxa"/>
            <w:vAlign w:val="bottom"/>
          </w:tcPr>
          <w:p>
            <w:pPr>
              <w:spacing w:after="0"/>
              <w:rPr>
                <w:sz w:val="15"/>
                <w:szCs w:val="15"/>
                <w:color w:val="auto"/>
              </w:rPr>
            </w:pPr>
          </w:p>
        </w:tc>
        <w:tc>
          <w:tcPr>
            <w:tcW w:w="5120" w:type="dxa"/>
            <w:vAlign w:val="bottom"/>
            <w:gridSpan w:val="25"/>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r>
      <w:tr>
        <w:trPr>
          <w:trHeight w:val="229"/>
        </w:trPr>
        <w:tc>
          <w:tcPr>
            <w:tcW w:w="1180" w:type="dxa"/>
            <w:vAlign w:val="bottom"/>
          </w:tcPr>
          <w:p>
            <w:pPr>
              <w:spacing w:after="0"/>
              <w:rPr>
                <w:sz w:val="19"/>
                <w:szCs w:val="19"/>
                <w:color w:val="auto"/>
              </w:rPr>
            </w:pPr>
          </w:p>
        </w:tc>
        <w:tc>
          <w:tcPr>
            <w:tcW w:w="5120" w:type="dxa"/>
            <w:vAlign w:val="bottom"/>
            <w:gridSpan w:val="2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4"/>
              </w:rPr>
              <w:t>101.SCH*</w:t>
            </w:r>
          </w:p>
        </w:tc>
        <w:tc>
          <w:tcPr>
            <w:tcW w:w="5120" w:type="dxa"/>
            <w:vAlign w:val="bottom"/>
            <w:gridSpan w:val="2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8"/>
              </w:rPr>
              <w:t>101.CAL*</w:t>
            </w:r>
          </w:p>
        </w:tc>
        <w:tc>
          <w:tcPr>
            <w:tcW w:w="5120" w:type="dxa"/>
            <w:vAlign w:val="bottom"/>
            <w:gridSpan w:val="25"/>
          </w:tcPr>
          <w:p>
            <w:pPr>
              <w:spacing w:after="0"/>
              <w:rPr>
                <w:sz w:val="20"/>
                <w:szCs w:val="20"/>
                <w:color w:val="auto"/>
              </w:rPr>
            </w:pPr>
            <w:r>
              <w:rPr>
                <w:rFonts w:ascii="Arial" w:cs="Arial" w:eastAsia="Arial" w:hAnsi="Arial"/>
                <w:sz w:val="18"/>
                <w:szCs w:val="18"/>
                <w:color w:val="auto"/>
                <w:w w:val="96"/>
              </w:rPr>
              <w:t>Inline XBRL Taxonomy Extension Calculation Linkbase Document</w:t>
            </w:r>
          </w:p>
        </w:tc>
      </w:tr>
      <w:tr>
        <w:trPr>
          <w:trHeight w:val="23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7"/>
              </w:rPr>
              <w:t>101.DEF*</w:t>
            </w:r>
          </w:p>
        </w:tc>
        <w:tc>
          <w:tcPr>
            <w:tcW w:w="5120" w:type="dxa"/>
            <w:vAlign w:val="bottom"/>
            <w:gridSpan w:val="25"/>
          </w:tcPr>
          <w:p>
            <w:pPr>
              <w:spacing w:after="0"/>
              <w:rPr>
                <w:sz w:val="20"/>
                <w:szCs w:val="20"/>
                <w:color w:val="auto"/>
              </w:rPr>
            </w:pPr>
            <w:r>
              <w:rPr>
                <w:rFonts w:ascii="Arial" w:cs="Arial" w:eastAsia="Arial" w:hAnsi="Arial"/>
                <w:sz w:val="18"/>
                <w:szCs w:val="18"/>
                <w:color w:val="auto"/>
                <w:w w:val="99"/>
              </w:rPr>
              <w:t>Inline XBRL Taxonomy Extension Definition Linkbase Document</w:t>
            </w:r>
          </w:p>
        </w:tc>
      </w:tr>
      <w:tr>
        <w:trPr>
          <w:trHeight w:val="23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9"/>
              </w:rPr>
              <w:t>101.LAB*</w:t>
            </w:r>
          </w:p>
        </w:tc>
        <w:tc>
          <w:tcPr>
            <w:tcW w:w="512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80" w:type="dxa"/>
            <w:vAlign w:val="bottom"/>
          </w:tcPr>
          <w:p>
            <w:pPr>
              <w:jc w:val="center"/>
              <w:ind w:right="330"/>
              <w:spacing w:after="0"/>
              <w:rPr>
                <w:sz w:val="20"/>
                <w:szCs w:val="20"/>
                <w:color w:val="auto"/>
              </w:rPr>
            </w:pPr>
            <w:r>
              <w:rPr>
                <w:rFonts w:ascii="Arial" w:cs="Arial" w:eastAsia="Arial" w:hAnsi="Arial"/>
                <w:sz w:val="18"/>
                <w:szCs w:val="18"/>
                <w:color w:val="auto"/>
                <w:w w:val="91"/>
              </w:rPr>
              <w:t>101.PRE*</w:t>
            </w:r>
          </w:p>
        </w:tc>
        <w:tc>
          <w:tcPr>
            <w:tcW w:w="5120" w:type="dxa"/>
            <w:vAlign w:val="bottom"/>
            <w:gridSpan w:val="25"/>
          </w:tcPr>
          <w:p>
            <w:pPr>
              <w:spacing w:after="0"/>
              <w:rPr>
                <w:sz w:val="20"/>
                <w:szCs w:val="20"/>
                <w:color w:val="auto"/>
              </w:rPr>
            </w:pPr>
            <w:r>
              <w:rPr>
                <w:rFonts w:ascii="Arial" w:cs="Arial" w:eastAsia="Arial" w:hAnsi="Arial"/>
                <w:sz w:val="18"/>
                <w:szCs w:val="18"/>
                <w:color w:val="auto"/>
                <w:w w:val="94"/>
              </w:rPr>
              <w:t>Inline XBRL Taxonomy Extension Presentation Linkbase Document</w:t>
            </w:r>
          </w:p>
        </w:tc>
      </w:tr>
    </w:tbl>
    <w:p>
      <w:pPr>
        <w:ind w:left="1300" w:right="440" w:hanging="894"/>
        <w:spacing w:after="0" w:line="23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333-227445</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10.12</w:t>
            </w:r>
          </w:p>
        </w:tc>
        <w:tc>
          <w:tcPr>
            <w:tcW w:w="106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333-227445</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10.18</w:t>
            </w:r>
          </w:p>
        </w:tc>
        <w:tc>
          <w:tcPr>
            <w:tcW w:w="106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405"/>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333-227445</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10.21</w:t>
            </w:r>
          </w:p>
        </w:tc>
        <w:tc>
          <w:tcPr>
            <w:tcW w:w="1060" w:type="dxa"/>
            <w:vAlign w:val="bottom"/>
          </w:tcPr>
          <w:p>
            <w:pPr>
              <w:jc w:val="right"/>
              <w:spacing w:after="0"/>
              <w:rPr>
                <w:sz w:val="20"/>
                <w:szCs w:val="20"/>
                <w:color w:val="auto"/>
              </w:rPr>
            </w:pPr>
            <w:r>
              <w:rPr>
                <w:rFonts w:ascii="Arial" w:cs="Arial" w:eastAsia="Arial" w:hAnsi="Arial"/>
                <w:sz w:val="18"/>
                <w:szCs w:val="18"/>
                <w:color w:val="auto"/>
              </w:rPr>
              <w:t>10/5/2018</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58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10.30</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9/20/2018</w:t>
            </w:r>
          </w:p>
        </w:tc>
      </w:t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0"/>
              </w:rPr>
              <w:t>11/12/2019</w:t>
            </w:r>
          </w:p>
        </w:tc>
      </w:tr>
      <w:tr>
        <w:trPr>
          <w:trHeight w:val="405"/>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200" w:type="dxa"/>
            <w:vAlign w:val="bottom"/>
          </w:tcPr>
          <w:p>
            <w:pPr>
              <w:ind w:left="260"/>
              <w:spacing w:after="0"/>
              <w:rPr>
                <w:sz w:val="20"/>
                <w:szCs w:val="20"/>
                <w:color w:val="auto"/>
              </w:rPr>
            </w:pPr>
            <w:r>
              <w:rPr>
                <w:rFonts w:ascii="Arial" w:cs="Arial" w:eastAsia="Arial" w:hAnsi="Arial"/>
                <w:sz w:val="18"/>
                <w:szCs w:val="18"/>
                <w:color w:val="auto"/>
              </w:rPr>
              <w:t>Item 5.02</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91"/>
              </w:rPr>
              <w:t>1/3/2020</w:t>
            </w:r>
          </w:p>
        </w:tc>
      </w:tr>
      <w:tr>
        <w:trPr>
          <w:trHeight w:val="405"/>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91"/>
              </w:rPr>
              <w:t>1/7/2021</w:t>
            </w:r>
          </w:p>
        </w:tc>
      </w:tr>
      <w:tr>
        <w:trPr>
          <w:trHeight w:val="459"/>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91"/>
              </w:rPr>
              <w:t>8/4/2020</w:t>
            </w:r>
          </w:p>
        </w:tc>
      </w:tr>
    </w:tbl>
    <w:p>
      <w:pPr>
        <w:sectPr>
          <w:pgSz w:w="11900" w:h="16838" w:orient="portrait"/>
          <w:cols w:equalWidth="0" w:num="2">
            <w:col w:w="6380" w:space="400"/>
            <w:col w:w="4300"/>
          </w:cols>
          <w:pgMar w:left="320" w:top="891" w:right="499" w:bottom="1440" w:gutter="0" w:footer="0" w:header="0"/>
        </w:sectPr>
      </w:pPr>
    </w:p>
    <w:bookmarkStart w:id="111" w:name="page112"/>
    <w:bookmarkEnd w:id="111"/>
    <w:p>
      <w:pPr>
        <w:jc w:val="both"/>
        <w:ind w:left="340" w:hanging="332"/>
        <w:spacing w:after="0" w:line="259"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340" w:hanging="332"/>
        <w:spacing w:after="0" w:line="277" w:lineRule="auto"/>
        <w:tabs>
          <w:tab w:leader="none" w:pos="3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184" w:lineRule="exact"/>
        <w:rPr>
          <w:sz w:val="20"/>
          <w:szCs w:val="20"/>
          <w:color w:val="auto"/>
        </w:rPr>
      </w:pPr>
    </w:p>
    <w:p>
      <w:pPr>
        <w:ind w:left="260" w:hanging="252"/>
        <w:spacing w:after="0" w:line="196" w:lineRule="exact"/>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have filed, or incorporated into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by reference, the exhibits listed on the Exhibit Index immediately above.</w:t>
      </w:r>
    </w:p>
    <w:p>
      <w:pPr>
        <w:spacing w:after="0" w:line="250" w:lineRule="exact"/>
        <w:rPr>
          <w:rFonts w:ascii="Arial" w:cs="Arial" w:eastAsia="Arial" w:hAnsi="Arial"/>
          <w:sz w:val="17"/>
          <w:szCs w:val="17"/>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provided.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Santa Clara, California, on March 10, 2021.</w:t>
      </w:r>
    </w:p>
    <w:p>
      <w:pPr>
        <w:spacing w:after="0" w:line="34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SI-BONE,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604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W. Dunn</w:t>
            </w:r>
          </w:p>
        </w:tc>
      </w:tr>
      <w:tr>
        <w:trPr>
          <w:trHeight w:val="222"/>
        </w:trPr>
        <w:tc>
          <w:tcPr>
            <w:tcW w:w="67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Jeffrey W. Dunn</w:t>
            </w:r>
          </w:p>
        </w:tc>
      </w:tr>
      <w:tr>
        <w:trPr>
          <w:trHeight w:val="229"/>
        </w:trPr>
        <w:tc>
          <w:tcPr>
            <w:tcW w:w="67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78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w w:val="99"/>
              </w:rPr>
              <w:t>(Duly Authorized Officer and Principal Executive Officer</w:t>
            </w:r>
            <w:r>
              <w:rPr>
                <w:rFonts w:ascii="Arial" w:cs="Arial" w:eastAsia="Arial" w:hAnsi="Arial"/>
                <w:sz w:val="14"/>
                <w:szCs w:val="14"/>
                <w:color w:val="auto"/>
                <w:w w:val="99"/>
              </w:rPr>
              <w:t>)</w:t>
            </w:r>
          </w:p>
        </w:tc>
      </w:tr>
      <w:tr>
        <w:trPr>
          <w:trHeight w:val="661"/>
        </w:trPr>
        <w:tc>
          <w:tcPr>
            <w:tcW w:w="11240" w:type="dxa"/>
            <w:vAlign w:val="bottom"/>
            <w:gridSpan w:val="2"/>
          </w:tcPr>
          <w:p>
            <w:pPr>
              <w:ind w:left="6040"/>
              <w:spacing w:after="0"/>
              <w:rPr>
                <w:sz w:val="20"/>
                <w:szCs w:val="20"/>
                <w:color w:val="auto"/>
              </w:rPr>
            </w:pPr>
            <w:r>
              <w:rPr>
                <w:rFonts w:ascii="Arial" w:cs="Arial" w:eastAsia="Arial" w:hAnsi="Arial"/>
                <w:sz w:val="18"/>
                <w:szCs w:val="18"/>
                <w:color w:val="auto"/>
              </w:rPr>
              <w:t>SI-BONE, Inc.</w:t>
            </w:r>
          </w:p>
        </w:tc>
      </w:tr>
      <w:tr>
        <w:trPr>
          <w:trHeight w:val="378"/>
        </w:trPr>
        <w:tc>
          <w:tcPr>
            <w:tcW w:w="6780" w:type="dxa"/>
            <w:vAlign w:val="bottom"/>
          </w:tcPr>
          <w:p>
            <w:pPr>
              <w:ind w:left="604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A. Francis</w:t>
            </w:r>
          </w:p>
        </w:tc>
      </w:tr>
      <w:tr>
        <w:trPr>
          <w:trHeight w:val="222"/>
        </w:trPr>
        <w:tc>
          <w:tcPr>
            <w:tcW w:w="67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30"/>
        </w:trPr>
        <w:tc>
          <w:tcPr>
            <w:tcW w:w="67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Chief Operating Officer &amp; Chief Financial Officer</w:t>
            </w:r>
          </w:p>
        </w:tc>
      </w:tr>
      <w:tr>
        <w:trPr>
          <w:trHeight w:val="230"/>
        </w:trPr>
        <w:tc>
          <w:tcPr>
            <w:tcW w:w="678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1087"/>
        </w:trPr>
        <w:tc>
          <w:tcPr>
            <w:tcW w:w="67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jc w:val="both"/>
        <w:ind w:firstLine="405"/>
        <w:spacing w:after="0" w:line="218"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20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60" w:type="dxa"/>
            <w:vAlign w:val="bottom"/>
          </w:tcPr>
          <w:p>
            <w:pPr>
              <w:spacing w:after="0"/>
              <w:rPr>
                <w:sz w:val="16"/>
                <w:szCs w:val="16"/>
                <w:color w:val="auto"/>
              </w:rPr>
            </w:pPr>
          </w:p>
        </w:tc>
        <w:tc>
          <w:tcPr>
            <w:tcW w:w="52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86"/>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Jeffrey W. Dunn</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1"/>
              </w:rPr>
              <w:t>Jeffrey W. Dunn</w:t>
            </w:r>
          </w:p>
        </w:tc>
        <w:tc>
          <w:tcPr>
            <w:tcW w:w="260" w:type="dxa"/>
            <w:vAlign w:val="bottom"/>
          </w:tcPr>
          <w:p>
            <w:pPr>
              <w:spacing w:after="0"/>
              <w:rPr>
                <w:sz w:val="19"/>
                <w:szCs w:val="19"/>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 and Director</w:t>
            </w:r>
          </w:p>
        </w:tc>
        <w:tc>
          <w:tcPr>
            <w:tcW w:w="2080" w:type="dxa"/>
            <w:vAlign w:val="bottom"/>
          </w:tcPr>
          <w:p>
            <w:pPr>
              <w:spacing w:after="0"/>
              <w:rPr>
                <w:sz w:val="19"/>
                <w:szCs w:val="19"/>
                <w:color w:val="auto"/>
              </w:rPr>
            </w:pPr>
          </w:p>
        </w:tc>
      </w:tr>
      <w:tr>
        <w:trPr>
          <w:trHeight w:val="485"/>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Laura A. Francis</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&amp; Chief Financial Officer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2"/>
              </w:rPr>
              <w:t>Laura A. Francis</w:t>
            </w:r>
          </w:p>
        </w:tc>
        <w:tc>
          <w:tcPr>
            <w:tcW w:w="260" w:type="dxa"/>
            <w:vAlign w:val="bottom"/>
          </w:tcPr>
          <w:p>
            <w:pPr>
              <w:spacing w:after="0"/>
              <w:rPr>
                <w:sz w:val="19"/>
                <w:szCs w:val="19"/>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2080" w:type="dxa"/>
            <w:vAlign w:val="bottom"/>
          </w:tcPr>
          <w:p>
            <w:pPr>
              <w:spacing w:after="0"/>
              <w:rPr>
                <w:sz w:val="19"/>
                <w:szCs w:val="19"/>
                <w:color w:val="auto"/>
              </w:rPr>
            </w:pPr>
          </w:p>
        </w:tc>
      </w:tr>
      <w:tr>
        <w:trPr>
          <w:trHeight w:val="499"/>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E. Davis, Jr.</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 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2"/>
              </w:rPr>
              <w:t>Timothy E. Davis, Jr.</w:t>
            </w:r>
          </w:p>
        </w:tc>
        <w:tc>
          <w:tcPr>
            <w:tcW w:w="2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99"/>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J. Foley</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2"/>
              </w:rPr>
              <w:t>Mark J. Foley</w:t>
            </w:r>
          </w:p>
        </w:tc>
        <w:tc>
          <w:tcPr>
            <w:tcW w:w="2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85"/>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/s/John G. Freund, M.D.</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1"/>
              </w:rPr>
              <w:t>John G. Freund, M.D.</w:t>
            </w:r>
          </w:p>
        </w:tc>
        <w:tc>
          <w:tcPr>
            <w:tcW w:w="2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99"/>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Jeryl L. Hilleman</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4"/>
              </w:rPr>
              <w:t>Jeryl L. Hilleman</w:t>
            </w:r>
          </w:p>
        </w:tc>
        <w:tc>
          <w:tcPr>
            <w:tcW w:w="2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99"/>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Gregory K. Hinckley</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4"/>
              </w:rPr>
              <w:t>Gregory K. Hinckley</w:t>
            </w:r>
          </w:p>
        </w:tc>
        <w:tc>
          <w:tcPr>
            <w:tcW w:w="2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99"/>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Karen A. Licitra</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5"/>
              </w:rPr>
              <w:t>Karen A. Licitra</w:t>
            </w:r>
          </w:p>
        </w:tc>
        <w:tc>
          <w:tcPr>
            <w:tcW w:w="2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99"/>
        </w:trPr>
        <w:tc>
          <w:tcPr>
            <w:tcW w:w="22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 Keith C. Valentine</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2"/>
              </w:rPr>
              <w:t>Keith C. Valentine</w:t>
            </w:r>
          </w:p>
        </w:tc>
        <w:tc>
          <w:tcPr>
            <w:tcW w:w="2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85"/>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Mika Nishimura</w:t>
            </w:r>
          </w:p>
        </w:tc>
        <w:tc>
          <w:tcPr>
            <w:tcW w:w="260" w:type="dxa"/>
            <w:vAlign w:val="bottom"/>
          </w:tcPr>
          <w:p>
            <w:pPr>
              <w:spacing w:after="0"/>
              <w:rPr>
                <w:sz w:val="24"/>
                <w:szCs w:val="24"/>
                <w:color w:val="auto"/>
              </w:rPr>
            </w:pP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10, 2021</w:t>
            </w:r>
          </w:p>
        </w:tc>
      </w:tr>
      <w:tr>
        <w:trPr>
          <w:trHeight w:val="224"/>
        </w:trPr>
        <w:tc>
          <w:tcPr>
            <w:tcW w:w="2280" w:type="dxa"/>
            <w:vAlign w:val="bottom"/>
          </w:tcPr>
          <w:p>
            <w:pPr>
              <w:jc w:val="center"/>
              <w:spacing w:after="0"/>
              <w:rPr>
                <w:sz w:val="20"/>
                <w:szCs w:val="20"/>
                <w:color w:val="auto"/>
              </w:rPr>
            </w:pPr>
            <w:r>
              <w:rPr>
                <w:rFonts w:ascii="Arial" w:cs="Arial" w:eastAsia="Arial" w:hAnsi="Arial"/>
                <w:sz w:val="18"/>
                <w:szCs w:val="18"/>
                <w:color w:val="auto"/>
                <w:w w:val="95"/>
              </w:rPr>
              <w:t>Mika Nishimura</w:t>
            </w:r>
          </w:p>
        </w:tc>
        <w:tc>
          <w:tcPr>
            <w:tcW w:w="26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38" w:orient="portrait"/>
          <w:cols w:equalWidth="0" w:num="1">
            <w:col w:w="11240"/>
          </w:cols>
          <w:pgMar w:left="320" w:top="773"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CONFIDENTIAL &amp; PROPRIETARY 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ADDENDUM NO. 2 TO MANUFACTURING, QUALITY AND SUPPLY AGREEMENT</w:t>
      </w:r>
    </w:p>
    <w:p>
      <w:pPr>
        <w:spacing w:after="0" w:line="252" w:lineRule="exact"/>
        <w:rPr>
          <w:sz w:val="20"/>
          <w:szCs w:val="20"/>
          <w:color w:val="auto"/>
        </w:rPr>
      </w:pPr>
    </w:p>
    <w:p>
      <w:pPr>
        <w:jc w:val="both"/>
        <w:ind w:firstLine="266"/>
        <w:spacing w:after="0" w:line="256" w:lineRule="auto"/>
        <w:rPr>
          <w:sz w:val="20"/>
          <w:szCs w:val="20"/>
          <w:color w:val="auto"/>
        </w:rPr>
      </w:pPr>
      <w:r>
        <w:rPr>
          <w:rFonts w:ascii="Arial" w:cs="Arial" w:eastAsia="Arial" w:hAnsi="Arial"/>
          <w:sz w:val="18"/>
          <w:szCs w:val="18"/>
          <w:color w:val="auto"/>
        </w:rPr>
        <w:t>THIS ADDENDUM NO. 2 TO MANUFACTURING, QUALITY AND SUPPLY AGREEMENT (“</w:t>
      </w:r>
      <w:r>
        <w:rPr>
          <w:rFonts w:ascii="Arial" w:cs="Arial" w:eastAsia="Arial" w:hAnsi="Arial"/>
          <w:sz w:val="18"/>
          <w:szCs w:val="18"/>
          <w:b w:val="1"/>
          <w:bCs w:val="1"/>
          <w:i w:val="1"/>
          <w:iCs w:val="1"/>
          <w:color w:val="auto"/>
        </w:rPr>
        <w:t>Addendum No. 2</w:t>
      </w:r>
      <w:r>
        <w:rPr>
          <w:rFonts w:ascii="Arial" w:cs="Arial" w:eastAsia="Arial" w:hAnsi="Arial"/>
          <w:sz w:val="18"/>
          <w:szCs w:val="18"/>
          <w:color w:val="auto"/>
        </w:rPr>
        <w:t>”), effective as of July 1, 2020 (“</w:t>
      </w:r>
      <w:r>
        <w:rPr>
          <w:rFonts w:ascii="Arial" w:cs="Arial" w:eastAsia="Arial" w:hAnsi="Arial"/>
          <w:sz w:val="18"/>
          <w:szCs w:val="18"/>
          <w:b w:val="1"/>
          <w:bCs w:val="1"/>
          <w:i w:val="1"/>
          <w:iCs w:val="1"/>
          <w:color w:val="auto"/>
        </w:rPr>
        <w:t>Addendum Effective Date</w:t>
      </w:r>
      <w:r>
        <w:rPr>
          <w:rFonts w:ascii="Arial" w:cs="Arial" w:eastAsia="Arial" w:hAnsi="Arial"/>
          <w:sz w:val="18"/>
          <w:szCs w:val="18"/>
          <w:color w:val="auto"/>
        </w:rPr>
        <w:t xml:space="preserve">”) is by and between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having a principal place of business at 471 El Camino Real, Suite 101, Santa Clara, California 95050 (“</w:t>
      </w:r>
      <w:r>
        <w:rPr>
          <w:rFonts w:ascii="Arial" w:cs="Arial" w:eastAsia="Arial" w:hAnsi="Arial"/>
          <w:sz w:val="18"/>
          <w:szCs w:val="18"/>
          <w:b w:val="1"/>
          <w:bCs w:val="1"/>
          <w:i w:val="1"/>
          <w:iCs w:val="1"/>
          <w:color w:val="auto"/>
        </w:rPr>
        <w:t>SI-BONE</w:t>
      </w:r>
      <w:r>
        <w:rPr>
          <w:rFonts w:ascii="Arial" w:cs="Arial" w:eastAsia="Arial" w:hAnsi="Arial"/>
          <w:sz w:val="18"/>
          <w:szCs w:val="18"/>
          <w:color w:val="auto"/>
        </w:rPr>
        <w:t>”) and rms Company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 a Minnesota corporation having a principal place of business at 8600 Evergreen Blvd., Coon Rapids, MN 55433, and amends that certain Manufacturing, Quality and Supply Agreement between the parties with an effective date of January 31, 2017 as amended by that certain addendum dated July 7, 2017 (the “</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 and together with this Addendum No. 1,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Capitalized terms used and not defined herein shall have the meaning given them in the Existing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52" w:lineRule="exact"/>
        <w:rPr>
          <w:sz w:val="20"/>
          <w:szCs w:val="20"/>
          <w:color w:val="auto"/>
        </w:rPr>
      </w:pPr>
    </w:p>
    <w:p>
      <w:pPr>
        <w:ind w:left="400" w:hanging="392"/>
        <w:spacing w:after="0" w:line="261" w:lineRule="auto"/>
        <w:tabs>
          <w:tab w:leader="none" w:pos="40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Schedule A to Addendum No. 1</w:t>
      </w:r>
      <w:r>
        <w:rPr>
          <w:rFonts w:ascii="Arial" w:cs="Arial" w:eastAsia="Arial" w:hAnsi="Arial"/>
          <w:sz w:val="18"/>
          <w:szCs w:val="18"/>
          <w:color w:val="auto"/>
        </w:rPr>
        <w:t>. The parties hereby agree that Schedule A to Addendum No. 1 is amended and restated in its entirety with the Schedule A to Addendum No. 2 attached hereto.</w:t>
      </w:r>
    </w:p>
    <w:p>
      <w:pPr>
        <w:spacing w:after="0" w:line="224" w:lineRule="exact"/>
        <w:rPr>
          <w:rFonts w:ascii="Arial" w:cs="Arial" w:eastAsia="Arial" w:hAnsi="Arial"/>
          <w:sz w:val="18"/>
          <w:szCs w:val="18"/>
          <w:color w:val="auto"/>
        </w:rPr>
      </w:pPr>
    </w:p>
    <w:p>
      <w:pPr>
        <w:ind w:left="400" w:hanging="392"/>
        <w:spacing w:after="0" w:line="261" w:lineRule="auto"/>
        <w:tabs>
          <w:tab w:leader="none" w:pos="40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Pricing Addendum</w:t>
      </w:r>
      <w:r>
        <w:rPr>
          <w:rFonts w:ascii="Arial" w:cs="Arial" w:eastAsia="Arial" w:hAnsi="Arial"/>
          <w:sz w:val="18"/>
          <w:szCs w:val="18"/>
          <w:color w:val="auto"/>
        </w:rPr>
        <w:t>. The parties hereby agree that the Exhibit A (Pricing Addendum) of the Agreement is amended and restated in its entirety with the Exhibit A (Pricing Addendum) attached hereto.</w:t>
      </w:r>
    </w:p>
    <w:p>
      <w:pPr>
        <w:spacing w:after="0" w:line="224" w:lineRule="exact"/>
        <w:rPr>
          <w:rFonts w:ascii="Arial" w:cs="Arial" w:eastAsia="Arial" w:hAnsi="Arial"/>
          <w:sz w:val="18"/>
          <w:szCs w:val="18"/>
          <w:color w:val="auto"/>
        </w:rPr>
      </w:pPr>
    </w:p>
    <w:p>
      <w:pPr>
        <w:ind w:left="400" w:hanging="392"/>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20" w:hanging="523"/>
        <w:spacing w:after="0" w:line="261" w:lineRule="auto"/>
        <w:tabs>
          <w:tab w:leader="none" w:pos="75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The parties take this opportunity to ratify the Existing Agreement and confirm all of their respective obligations set forth therein, including the representations and warranties made to one another.</w:t>
      </w:r>
    </w:p>
    <w:p>
      <w:pPr>
        <w:spacing w:after="0" w:line="224" w:lineRule="exact"/>
        <w:rPr>
          <w:rFonts w:ascii="Arial" w:cs="Arial" w:eastAsia="Arial" w:hAnsi="Arial"/>
          <w:sz w:val="18"/>
          <w:szCs w:val="18"/>
          <w:color w:val="auto"/>
        </w:rPr>
      </w:pPr>
    </w:p>
    <w:p>
      <w:pPr>
        <w:ind w:left="920" w:hanging="523"/>
        <w:spacing w:after="0" w:line="261" w:lineRule="auto"/>
        <w:tabs>
          <w:tab w:leader="none" w:pos="75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Agreement will be declared invalid, illegal or unenforceable, such provision will be severed and all remaining provisions will continue in full force and effect.</w:t>
      </w:r>
    </w:p>
    <w:p>
      <w:pPr>
        <w:spacing w:after="0" w:line="224" w:lineRule="exact"/>
        <w:rPr>
          <w:rFonts w:ascii="Arial" w:cs="Arial" w:eastAsia="Arial" w:hAnsi="Arial"/>
          <w:sz w:val="18"/>
          <w:szCs w:val="18"/>
          <w:color w:val="auto"/>
        </w:rPr>
      </w:pPr>
    </w:p>
    <w:p>
      <w:pPr>
        <w:ind w:left="920" w:hanging="523"/>
        <w:spacing w:after="0" w:line="253" w:lineRule="auto"/>
        <w:tabs>
          <w:tab w:leader="none" w:pos="758"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including this Addendum No. 2, is the full, complete, and exclusive agreement between the parties and supersedes and cancels any and all previous or contemporaneous agreements of whatever nature, whether written or oral, between Customer and SI-BONE and SI-BONE’s subsidiaries and affiliates with respect to its subject matter. The Agreement may only be modified or amended in a writing signed by both parties. Subject headings are for convenience of reference only and will in no way affect interpretation of the Agreement.</w:t>
      </w:r>
    </w:p>
    <w:p>
      <w:pPr>
        <w:spacing w:after="0" w:line="232" w:lineRule="exact"/>
        <w:rPr>
          <w:rFonts w:ascii="Arial" w:cs="Arial" w:eastAsia="Arial" w:hAnsi="Arial"/>
          <w:sz w:val="18"/>
          <w:szCs w:val="18"/>
          <w:color w:val="auto"/>
        </w:rPr>
      </w:pPr>
    </w:p>
    <w:p>
      <w:pPr>
        <w:ind w:left="920" w:hanging="523"/>
        <w:spacing w:after="0" w:line="256" w:lineRule="auto"/>
        <w:tabs>
          <w:tab w:leader="none" w:pos="741"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Addendum No. 2 may be executed in separate counterparts, and by facsimile, each of which will be deemed an original, and when executed separately or together, will constitute a single original instrument, effective in the same manner as if the parties had executed one and the same instrument.</w:t>
      </w:r>
    </w:p>
    <w:p>
      <w:pPr>
        <w:spacing w:after="0" w:line="200" w:lineRule="exact"/>
        <w:rPr>
          <w:sz w:val="20"/>
          <w:szCs w:val="20"/>
          <w:color w:val="auto"/>
        </w:rPr>
      </w:pPr>
    </w:p>
    <w:p>
      <w:pPr>
        <w:spacing w:after="0" w:line="2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parties have executed this Addendum No. 2 as of the date set forth beneath such person’s name.</w:t>
      </w:r>
    </w:p>
    <w:p>
      <w:pPr>
        <w:sectPr>
          <w:pgSz w:w="11900" w:h="16838" w:orient="portrait"/>
          <w:cols w:equalWidth="0" w:num="1">
            <w:col w:w="11240"/>
          </w:cols>
          <w:pgMar w:left="320" w:top="118" w:right="339" w:bottom="1440" w:gutter="0" w:footer="0" w:header="0"/>
        </w:sect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SI-BONE, Inc.</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4520"/>
        <w:spacing w:after="0"/>
        <w:rPr>
          <w:sz w:val="20"/>
          <w:szCs w:val="20"/>
          <w:color w:val="auto"/>
        </w:rPr>
      </w:pPr>
      <w:r>
        <w:rPr>
          <w:rFonts w:ascii="Arial" w:cs="Arial" w:eastAsia="Arial" w:hAnsi="Arial"/>
          <w:sz w:val="17"/>
          <w:szCs w:val="17"/>
          <w:b w:val="1"/>
          <w:bCs w:val="1"/>
          <w:color w:val="auto"/>
        </w:rPr>
        <w:t>rms Company</w:t>
      </w:r>
    </w:p>
    <w:p>
      <w:pPr>
        <w:spacing w:after="0" w:line="97" w:lineRule="exact"/>
        <w:rPr>
          <w:sz w:val="20"/>
          <w:szCs w:val="20"/>
          <w:color w:val="auto"/>
        </w:rPr>
      </w:pPr>
    </w:p>
    <w:p>
      <w:pPr>
        <w:sectPr>
          <w:pgSz w:w="11900" w:h="16838" w:orient="portrait"/>
          <w:cols w:equalWidth="0" w:num="2">
            <w:col w:w="4800" w:space="720"/>
            <w:col w:w="57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By: /s/ Michael Blanchard</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8"/>
          <w:szCs w:val="18"/>
          <w:color w:val="auto"/>
        </w:rPr>
        <w:t>By: /s/ Richard S. Riddle</w:t>
      </w:r>
    </w:p>
    <w:p>
      <w:pPr>
        <w:spacing w:after="0" w:line="63" w:lineRule="exact"/>
        <w:rPr>
          <w:sz w:val="20"/>
          <w:szCs w:val="20"/>
          <w:color w:val="auto"/>
        </w:rPr>
      </w:pPr>
    </w:p>
    <w:p>
      <w:pPr>
        <w:sectPr>
          <w:pgSz w:w="11900" w:h="16838" w:orient="portrait"/>
          <w:cols w:equalWidth="0" w:num="2">
            <w:col w:w="4800" w:space="720"/>
            <w:col w:w="57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Name: Michael Blanchard</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Arial" w:cs="Arial" w:eastAsia="Arial" w:hAnsi="Arial"/>
          <w:sz w:val="17"/>
          <w:szCs w:val="17"/>
          <w:color w:val="auto"/>
        </w:rPr>
        <w:t>Name: Richard S. Riddle</w:t>
      </w:r>
    </w:p>
    <w:p>
      <w:pPr>
        <w:spacing w:after="0" w:line="75" w:lineRule="exact"/>
        <w:rPr>
          <w:sz w:val="20"/>
          <w:szCs w:val="20"/>
          <w:color w:val="auto"/>
        </w:rPr>
      </w:pPr>
    </w:p>
    <w:p>
      <w:pPr>
        <w:sectPr>
          <w:pgSz w:w="11900" w:h="16838" w:orient="portrait"/>
          <w:cols w:equalWidth="0" w:num="2">
            <w:col w:w="4800" w:space="720"/>
            <w:col w:w="57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Title: VP, Operations</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7"/>
          <w:szCs w:val="17"/>
          <w:color w:val="auto"/>
        </w:rPr>
        <w:t>Title: Director of Sales</w:t>
      </w:r>
    </w:p>
    <w:p>
      <w:pPr>
        <w:spacing w:after="0" w:line="75" w:lineRule="exact"/>
        <w:rPr>
          <w:sz w:val="20"/>
          <w:szCs w:val="20"/>
          <w:color w:val="auto"/>
        </w:rPr>
      </w:pPr>
    </w:p>
    <w:p>
      <w:pPr>
        <w:sectPr>
          <w:pgSz w:w="11900" w:h="16838" w:orient="portrait"/>
          <w:cols w:equalWidth="0" w:num="2">
            <w:col w:w="4800" w:space="720"/>
            <w:col w:w="57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Date Signed: 7/7/2020</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Arial" w:cs="Arial" w:eastAsia="Arial" w:hAnsi="Arial"/>
          <w:sz w:val="18"/>
          <w:szCs w:val="18"/>
          <w:color w:val="auto"/>
        </w:rPr>
        <w:t>Date Signed: 6-July-2020</w:t>
      </w:r>
    </w:p>
    <w:p>
      <w:pPr>
        <w:sectPr>
          <w:pgSz w:w="11900" w:h="16838" w:orient="portrait"/>
          <w:cols w:equalWidth="0" w:num="2">
            <w:col w:w="4800" w:space="720"/>
            <w:col w:w="5720"/>
          </w:cols>
          <w:pgMar w:left="320" w:top="118" w:right="3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10.22</w:t>
      </w:r>
    </w:p>
    <w:p>
      <w:pPr>
        <w:spacing w:after="0" w:line="67" w:lineRule="exact"/>
        <w:rPr>
          <w:sz w:val="20"/>
          <w:szCs w:val="20"/>
          <w:color w:val="auto"/>
        </w:rPr>
      </w:pPr>
    </w:p>
    <w:p>
      <w:pPr>
        <w:jc w:val="center"/>
        <w:ind w:right="35"/>
        <w:spacing w:after="0"/>
        <w:rPr>
          <w:sz w:val="20"/>
          <w:szCs w:val="20"/>
          <w:color w:val="auto"/>
        </w:rPr>
      </w:pPr>
      <w:r>
        <w:rPr>
          <w:rFonts w:ascii="Arial" w:cs="Arial" w:eastAsia="Arial" w:hAnsi="Arial"/>
          <w:sz w:val="20"/>
          <w:szCs w:val="20"/>
          <w:b w:val="1"/>
          <w:bCs w:val="1"/>
          <w:color w:val="auto"/>
        </w:rPr>
        <w:t>SI-BONE,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243" w:lineRule="exact"/>
        <w:rPr>
          <w:sz w:val="20"/>
          <w:szCs w:val="20"/>
          <w:color w:val="auto"/>
        </w:rPr>
      </w:pPr>
    </w:p>
    <w:p>
      <w:pPr>
        <w:jc w:val="center"/>
        <w:ind w:right="35"/>
        <w:spacing w:after="0"/>
        <w:rPr>
          <w:sz w:val="20"/>
          <w:szCs w:val="20"/>
          <w:color w:val="auto"/>
        </w:rPr>
      </w:pPr>
      <w:r>
        <w:rPr>
          <w:rFonts w:ascii="Arial" w:cs="Arial" w:eastAsia="Arial" w:hAnsi="Arial"/>
          <w:sz w:val="20"/>
          <w:szCs w:val="20"/>
          <w:b w:val="1"/>
          <w:bCs w:val="1"/>
          <w:color w:val="auto"/>
        </w:rPr>
        <w:t>2020 N</w:t>
      </w:r>
      <w:r>
        <w:rPr>
          <w:rFonts w:ascii="Arial" w:cs="Arial" w:eastAsia="Arial" w:hAnsi="Arial"/>
          <w:sz w:val="16"/>
          <w:szCs w:val="16"/>
          <w:b w:val="1"/>
          <w:bCs w:val="1"/>
          <w:color w:val="auto"/>
        </w:rPr>
        <w:t>ON</w:t>
      </w:r>
      <w:r>
        <w:rPr>
          <w:rFonts w:ascii="Arial" w:cs="Arial" w:eastAsia="Arial" w:hAnsi="Arial"/>
          <w:sz w:val="20"/>
          <w:szCs w:val="20"/>
          <w:b w:val="1"/>
          <w:bCs w:val="1"/>
          <w:color w:val="auto"/>
        </w:rPr>
        <w:t>-E</w:t>
      </w:r>
      <w:r>
        <w:rPr>
          <w:rFonts w:ascii="Arial" w:cs="Arial" w:eastAsia="Arial" w:hAnsi="Arial"/>
          <w:sz w:val="16"/>
          <w:szCs w:val="16"/>
          <w:b w:val="1"/>
          <w:bCs w:val="1"/>
          <w:color w:val="auto"/>
        </w:rPr>
        <w:t>MPLOYEE</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IRECTORS</w:t>
      </w:r>
      <w:r>
        <w:rPr>
          <w:rFonts w:ascii="Arial" w:cs="Arial" w:eastAsia="Arial" w:hAnsi="Arial"/>
          <w:sz w:val="20"/>
          <w:szCs w:val="20"/>
          <w:b w:val="1"/>
          <w:bCs w:val="1"/>
          <w:color w:val="auto"/>
        </w:rPr>
        <w:t>’ C</w:t>
      </w:r>
      <w:r>
        <w:rPr>
          <w:rFonts w:ascii="Arial" w:cs="Arial" w:eastAsia="Arial" w:hAnsi="Arial"/>
          <w:sz w:val="16"/>
          <w:szCs w:val="16"/>
          <w:b w:val="1"/>
          <w:bCs w:val="1"/>
          <w:color w:val="auto"/>
        </w:rPr>
        <w:t>OMPENSATION</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OLICY</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PPROVED BY THE</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OARD OF</w:t>
      </w:r>
    </w:p>
    <w:p>
      <w:pPr>
        <w:spacing w:after="0" w:line="21" w:lineRule="exact"/>
        <w:rPr>
          <w:sz w:val="20"/>
          <w:szCs w:val="20"/>
          <w:color w:val="auto"/>
        </w:rPr>
      </w:pPr>
    </w:p>
    <w:p>
      <w:pPr>
        <w:jc w:val="center"/>
        <w:ind w:right="35"/>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IRECTORS</w:t>
      </w:r>
    </w:p>
    <w:p>
      <w:pPr>
        <w:jc w:val="center"/>
        <w:ind w:right="35"/>
        <w:spacing w:after="0"/>
        <w:rPr>
          <w:sz w:val="20"/>
          <w:szCs w:val="20"/>
          <w:color w:val="auto"/>
        </w:rPr>
      </w:pPr>
      <w:r>
        <w:rPr>
          <w:rFonts w:ascii="Arial" w:cs="Arial" w:eastAsia="Arial" w:hAnsi="Arial"/>
          <w:sz w:val="20"/>
          <w:szCs w:val="20"/>
          <w:i w:val="1"/>
          <w:iCs w:val="1"/>
          <w:color w:val="auto"/>
        </w:rPr>
        <w:t>December 3, 2020</w:t>
      </w:r>
    </w:p>
    <w:p>
      <w:pPr>
        <w:spacing w:after="0" w:line="240" w:lineRule="exact"/>
        <w:rPr>
          <w:sz w:val="20"/>
          <w:szCs w:val="20"/>
          <w:color w:val="auto"/>
        </w:rPr>
      </w:pPr>
    </w:p>
    <w:p>
      <w:pPr>
        <w:jc w:val="both"/>
        <w:ind w:left="5" w:right="40" w:firstLine="648"/>
        <w:spacing w:after="0" w:line="282" w:lineRule="auto"/>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who is not also serving as an employee of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any of its subsidiaries (each such member, an “</w:t>
      </w:r>
      <w:r>
        <w:rPr>
          <w:rFonts w:ascii="Arial" w:cs="Arial" w:eastAsia="Arial" w:hAnsi="Arial"/>
          <w:sz w:val="18"/>
          <w:szCs w:val="18"/>
          <w:b w:val="1"/>
          <w:bCs w:val="1"/>
          <w:i w:val="1"/>
          <w:iCs w:val="1"/>
          <w:color w:val="auto"/>
        </w:rPr>
        <w:t>Eligible Director</w:t>
      </w:r>
      <w:r>
        <w:rPr>
          <w:rFonts w:ascii="Arial" w:cs="Arial" w:eastAsia="Arial" w:hAnsi="Arial"/>
          <w:sz w:val="18"/>
          <w:szCs w:val="18"/>
          <w:color w:val="auto"/>
        </w:rPr>
        <w:t>”) will receive the compensation described in this Non-Employee Directors’ Compensation Policy (the “</w:t>
      </w:r>
      <w:r>
        <w:rPr>
          <w:rFonts w:ascii="Arial" w:cs="Arial" w:eastAsia="Arial" w:hAnsi="Arial"/>
          <w:sz w:val="18"/>
          <w:szCs w:val="18"/>
          <w:b w:val="1"/>
          <w:bCs w:val="1"/>
          <w:i w:val="1"/>
          <w:iCs w:val="1"/>
          <w:color w:val="auto"/>
        </w:rPr>
        <w:t>Director Compensation Policy</w:t>
      </w:r>
      <w:r>
        <w:rPr>
          <w:rFonts w:ascii="Arial" w:cs="Arial" w:eastAsia="Arial" w:hAnsi="Arial"/>
          <w:sz w:val="18"/>
          <w:szCs w:val="18"/>
          <w:color w:val="auto"/>
        </w:rPr>
        <w:t>”) for his or her Board service. The Director Compensation Policy may be amended at any time in the sole discretion of the Board or the Compensation Committee of the Board.</w:t>
      </w:r>
    </w:p>
    <w:p>
      <w:pPr>
        <w:spacing w:after="0" w:line="18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Annual Cash Compensation</w:t>
      </w:r>
    </w:p>
    <w:p>
      <w:pPr>
        <w:spacing w:after="0" w:line="249" w:lineRule="exact"/>
        <w:rPr>
          <w:sz w:val="20"/>
          <w:szCs w:val="20"/>
          <w:color w:val="auto"/>
        </w:rPr>
      </w:pPr>
    </w:p>
    <w:p>
      <w:pPr>
        <w:jc w:val="both"/>
        <w:ind w:left="5" w:right="40" w:firstLine="648"/>
        <w:spacing w:after="0" w:line="243" w:lineRule="auto"/>
        <w:rPr>
          <w:sz w:val="20"/>
          <w:szCs w:val="20"/>
          <w:color w:val="auto"/>
        </w:rPr>
      </w:pPr>
      <w:r>
        <w:rPr>
          <w:rFonts w:ascii="Arial" w:cs="Arial" w:eastAsia="Arial" w:hAnsi="Arial"/>
          <w:sz w:val="20"/>
          <w:szCs w:val="20"/>
          <w:color w:val="auto"/>
        </w:rPr>
        <w:t>Each Eligible Director shall receive the cash compensation described below. The annual cash compensation amount set forth below is payable in equal quarterly installments, payable in arrears on the last day of each fiscal quarter in which the service occurred. If an Eligible Director joins the Board or a committee of the Board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retainer fees are vested upon payment.</w:t>
      </w:r>
    </w:p>
    <w:p>
      <w:pPr>
        <w:spacing w:after="0" w:line="223" w:lineRule="exact"/>
        <w:rPr>
          <w:sz w:val="20"/>
          <w:szCs w:val="20"/>
          <w:color w:val="auto"/>
        </w:rPr>
      </w:pPr>
    </w:p>
    <w:p>
      <w:pPr>
        <w:ind w:left="645" w:right="140" w:hanging="644"/>
        <w:spacing w:after="0" w:line="260" w:lineRule="auto"/>
        <w:tabs>
          <w:tab w:leader="none" w:pos="645"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Annual Board Service Retainer</w:t>
      </w:r>
      <w:r>
        <w:rPr>
          <w:rFonts w:ascii="Arial" w:cs="Arial" w:eastAsia="Arial" w:hAnsi="Arial"/>
          <w:sz w:val="20"/>
          <w:szCs w:val="20"/>
          <w:color w:val="auto"/>
        </w:rPr>
        <w:t>: payable in restricted stock units as further described under Equity Compensation below (“Annual Retainer RSU Grant”)</w:t>
      </w:r>
    </w:p>
    <w:p>
      <w:pPr>
        <w:spacing w:after="0" w:line="217" w:lineRule="exact"/>
        <w:rPr>
          <w:rFonts w:ascii="Arial" w:cs="Arial" w:eastAsia="Arial" w:hAnsi="Arial"/>
          <w:sz w:val="20"/>
          <w:szCs w:val="20"/>
          <w:color w:val="auto"/>
        </w:rPr>
      </w:pPr>
    </w:p>
    <w:p>
      <w:pPr>
        <w:ind w:left="645" w:hanging="645"/>
        <w:spacing w:after="0"/>
        <w:tabs>
          <w:tab w:leader="none" w:pos="645"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Annual Committee Member / Chair Service Retainer</w:t>
      </w: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285" w:hanging="637"/>
        <w:spacing w:after="0" w:line="225" w:lineRule="auto"/>
        <w:tabs>
          <w:tab w:leader="none" w:pos="1285" w:val="left"/>
        </w:tabs>
        <w:numPr>
          <w:ilvl w:val="1"/>
          <w:numId w:val="62"/>
        </w:numPr>
        <w:rPr>
          <w:rFonts w:ascii="Arial" w:cs="Arial" w:eastAsia="Arial" w:hAnsi="Arial"/>
          <w:sz w:val="20"/>
          <w:szCs w:val="20"/>
          <w:color w:val="auto"/>
        </w:rPr>
      </w:pPr>
      <w:r>
        <w:rPr>
          <w:rFonts w:ascii="Arial" w:cs="Arial" w:eastAsia="Arial" w:hAnsi="Arial"/>
          <w:sz w:val="20"/>
          <w:szCs w:val="20"/>
          <w:color w:val="auto"/>
        </w:rPr>
        <w:t>Member / Chairperson of the Audit Committee: $9,000 / $20,000</w:t>
      </w:r>
    </w:p>
    <w:p>
      <w:pPr>
        <w:ind w:left="1305" w:hanging="657"/>
        <w:spacing w:after="0" w:line="225" w:lineRule="auto"/>
        <w:tabs>
          <w:tab w:leader="none" w:pos="1305" w:val="left"/>
        </w:tabs>
        <w:numPr>
          <w:ilvl w:val="1"/>
          <w:numId w:val="62"/>
        </w:numPr>
        <w:rPr>
          <w:rFonts w:ascii="Arial" w:cs="Arial" w:eastAsia="Arial" w:hAnsi="Arial"/>
          <w:sz w:val="20"/>
          <w:szCs w:val="20"/>
          <w:color w:val="auto"/>
        </w:rPr>
      </w:pPr>
      <w:r>
        <w:rPr>
          <w:rFonts w:ascii="Arial" w:cs="Arial" w:eastAsia="Arial" w:hAnsi="Arial"/>
          <w:sz w:val="20"/>
          <w:szCs w:val="20"/>
          <w:color w:val="auto"/>
        </w:rPr>
        <w:t>Member / Chairperson of the Compensation Committee: $6,000 / $15,000</w:t>
      </w:r>
    </w:p>
    <w:p>
      <w:pPr>
        <w:ind w:left="1285" w:hanging="637"/>
        <w:spacing w:after="0"/>
        <w:tabs>
          <w:tab w:leader="none" w:pos="1285" w:val="left"/>
        </w:tabs>
        <w:numPr>
          <w:ilvl w:val="1"/>
          <w:numId w:val="62"/>
        </w:numPr>
        <w:rPr>
          <w:rFonts w:ascii="Arial" w:cs="Arial" w:eastAsia="Arial" w:hAnsi="Arial"/>
          <w:sz w:val="20"/>
          <w:szCs w:val="20"/>
          <w:color w:val="auto"/>
        </w:rPr>
      </w:pPr>
      <w:r>
        <w:rPr>
          <w:rFonts w:ascii="Arial" w:cs="Arial" w:eastAsia="Arial" w:hAnsi="Arial"/>
          <w:sz w:val="20"/>
          <w:szCs w:val="20"/>
          <w:color w:val="auto"/>
        </w:rPr>
        <w:t>Member / Chairperson of the N&amp;CG Committee: $5,000 / $10,000</w:t>
      </w:r>
    </w:p>
    <w:p>
      <w:pPr>
        <w:spacing w:after="0" w:line="213" w:lineRule="exact"/>
        <w:rPr>
          <w:rFonts w:ascii="Arial" w:cs="Arial" w:eastAsia="Arial" w:hAnsi="Arial"/>
          <w:sz w:val="20"/>
          <w:szCs w:val="20"/>
          <w:color w:val="auto"/>
        </w:rPr>
      </w:pPr>
    </w:p>
    <w:p>
      <w:pPr>
        <w:ind w:left="645" w:hanging="645"/>
        <w:spacing w:after="0"/>
        <w:tabs>
          <w:tab w:leader="none" w:pos="645"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Annual Lead Independent Director Service Retainer</w:t>
      </w: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285" w:hanging="637"/>
        <w:spacing w:after="0"/>
        <w:tabs>
          <w:tab w:leader="none" w:pos="1285" w:val="left"/>
        </w:tabs>
        <w:numPr>
          <w:ilvl w:val="1"/>
          <w:numId w:val="62"/>
        </w:numPr>
        <w:rPr>
          <w:rFonts w:ascii="Arial" w:cs="Arial" w:eastAsia="Arial" w:hAnsi="Arial"/>
          <w:sz w:val="20"/>
          <w:szCs w:val="20"/>
          <w:color w:val="auto"/>
        </w:rPr>
      </w:pPr>
      <w:r>
        <w:rPr>
          <w:rFonts w:ascii="Arial" w:cs="Arial" w:eastAsia="Arial" w:hAnsi="Arial"/>
          <w:sz w:val="20"/>
          <w:szCs w:val="20"/>
          <w:color w:val="auto"/>
        </w:rPr>
        <w:t>Lead Independent Director: $27,500</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Equity Compensation</w:t>
      </w:r>
    </w:p>
    <w:p>
      <w:pPr>
        <w:spacing w:after="0" w:line="249" w:lineRule="exact"/>
        <w:rPr>
          <w:sz w:val="20"/>
          <w:szCs w:val="20"/>
          <w:color w:val="auto"/>
        </w:rPr>
      </w:pPr>
    </w:p>
    <w:p>
      <w:pPr>
        <w:jc w:val="both"/>
        <w:ind w:left="5" w:right="40" w:firstLine="648"/>
        <w:spacing w:after="0" w:line="256" w:lineRule="auto"/>
        <w:rPr>
          <w:sz w:val="20"/>
          <w:szCs w:val="20"/>
          <w:color w:val="auto"/>
        </w:rPr>
      </w:pPr>
      <w:r>
        <w:rPr>
          <w:rFonts w:ascii="Arial" w:cs="Arial" w:eastAsia="Arial" w:hAnsi="Arial"/>
          <w:sz w:val="19"/>
          <w:szCs w:val="19"/>
          <w:color w:val="auto"/>
        </w:rPr>
        <w:t>The equity compensation set forth below will be granted under the SI-BONE, Inc. 2018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will be documented on the applicable form of equity award agreement most recently approved for use by the Board (or a duly authorized committee thereof) for Eligible Directors. Any stock options granted under the Director Compensation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Any RSU grant provided for by this Director Compensation Policy that vests quarterly shall have quarterly vesting dates of March 15, June 15, September 15 and December 15 (the “</w:t>
      </w:r>
      <w:r>
        <w:rPr>
          <w:rFonts w:ascii="Arial" w:cs="Arial" w:eastAsia="Arial" w:hAnsi="Arial"/>
          <w:sz w:val="19"/>
          <w:szCs w:val="19"/>
          <w:b w:val="1"/>
          <w:bCs w:val="1"/>
          <w:i w:val="1"/>
          <w:iCs w:val="1"/>
          <w:color w:val="auto"/>
        </w:rPr>
        <w:t>Quarterly Vesting Dates</w:t>
      </w:r>
      <w:r>
        <w:rPr>
          <w:rFonts w:ascii="Arial" w:cs="Arial" w:eastAsia="Arial" w:hAnsi="Arial"/>
          <w:sz w:val="19"/>
          <w:szCs w:val="19"/>
          <w:color w:val="auto"/>
        </w:rPr>
        <w:t>”), and any RSU Grant that vests annually shall vest on the earlier to occur of the one-year anniversary of the date of grant or the Company’s next Annual General Meeting of its stockholders.</w:t>
      </w:r>
    </w:p>
    <w:p>
      <w:pPr>
        <w:spacing w:after="0" w:line="211" w:lineRule="exact"/>
        <w:rPr>
          <w:sz w:val="20"/>
          <w:szCs w:val="20"/>
          <w:color w:val="auto"/>
        </w:rPr>
      </w:pPr>
    </w:p>
    <w:p>
      <w:pPr>
        <w:ind w:left="5" w:right="840" w:hanging="4"/>
        <w:spacing w:after="0" w:line="260" w:lineRule="auto"/>
        <w:tabs>
          <w:tab w:leader="none" w:pos="545"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Initial Share Grant</w:t>
      </w:r>
      <w:r>
        <w:rPr>
          <w:rFonts w:ascii="Arial" w:cs="Arial" w:eastAsia="Arial" w:hAnsi="Arial"/>
          <w:sz w:val="20"/>
          <w:szCs w:val="20"/>
          <w:color w:val="auto"/>
        </w:rPr>
        <w:t>: Upon first election to the Board, each Eligible Director will be granted, upon approval by the Board or Compensation Committee of the Board, restricted stock units having a value of</w:t>
      </w:r>
    </w:p>
    <w:p>
      <w:pPr>
        <w:sectPr>
          <w:pgSz w:w="11900" w:h="16838" w:orient="portrait"/>
          <w:cols w:equalWidth="0" w:num="1">
            <w:col w:w="11065"/>
          </w:cols>
          <w:pgMar w:left="435" w:top="1413" w:right="399" w:bottom="1440" w:gutter="0" w:footer="0" w:header="0"/>
        </w:sectPr>
      </w:pPr>
    </w:p>
    <w:bookmarkStart w:id="116" w:name="page117"/>
    <w:bookmarkEnd w:id="116"/>
    <w:p>
      <w:pPr>
        <w:jc w:val="both"/>
        <w:ind w:left="104" w:right="20"/>
        <w:spacing w:after="0" w:line="260" w:lineRule="auto"/>
        <w:rPr>
          <w:sz w:val="20"/>
          <w:szCs w:val="20"/>
          <w:color w:val="auto"/>
        </w:rPr>
      </w:pPr>
      <w:r>
        <w:rPr>
          <w:rFonts w:ascii="Arial" w:cs="Arial" w:eastAsia="Arial" w:hAnsi="Arial"/>
          <w:sz w:val="20"/>
          <w:szCs w:val="20"/>
          <w:color w:val="auto"/>
        </w:rPr>
        <w:t>$200,000 based on the share price then used by the Company for determination of the number of shares granted in RSU grants (the “</w:t>
      </w:r>
      <w:r>
        <w:rPr>
          <w:rFonts w:ascii="Arial" w:cs="Arial" w:eastAsia="Arial" w:hAnsi="Arial"/>
          <w:sz w:val="20"/>
          <w:szCs w:val="20"/>
          <w:b w:val="1"/>
          <w:bCs w:val="1"/>
          <w:i w:val="1"/>
          <w:iCs w:val="1"/>
          <w:color w:val="auto"/>
        </w:rPr>
        <w:t>Initial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RSU Grant</w:t>
      </w:r>
      <w:r>
        <w:rPr>
          <w:rFonts w:ascii="Arial" w:cs="Arial" w:eastAsia="Arial" w:hAnsi="Arial"/>
          <w:sz w:val="20"/>
          <w:szCs w:val="20"/>
          <w:color w:val="auto"/>
        </w:rPr>
        <w:t>”). The Initial RSU Grant will vest quarterly over three</w:t>
      </w:r>
    </w:p>
    <w:p>
      <w:pPr>
        <w:spacing w:after="0" w:line="28" w:lineRule="exact"/>
        <w:rPr>
          <w:sz w:val="20"/>
          <w:szCs w:val="20"/>
          <w:color w:val="auto"/>
        </w:rPr>
      </w:pPr>
    </w:p>
    <w:p>
      <w:pPr>
        <w:jc w:val="both"/>
        <w:ind w:left="104"/>
        <w:spacing w:after="0" w:line="243" w:lineRule="auto"/>
        <w:rPr>
          <w:sz w:val="20"/>
          <w:szCs w:val="20"/>
          <w:color w:val="auto"/>
        </w:rPr>
      </w:pPr>
      <w:r>
        <w:rPr>
          <w:rFonts w:ascii="Arial" w:cs="Arial" w:eastAsia="Arial" w:hAnsi="Arial"/>
          <w:sz w:val="20"/>
          <w:szCs w:val="20"/>
          <w:color w:val="auto"/>
        </w:rPr>
        <w:t>years beginning on the Quarterly Vesting Date that follows the date of grant, such that the Initial RSU Grant will be fully vested on the next Quarterly Vesting Date that follows the third anniversary of the Eligible Director’s first election to the Board, subject to the Eligible Director’s Continuous Service on each applicable vesting date. In addition, in the event of a Change in Control or a Corporate Transaction, any unvested portion of the Initial RSU Grant will fully vest and become exercisable as of immediately prior to the effective time of such Change in Control or Corporate Transaction, subject to the Eligible Director’s Continuous Service on the effective date of such transaction.</w:t>
      </w:r>
    </w:p>
    <w:p>
      <w:pPr>
        <w:spacing w:after="0" w:line="223" w:lineRule="exact"/>
        <w:rPr>
          <w:sz w:val="20"/>
          <w:szCs w:val="20"/>
          <w:color w:val="auto"/>
        </w:rPr>
      </w:pPr>
    </w:p>
    <w:p>
      <w:pPr>
        <w:jc w:val="both"/>
        <w:ind w:left="4" w:hanging="4"/>
        <w:spacing w:after="0" w:line="243" w:lineRule="auto"/>
        <w:tabs>
          <w:tab w:leader="none" w:pos="371"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Annual Retainer RSU Grant</w:t>
      </w:r>
      <w:r>
        <w:rPr>
          <w:rFonts w:ascii="Arial" w:cs="Arial" w:eastAsia="Arial" w:hAnsi="Arial"/>
          <w:sz w:val="20"/>
          <w:szCs w:val="20"/>
          <w:color w:val="auto"/>
        </w:rPr>
        <w:t>: Each Eligible Director shall receive an annual RSU grant having an approximate value of $40,000 based on the most recent closing price of the Company’s shares, which will vest approximately one year from the grant date (the “</w:t>
      </w:r>
      <w:r>
        <w:rPr>
          <w:rFonts w:ascii="Arial" w:cs="Arial" w:eastAsia="Arial" w:hAnsi="Arial"/>
          <w:sz w:val="20"/>
          <w:szCs w:val="20"/>
          <w:b w:val="1"/>
          <w:bCs w:val="1"/>
          <w:i w:val="1"/>
          <w:iCs w:val="1"/>
          <w:color w:val="auto"/>
        </w:rPr>
        <w:t>Annual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Retainer Grant</w:t>
      </w:r>
      <w:r>
        <w:rPr>
          <w:rFonts w:ascii="Arial" w:cs="Arial" w:eastAsia="Arial" w:hAnsi="Arial"/>
          <w:sz w:val="20"/>
          <w:szCs w:val="20"/>
          <w:color w:val="auto"/>
        </w:rPr>
        <w:t>”), subject to the Eligible Director’s Continuous Service on each applicable vesting date. In addition, in the event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Change in Control or a Corporate Transaction, any unvested portion of the Annual Retainer Grant will fully vest and become exercisable as of immediately prior to the effective time of such Change in Control or Corporate Transaction, subject to the Eligible Director’s Continuous Service on the effective date of such transaction.</w:t>
      </w:r>
    </w:p>
    <w:p>
      <w:pPr>
        <w:spacing w:after="0" w:line="222" w:lineRule="exact"/>
        <w:rPr>
          <w:rFonts w:ascii="Arial" w:cs="Arial" w:eastAsia="Arial" w:hAnsi="Arial"/>
          <w:sz w:val="20"/>
          <w:szCs w:val="20"/>
          <w:color w:val="auto"/>
        </w:rPr>
      </w:pPr>
    </w:p>
    <w:p>
      <w:pPr>
        <w:jc w:val="both"/>
        <w:ind w:left="4" w:hanging="4"/>
        <w:spacing w:after="0" w:line="274" w:lineRule="auto"/>
        <w:tabs>
          <w:tab w:leader="none" w:pos="38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Additional RSU Grants</w:t>
      </w:r>
      <w:r>
        <w:rPr>
          <w:rFonts w:ascii="Arial" w:cs="Arial" w:eastAsia="Arial" w:hAnsi="Arial"/>
          <w:sz w:val="18"/>
          <w:szCs w:val="18"/>
          <w:color w:val="auto"/>
        </w:rPr>
        <w:t>: The Compensation Committee may review and approve additional equity grants to Eligible Directors on the date of each subsequent annual meeting. Each Eligible Director shall receive an annual RSU grant having an approximate value of $120,000 based on the share price then used by the Company for determination of the number of shares granted in RSU grants, which will vest approximately one year from the grant date (the “</w:t>
      </w:r>
      <w:r>
        <w:rPr>
          <w:rFonts w:ascii="Arial" w:cs="Arial" w:eastAsia="Arial" w:hAnsi="Arial"/>
          <w:sz w:val="18"/>
          <w:szCs w:val="18"/>
          <w:b w:val="1"/>
          <w:bCs w:val="1"/>
          <w:i w:val="1"/>
          <w:iCs w:val="1"/>
          <w:color w:val="auto"/>
        </w:rPr>
        <w:t>Additional Annual RSU Grant</w:t>
      </w:r>
      <w:r>
        <w:rPr>
          <w:rFonts w:ascii="Arial" w:cs="Arial" w:eastAsia="Arial" w:hAnsi="Arial"/>
          <w:sz w:val="18"/>
          <w:szCs w:val="18"/>
          <w:color w:val="auto"/>
        </w:rPr>
        <w:t>”), subject to the Eligible Director’s Continuous Service on each applicable vesting date. In addition, in the event of a Change in Control or a Corporate Transaction, any unvested portion of the Additional Annual RSU Grant will fully vest and become exercisable as of immediately prior to the effective time of such Change in Control or Corporate Transaction, subject to the Eligible Director’s Continuous Service on the effective date of such transaction.</w:t>
      </w:r>
    </w:p>
    <w:p>
      <w:pPr>
        <w:spacing w:after="0" w:line="203" w:lineRule="exact"/>
        <w:rPr>
          <w:sz w:val="20"/>
          <w:szCs w:val="20"/>
          <w:color w:val="auto"/>
        </w:rPr>
      </w:pPr>
    </w:p>
    <w:p>
      <w:pPr>
        <w:ind w:left="104"/>
        <w:spacing w:after="0"/>
        <w:rPr>
          <w:sz w:val="20"/>
          <w:szCs w:val="20"/>
          <w:color w:val="auto"/>
        </w:rPr>
      </w:pPr>
      <w:r>
        <w:rPr>
          <w:rFonts w:ascii="Arial" w:cs="Arial" w:eastAsia="Arial" w:hAnsi="Arial"/>
          <w:sz w:val="20"/>
          <w:szCs w:val="20"/>
          <w:b w:val="1"/>
          <w:bCs w:val="1"/>
          <w:color w:val="auto"/>
        </w:rPr>
        <w:t>Philosophy</w:t>
      </w:r>
    </w:p>
    <w:p>
      <w:pPr>
        <w:spacing w:after="0" w:line="181" w:lineRule="exact"/>
        <w:rPr>
          <w:sz w:val="20"/>
          <w:szCs w:val="20"/>
          <w:color w:val="auto"/>
        </w:rPr>
      </w:pPr>
    </w:p>
    <w:p>
      <w:pPr>
        <w:jc w:val="both"/>
        <w:ind w:left="104" w:firstLine="648"/>
        <w:spacing w:after="0" w:line="243" w:lineRule="auto"/>
        <w:rPr>
          <w:sz w:val="20"/>
          <w:szCs w:val="20"/>
          <w:color w:val="auto"/>
        </w:rPr>
      </w:pPr>
      <w:r>
        <w:rPr>
          <w:rFonts w:ascii="Arial" w:cs="Arial" w:eastAsia="Arial" w:hAnsi="Arial"/>
          <w:sz w:val="20"/>
          <w:szCs w:val="20"/>
          <w:color w:val="auto"/>
        </w:rPr>
        <w:t>The Director Compensation Policy is designed to attract and retain experienced, talented individuals to serve on the Board. The Board anticipates that the Board, or a duly authorized committee thereof, will generally review Eligible Director compensation on an annual basis on or about the date of the Company’s Annual General Meeting of its stockholders. The Director Compensation Policy, as amended from time to time, may take into account the time commitment expected of Eligible Directors, best practices and market rates in director compensation, the economic position of the Company,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52" w:lineRule="exact"/>
        <w:rPr>
          <w:sz w:val="20"/>
          <w:szCs w:val="20"/>
          <w:color w:val="auto"/>
        </w:rPr>
      </w:pPr>
    </w:p>
    <w:p>
      <w:pPr>
        <w:jc w:val="both"/>
        <w:ind w:left="104" w:firstLine="648"/>
        <w:spacing w:after="0" w:line="274" w:lineRule="auto"/>
        <w:rPr>
          <w:sz w:val="20"/>
          <w:szCs w:val="20"/>
          <w:color w:val="auto"/>
        </w:rPr>
      </w:pPr>
      <w:r>
        <w:rPr>
          <w:rFonts w:ascii="Arial" w:cs="Arial" w:eastAsia="Arial" w:hAnsi="Arial"/>
          <w:sz w:val="18"/>
          <w:szCs w:val="18"/>
          <w:color w:val="auto"/>
        </w:rPr>
        <w:t>Under the Director Compensation Policy, Eligible Directors receive cash compensation in the form of retainers to recognize their level of responsibility as well as the necessary time commitment involved in serving in a leadership role and/or on Committees. Eligible Directors also receive equity compensation because we believe that stock ownership provides an incentive to act in ways that maximize long-term stockholder value. Further, we believe that stock-based awards are essential to attracting and retaining talented Board members. When stock options are granted, these stock options will have an exercise price at least equal to the Fair Market Value of Common Stock on the date of grant, so that stock options provide a return only if the Fair Market Value appreciates over the period in which the stock option vests and remains exercisable. We believe that the vesting acceleration provided in the case of a</w:t>
      </w:r>
    </w:p>
    <w:p>
      <w:pPr>
        <w:sectPr>
          <w:pgSz w:w="11900" w:h="16838" w:orient="portrait"/>
          <w:cols w:equalWidth="0" w:num="1">
            <w:col w:w="11124"/>
          </w:cols>
          <w:pgMar w:left="336" w:top="1351" w:right="439" w:bottom="1440" w:gutter="0" w:footer="0" w:header="0"/>
        </w:sectPr>
      </w:pPr>
    </w:p>
    <w:bookmarkStart w:id="117" w:name="page118"/>
    <w:bookmarkEnd w:id="117"/>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Change in Control or other Corporate Transaction is consistent with market practices and is critical to attracting and retaining high quality directors.</w:t>
      </w:r>
    </w:p>
    <w:p>
      <w:pPr>
        <w:sectPr>
          <w:pgSz w:w="11900" w:h="16838" w:orient="portrait"/>
          <w:cols w:equalWidth="0" w:num="1">
            <w:col w:w="11020"/>
          </w:cols>
          <w:pgMar w:left="440" w:top="1440" w:right="4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Benefit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INTRODUCTION.</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SI-BONE, Inc. Severance Benefit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 established by the Compensation Committee of the Board of Directors of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effective July 16, 2020. The purpose of the Plan is to provide for the payment of severance benefits to eligible employees of the Company in the event that such employees become subject to involuntary or constructive employment terminations. This Plan document also is the Summary Plan Description for the Plan.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Plan, the following terms are defined as follows:</w:t>
      </w:r>
    </w:p>
    <w:p>
      <w:pPr>
        <w:spacing w:after="0" w:line="225" w:lineRule="exact"/>
        <w:rPr>
          <w:sz w:val="20"/>
          <w:szCs w:val="20"/>
          <w:color w:val="auto"/>
        </w:rPr>
      </w:pPr>
    </w:p>
    <w:p>
      <w:pPr>
        <w:jc w:val="both"/>
        <w:ind w:firstLine="1304"/>
        <w:spacing w:after="0" w:line="259" w:lineRule="auto"/>
        <w:tabs>
          <w:tab w:leader="none" w:pos="1938"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corporation, limited liability company or other business entity (other than the Company) in an “unbroken chain” beginning with the Company, if each of the business entities other than the last such business entity in the unbroken chain owns stock or other equity interests possessing 50% or more of the total combined voting power of all classes of stock or other equity interests in one of the other business entities in such chain.</w:t>
      </w:r>
    </w:p>
    <w:p>
      <w:pPr>
        <w:spacing w:after="0" w:line="186" w:lineRule="exact"/>
        <w:rPr>
          <w:rFonts w:ascii="Arial" w:cs="Arial" w:eastAsia="Arial" w:hAnsi="Arial"/>
          <w:sz w:val="18"/>
          <w:szCs w:val="18"/>
          <w:b w:val="1"/>
          <w:bCs w:val="1"/>
          <w:color w:val="auto"/>
        </w:rPr>
      </w:pPr>
    </w:p>
    <w:p>
      <w:pPr>
        <w:ind w:firstLine="1304"/>
        <w:spacing w:after="0" w:line="308" w:lineRule="auto"/>
        <w:tabs>
          <w:tab w:leader="none" w:pos="1934"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46" w:lineRule="exact"/>
        <w:rPr>
          <w:rFonts w:ascii="Arial" w:cs="Arial" w:eastAsia="Arial" w:hAnsi="Arial"/>
          <w:sz w:val="17"/>
          <w:szCs w:val="17"/>
          <w:b w:val="1"/>
          <w:bCs w:val="1"/>
          <w:color w:val="auto"/>
        </w:rPr>
      </w:pPr>
    </w:p>
    <w:p>
      <w:pPr>
        <w:jc w:val="both"/>
        <w:ind w:firstLine="1304"/>
        <w:spacing w:after="0" w:line="259" w:lineRule="auto"/>
        <w:tabs>
          <w:tab w:leader="none" w:pos="1941"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with respect to a particular employee, the meaning ascribed to such term in any written employment agreement, offer letter or similar agreement between such employee and the Company defining such term, and, in the absence of such agreement, means with respect to such employee, the term “Cause” as defined in the Equity Plan. The determination whether a termination is for Cause shall be made by the Plan Administrator in its sole and exclusive judgment and discretion.</w:t>
      </w:r>
    </w:p>
    <w:p>
      <w:pPr>
        <w:spacing w:after="0" w:line="186" w:lineRule="exact"/>
        <w:rPr>
          <w:rFonts w:ascii="Arial" w:cs="Arial" w:eastAsia="Arial" w:hAnsi="Arial"/>
          <w:sz w:val="18"/>
          <w:szCs w:val="18"/>
          <w:b w:val="1"/>
          <w:bCs w:val="1"/>
          <w:color w:val="auto"/>
        </w:rPr>
      </w:pPr>
    </w:p>
    <w:p>
      <w:pPr>
        <w:ind w:left="1940" w:hanging="636"/>
        <w:spacing w:after="0"/>
        <w:tabs>
          <w:tab w:leader="none" w:pos="194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Equity Plan.</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1941"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three months prior to the Closing of a Change in Control and ending 12 months following the Closing of a Change in Control.</w:t>
      </w:r>
    </w:p>
    <w:p>
      <w:pPr>
        <w:spacing w:after="0" w:line="170" w:lineRule="exact"/>
        <w:rPr>
          <w:rFonts w:ascii="Arial" w:cs="Arial" w:eastAsia="Arial" w:hAnsi="Arial"/>
          <w:sz w:val="18"/>
          <w:szCs w:val="18"/>
          <w:b w:val="1"/>
          <w:bCs w:val="1"/>
          <w:color w:val="auto"/>
        </w:rPr>
      </w:pPr>
    </w:p>
    <w:p>
      <w:pPr>
        <w:jc w:val="both"/>
        <w:ind w:firstLine="1304"/>
        <w:spacing w:after="0" w:line="263" w:lineRule="auto"/>
        <w:tabs>
          <w:tab w:leader="none" w:pos="193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spacing w:after="0" w:line="183" w:lineRule="exact"/>
        <w:rPr>
          <w:rFonts w:ascii="Arial" w:cs="Arial" w:eastAsia="Arial" w:hAnsi="Arial"/>
          <w:sz w:val="18"/>
          <w:szCs w:val="18"/>
          <w:b w:val="1"/>
          <w:bCs w:val="1"/>
          <w:color w:val="auto"/>
        </w:rPr>
      </w:pPr>
    </w:p>
    <w:p>
      <w:pPr>
        <w:ind w:left="1940" w:hanging="636"/>
        <w:spacing w:after="0"/>
        <w:tabs>
          <w:tab w:leader="none" w:pos="1940"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including any applicable regulations and guidance thereunder.</w:t>
      </w:r>
    </w:p>
    <w:p>
      <w:pPr>
        <w:spacing w:after="0" w:line="248" w:lineRule="exact"/>
        <w:rPr>
          <w:rFonts w:ascii="Arial" w:cs="Arial" w:eastAsia="Arial" w:hAnsi="Arial"/>
          <w:sz w:val="16"/>
          <w:szCs w:val="16"/>
          <w:b w:val="1"/>
          <w:bCs w:val="1"/>
          <w:color w:val="auto"/>
        </w:rPr>
      </w:pPr>
    </w:p>
    <w:p>
      <w:pPr>
        <w:ind w:left="1940" w:hanging="636"/>
        <w:spacing w:after="0"/>
        <w:tabs>
          <w:tab w:leader="none" w:pos="194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Board of Directors or the Compensation Committee of the Board of Directors of the Company.</w:t>
      </w:r>
    </w:p>
    <w:p>
      <w:pPr>
        <w:spacing w:after="0" w:line="236" w:lineRule="exact"/>
        <w:rPr>
          <w:rFonts w:ascii="Arial" w:cs="Arial" w:eastAsia="Arial" w:hAnsi="Arial"/>
          <w:sz w:val="17"/>
          <w:szCs w:val="17"/>
          <w:b w:val="1"/>
          <w:bCs w:val="1"/>
          <w:color w:val="auto"/>
        </w:rPr>
      </w:pPr>
    </w:p>
    <w:p>
      <w:pPr>
        <w:ind w:left="1940" w:hanging="636"/>
        <w:spacing w:after="0"/>
        <w:tabs>
          <w:tab w:leader="none" w:pos="194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SI-BONE, Inc. or, following a Change in Control, the surviving entity resulting from such event.</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193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Company’s standard form of Employee Proprietary Information and Inventions Agreement or any similar or successor document.</w:t>
      </w:r>
    </w:p>
    <w:p>
      <w:pPr>
        <w:spacing w:after="0" w:line="170" w:lineRule="exact"/>
        <w:rPr>
          <w:rFonts w:ascii="Arial" w:cs="Arial" w:eastAsia="Arial" w:hAnsi="Arial"/>
          <w:sz w:val="18"/>
          <w:szCs w:val="18"/>
          <w:b w:val="1"/>
          <w:bCs w:val="1"/>
          <w:color w:val="auto"/>
        </w:rPr>
      </w:pPr>
    </w:p>
    <w:p>
      <w:pPr>
        <w:jc w:val="both"/>
        <w:ind w:firstLine="1304"/>
        <w:spacing w:after="0" w:line="263" w:lineRule="auto"/>
        <w:tabs>
          <w:tab w:leader="none" w:pos="1934"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Termination</w:t>
      </w:r>
      <w:r>
        <w:rPr>
          <w:rFonts w:ascii="Arial" w:cs="Arial" w:eastAsia="Arial" w:hAnsi="Arial"/>
          <w:sz w:val="18"/>
          <w:szCs w:val="18"/>
          <w:color w:val="auto"/>
        </w:rPr>
        <w:t>” means, with respect to an employee, a termination of employment that is due to (1) a termination by the Company without Cause (and other than as a result of the employee’s death or Disability) or (2) the employee’s resignation for Good Reason, and in either case of (1) or (2), results in such employee’s Separation from Service.</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1938"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any physical or mental condition which renders an employee incapable of performing the work for which he or she was employed by the Company or similar work offered by the Company. The Disability of an employee shall be established if (i) the employee satisfies the requirements for benefits under the Company’s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119" w:name="page120"/>
    <w:bookmarkEnd w:id="119"/>
    <w:p>
      <w:pPr>
        <w:spacing w:after="0" w:line="277" w:lineRule="auto"/>
        <w:rPr>
          <w:sz w:val="20"/>
          <w:szCs w:val="20"/>
          <w:color w:val="auto"/>
        </w:rPr>
      </w:pPr>
      <w:r>
        <w:rPr>
          <w:rFonts w:ascii="Arial" w:cs="Arial" w:eastAsia="Arial" w:hAnsi="Arial"/>
          <w:sz w:val="18"/>
          <w:szCs w:val="18"/>
          <w:color w:val="auto"/>
        </w:rPr>
        <w:t>long-term disability plan or (ii) in the absence of a Company-sponsored long-term disability plan, the employee satisfies the requirements for Social Security disability benefits.</w:t>
      </w:r>
    </w:p>
    <w:p>
      <w:pPr>
        <w:spacing w:after="0" w:line="170" w:lineRule="exact"/>
        <w:rPr>
          <w:sz w:val="20"/>
          <w:szCs w:val="20"/>
          <w:color w:val="auto"/>
        </w:rPr>
      </w:pPr>
    </w:p>
    <w:p>
      <w:pPr>
        <w:ind w:left="1960" w:hanging="656"/>
        <w:spacing w:after="0"/>
        <w:tabs>
          <w:tab w:leader="none" w:pos="196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of the Company that meets the requirements to be eligible to receive Plan benefits as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set forth in Section 2.</w:t>
      </w:r>
    </w:p>
    <w:p>
      <w:pPr>
        <w:spacing w:after="0" w:line="210" w:lineRule="exact"/>
        <w:rPr>
          <w:rFonts w:ascii="Arial" w:cs="Arial" w:eastAsia="Arial" w:hAnsi="Arial"/>
          <w:sz w:val="16"/>
          <w:szCs w:val="16"/>
          <w:b w:val="1"/>
          <w:bCs w:val="1"/>
          <w:color w:val="auto"/>
        </w:rPr>
      </w:pPr>
    </w:p>
    <w:p>
      <w:pPr>
        <w:ind w:left="1940" w:hanging="636"/>
        <w:spacing w:after="0"/>
        <w:tabs>
          <w:tab w:leader="none" w:pos="19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the SI-BONE, Inc. 2018 Equity Incentive Plan, as amended from time to time.</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1938"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for an employee’s resignation means the occurrence of any one or more of the following are undertaken by the Company (or successor to the Company, if applicable) without the employee’s express written consent:</w:t>
      </w:r>
    </w:p>
    <w:p>
      <w:pPr>
        <w:spacing w:after="0" w:line="170" w:lineRule="exact"/>
        <w:rPr>
          <w:rFonts w:ascii="Arial" w:cs="Arial" w:eastAsia="Arial" w:hAnsi="Arial"/>
          <w:sz w:val="18"/>
          <w:szCs w:val="18"/>
          <w:b w:val="1"/>
          <w:bCs w:val="1"/>
          <w:color w:val="auto"/>
        </w:rPr>
      </w:pPr>
    </w:p>
    <w:p>
      <w:pPr>
        <w:jc w:val="both"/>
        <w:ind w:left="80" w:firstLine="1953"/>
        <w:spacing w:after="0" w:line="263" w:lineRule="auto"/>
        <w:tabs>
          <w:tab w:leader="none" w:pos="2585"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a material reduction in such employee’s annual base salary or total target cash compensation (i.e. the sum of such Covered Employee’s annual base salary and annual target bonus) representing, in either case, a reduction of an amount equal to more than ten percent (10%) of such employee’s then current base salary;</w:t>
      </w:r>
    </w:p>
    <w:p>
      <w:pPr>
        <w:spacing w:after="0" w:line="183" w:lineRule="exact"/>
        <w:rPr>
          <w:rFonts w:ascii="Arial" w:cs="Arial" w:eastAsia="Arial" w:hAnsi="Arial"/>
          <w:sz w:val="18"/>
          <w:szCs w:val="18"/>
          <w:b w:val="1"/>
          <w:bCs w:val="1"/>
          <w:color w:val="auto"/>
        </w:rPr>
      </w:pPr>
    </w:p>
    <w:p>
      <w:pPr>
        <w:jc w:val="both"/>
        <w:ind w:left="80" w:firstLine="1953"/>
        <w:spacing w:after="0" w:line="279" w:lineRule="auto"/>
        <w:tabs>
          <w:tab w:leader="none" w:pos="2585" w:val="left"/>
        </w:tabs>
        <w:numPr>
          <w:ilvl w:val="2"/>
          <w:numId w:val="66"/>
        </w:numPr>
        <w:rPr>
          <w:rFonts w:ascii="Arial" w:cs="Arial" w:eastAsia="Arial" w:hAnsi="Arial"/>
          <w:sz w:val="17"/>
          <w:szCs w:val="17"/>
          <w:b w:val="1"/>
          <w:bCs w:val="1"/>
          <w:color w:val="auto"/>
        </w:rPr>
      </w:pPr>
      <w:r>
        <w:rPr>
          <w:rFonts w:ascii="Arial" w:cs="Arial" w:eastAsia="Arial" w:hAnsi="Arial"/>
          <w:sz w:val="17"/>
          <w:szCs w:val="17"/>
          <w:color w:val="auto"/>
        </w:rPr>
        <w:t xml:space="preserve">a material reduction or material adverse change in such employee’s job duties, responsibilities or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reduction or change after a Change in Control (or similar corporate transaction that does not constitute a Change in Control)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constitute Good Reason by virtue of the fact that such employee is performing similar duties and responsibilities in a larger organization (e.g., the Chief Executive Officer continues to be the Chief Executive Officer of the successor or parent corporation);</w:t>
      </w:r>
    </w:p>
    <w:p>
      <w:pPr>
        <w:spacing w:after="0" w:line="171" w:lineRule="exact"/>
        <w:rPr>
          <w:rFonts w:ascii="Arial" w:cs="Arial" w:eastAsia="Arial" w:hAnsi="Arial"/>
          <w:sz w:val="17"/>
          <w:szCs w:val="17"/>
          <w:b w:val="1"/>
          <w:bCs w:val="1"/>
          <w:color w:val="auto"/>
        </w:rPr>
      </w:pPr>
    </w:p>
    <w:p>
      <w:pPr>
        <w:jc w:val="both"/>
        <w:ind w:left="80" w:firstLine="1953"/>
        <w:spacing w:after="0" w:line="263" w:lineRule="auto"/>
        <w:tabs>
          <w:tab w:leader="none" w:pos="2585"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a material diminution in the authority, duties or responsibility of the supervisor to whom such employee is required to report including a requirement that such employee report to a corporate officer or employee instead of reporting directly to the board of directors of the Company;</w:t>
      </w:r>
    </w:p>
    <w:p>
      <w:pPr>
        <w:spacing w:after="0" w:line="183" w:lineRule="exact"/>
        <w:rPr>
          <w:rFonts w:ascii="Arial" w:cs="Arial" w:eastAsia="Arial" w:hAnsi="Arial"/>
          <w:sz w:val="18"/>
          <w:szCs w:val="18"/>
          <w:b w:val="1"/>
          <w:bCs w:val="1"/>
          <w:color w:val="auto"/>
        </w:rPr>
      </w:pPr>
    </w:p>
    <w:p>
      <w:pPr>
        <w:jc w:val="both"/>
        <w:ind w:left="80" w:firstLine="1953"/>
        <w:spacing w:after="0" w:line="259" w:lineRule="auto"/>
        <w:tabs>
          <w:tab w:leader="none" w:pos="2585"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a relocation of such employee’s principal place of employment with the Company (or successor to the Company, if applicable) to a place by more than 30 miles as compared to such employee’s then-current principal place of employment immediately prior to such relocation, except for required travel by the employee on the Company’s business to an extent substantially consistent with employee’s business travel obligations prior to the effective date of the Change in Control (or similar transaction); or</w:t>
      </w:r>
    </w:p>
    <w:p>
      <w:pPr>
        <w:spacing w:after="0" w:line="186"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2"/>
          <w:numId w:val="66"/>
        </w:numPr>
        <w:rPr>
          <w:rFonts w:ascii="Arial" w:cs="Arial" w:eastAsia="Arial" w:hAnsi="Arial"/>
          <w:sz w:val="18"/>
          <w:szCs w:val="18"/>
          <w:b w:val="1"/>
          <w:bCs w:val="1"/>
          <w:color w:val="auto"/>
        </w:rPr>
      </w:pPr>
      <w:r>
        <w:rPr>
          <w:rFonts w:ascii="Arial" w:cs="Arial" w:eastAsia="Arial" w:hAnsi="Arial"/>
          <w:sz w:val="18"/>
          <w:szCs w:val="18"/>
          <w:color w:val="auto"/>
        </w:rPr>
        <w:t>a material breach by the Company of any provision of this Plan or any other material agreement between such employee and the Company concerning the terms and conditions of such employee’s employment or service with the Company,</w:t>
      </w:r>
    </w:p>
    <w:p>
      <w:pPr>
        <w:spacing w:after="0" w:line="170" w:lineRule="exact"/>
        <w:rPr>
          <w:rFonts w:ascii="Arial" w:cs="Arial" w:eastAsia="Arial" w:hAnsi="Arial"/>
          <w:sz w:val="18"/>
          <w:szCs w:val="18"/>
          <w:b w:val="1"/>
          <w:bCs w:val="1"/>
          <w:color w:val="auto"/>
        </w:rPr>
      </w:pPr>
    </w:p>
    <w:p>
      <w:pPr>
        <w:jc w:val="both"/>
        <w:ind w:left="660" w:firstLine="968"/>
        <w:spacing w:after="0" w:line="293" w:lineRule="auto"/>
        <w:tabs>
          <w:tab w:leader="none" w:pos="1950"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in any case of (1), (2), (3) or (4) above, in order for the employee’s resignation to be deemed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for Good Reason, (i) the employee must first give the Company written notice of such employee’s intent to resign for Good Reason within 90 days after the date on which the Company gives written notice to such employee of the Company’s affirmative decision to take an action set forth in clause (1), (2), (3), or (4) above (or such action or condition otherwise occurs), which notice shall describe such condition(s) employee believes constitute Good Reason; (ii) the Company must fail to remedy such condition(s) within 30 days after receipt of such written notice (the “</w:t>
      </w:r>
      <w:r>
        <w:rPr>
          <w:rFonts w:ascii="Arial" w:cs="Arial" w:eastAsia="Arial" w:hAnsi="Arial"/>
          <w:sz w:val="16"/>
          <w:szCs w:val="16"/>
          <w:b w:val="1"/>
          <w:bCs w:val="1"/>
          <w:i w:val="1"/>
          <w:iCs w:val="1"/>
          <w:color w:val="auto"/>
        </w:rPr>
        <w:t>Cure Period</w:t>
      </w:r>
      <w:r>
        <w:rPr>
          <w:rFonts w:ascii="Arial" w:cs="Arial" w:eastAsia="Arial" w:hAnsi="Arial"/>
          <w:sz w:val="16"/>
          <w:szCs w:val="16"/>
          <w:color w:val="auto"/>
        </w:rPr>
        <w:t>”), and (iii) the employee must resign from employment effective not later than 90 days after the expiration of such Cure Period.</w:t>
      </w:r>
    </w:p>
    <w:p>
      <w:pPr>
        <w:spacing w:after="0" w:line="160" w:lineRule="exact"/>
        <w:rPr>
          <w:rFonts w:ascii="Arial" w:cs="Arial" w:eastAsia="Arial" w:hAnsi="Arial"/>
          <w:sz w:val="16"/>
          <w:szCs w:val="16"/>
          <w:color w:val="auto"/>
        </w:rPr>
      </w:pPr>
    </w:p>
    <w:p>
      <w:pPr>
        <w:ind w:firstLine="1304"/>
        <w:spacing w:after="0" w:line="347" w:lineRule="auto"/>
        <w:tabs>
          <w:tab w:leader="none" w:pos="1979"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Participation Agreement</w:t>
      </w:r>
      <w:r>
        <w:rPr>
          <w:rFonts w:ascii="Arial" w:cs="Arial" w:eastAsia="Arial" w:hAnsi="Arial"/>
          <w:sz w:val="16"/>
          <w:szCs w:val="16"/>
          <w:color w:val="auto"/>
        </w:rPr>
        <w:t xml:space="preserve">” means an agreement between an employee and the Company in substantially the form of </w:t>
      </w:r>
      <w:r>
        <w:rPr>
          <w:rFonts w:ascii="Arial" w:cs="Arial" w:eastAsia="Arial" w:hAnsi="Arial"/>
          <w:sz w:val="16"/>
          <w:szCs w:val="16"/>
          <w:b w:val="1"/>
          <w:bCs w:val="1"/>
          <w:color w:val="auto"/>
        </w:rPr>
        <w:t>Appendix</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 </w:t>
      </w:r>
      <w:r>
        <w:rPr>
          <w:rFonts w:ascii="Arial" w:cs="Arial" w:eastAsia="Arial" w:hAnsi="Arial"/>
          <w:sz w:val="16"/>
          <w:szCs w:val="16"/>
          <w:color w:val="auto"/>
        </w:rPr>
        <w:t>attached hereto, and which may include such other terms as the Committee deems necessary or advisable in the administration of the Plan.</w:t>
      </w:r>
    </w:p>
    <w:p>
      <w:pPr>
        <w:spacing w:after="0" w:line="119" w:lineRule="exact"/>
        <w:rPr>
          <w:rFonts w:ascii="Arial" w:cs="Arial" w:eastAsia="Arial" w:hAnsi="Arial"/>
          <w:sz w:val="16"/>
          <w:szCs w:val="16"/>
          <w:b w:val="1"/>
          <w:bCs w:val="1"/>
          <w:color w:val="auto"/>
        </w:rPr>
      </w:pPr>
    </w:p>
    <w:p>
      <w:pPr>
        <w:ind w:left="1940" w:hanging="636"/>
        <w:spacing w:after="0"/>
        <w:tabs>
          <w:tab w:leader="none" w:pos="194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 Administrator</w:t>
      </w:r>
      <w:r>
        <w:rPr>
          <w:rFonts w:ascii="Arial" w:cs="Arial" w:eastAsia="Arial" w:hAnsi="Arial"/>
          <w:sz w:val="17"/>
          <w:szCs w:val="17"/>
          <w:color w:val="auto"/>
        </w:rPr>
        <w:t>” means the Committee prior to the Closing and the Representative upon and following the Closing, as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applicable.</w:t>
      </w:r>
    </w:p>
    <w:p>
      <w:pPr>
        <w:spacing w:after="0" w:line="210" w:lineRule="exact"/>
        <w:rPr>
          <w:rFonts w:ascii="Arial" w:cs="Arial" w:eastAsia="Arial" w:hAnsi="Arial"/>
          <w:sz w:val="17"/>
          <w:szCs w:val="17"/>
          <w:b w:val="1"/>
          <w:bCs w:val="1"/>
          <w:color w:val="auto"/>
        </w:rPr>
      </w:pPr>
    </w:p>
    <w:p>
      <w:pPr>
        <w:jc w:val="both"/>
        <w:ind w:firstLine="1304"/>
        <w:spacing w:after="0" w:line="263" w:lineRule="auto"/>
        <w:tabs>
          <w:tab w:leader="none" w:pos="194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8(a).</w:t>
      </w:r>
    </w:p>
    <w:p>
      <w:pPr>
        <w:spacing w:after="0" w:line="183" w:lineRule="exact"/>
        <w:rPr>
          <w:rFonts w:ascii="Arial" w:cs="Arial" w:eastAsia="Arial" w:hAnsi="Arial"/>
          <w:sz w:val="18"/>
          <w:szCs w:val="18"/>
          <w:b w:val="1"/>
          <w:bCs w:val="1"/>
          <w:color w:val="auto"/>
        </w:rPr>
      </w:pPr>
    </w:p>
    <w:p>
      <w:pPr>
        <w:ind w:left="1940" w:hanging="636"/>
        <w:spacing w:after="0"/>
        <w:tabs>
          <w:tab w:leader="none" w:pos="194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the treasury regulations and other guidance thereunder and any state law</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similar effect.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73" w:right="339" w:bottom="1440" w:gutter="0" w:footer="0" w:header="0"/>
        </w:sectPr>
      </w:pPr>
    </w:p>
    <w:bookmarkStart w:id="120" w:name="page121"/>
    <w:bookmarkEnd w:id="120"/>
    <w:p>
      <w:pPr>
        <w:ind w:firstLine="1304"/>
        <w:spacing w:after="0" w:line="277" w:lineRule="auto"/>
        <w:tabs>
          <w:tab w:leader="none" w:pos="1935"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 “separation from service” within the meaning of Treasury Regulations Section 1.409A-1(h), without regard to any alternative definition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ELIGIBILITY FOR BENEFITS.</w:t>
      </w:r>
    </w:p>
    <w:p>
      <w:pPr>
        <w:spacing w:after="0" w:line="225" w:lineRule="exact"/>
        <w:rPr>
          <w:sz w:val="20"/>
          <w:szCs w:val="20"/>
          <w:color w:val="auto"/>
        </w:rPr>
      </w:pPr>
    </w:p>
    <w:p>
      <w:pPr>
        <w:jc w:val="both"/>
        <w:ind w:firstLine="1304"/>
        <w:spacing w:after="0" w:line="258" w:lineRule="auto"/>
        <w:tabs>
          <w:tab w:leader="none" w:pos="193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Eligible Employee</w:t>
      </w:r>
      <w:r>
        <w:rPr>
          <w:rFonts w:ascii="Arial" w:cs="Arial" w:eastAsia="Arial" w:hAnsi="Arial"/>
          <w:sz w:val="18"/>
          <w:szCs w:val="18"/>
          <w:color w:val="auto"/>
        </w:rPr>
        <w:t>. An employee of the Company is eligible to participate in the Plan if (i) the Plan Administrator has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such employee as eligible to participate in the Plan by providing such employee a Participation Agreement; (ii) such employee has signed and returned such Participation Agreement to the Company within the time period required therein; and (iii) such employee meets the other Plan eligibility requirements set forth in this Section 2. The determination of whether an employee is an Eligible Employee shall be made by the Plan Administrator, in its sole discretion, and such determination shall be binding and conclusive on all persons.</w:t>
      </w:r>
    </w:p>
    <w:p>
      <w:pPr>
        <w:spacing w:after="0" w:line="183" w:lineRule="exact"/>
        <w:rPr>
          <w:rFonts w:ascii="Arial" w:cs="Arial" w:eastAsia="Arial" w:hAnsi="Arial"/>
          <w:sz w:val="18"/>
          <w:szCs w:val="18"/>
          <w:b w:val="1"/>
          <w:bCs w:val="1"/>
          <w:color w:val="auto"/>
        </w:rPr>
      </w:pPr>
    </w:p>
    <w:p>
      <w:pPr>
        <w:jc w:val="both"/>
        <w:ind w:firstLine="1304"/>
        <w:spacing w:after="0" w:line="261" w:lineRule="auto"/>
        <w:tabs>
          <w:tab w:leader="none" w:pos="193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Requirement. </w:t>
      </w:r>
      <w:r>
        <w:rPr>
          <w:rFonts w:ascii="Arial" w:cs="Arial" w:eastAsia="Arial" w:hAnsi="Arial"/>
          <w:sz w:val="18"/>
          <w:szCs w:val="18"/>
          <w:color w:val="auto"/>
        </w:rPr>
        <w:t>Except as otherwise provided in an individual Participation Agreement, in order to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the Plan, the employee also must execute a general waiver and release, in such a form as provided by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within the applicable time period set forth therein, and such Release must become effective in accordance with its terms, which must occur in no event more than 60 days following the date of the applicable Covered Termination.</w:t>
      </w:r>
    </w:p>
    <w:p>
      <w:pPr>
        <w:spacing w:after="0" w:line="179" w:lineRule="exact"/>
        <w:rPr>
          <w:rFonts w:ascii="Arial" w:cs="Arial" w:eastAsia="Arial" w:hAnsi="Arial"/>
          <w:sz w:val="18"/>
          <w:szCs w:val="18"/>
          <w:b w:val="1"/>
          <w:bCs w:val="1"/>
          <w:color w:val="auto"/>
        </w:rPr>
      </w:pPr>
    </w:p>
    <w:p>
      <w:pPr>
        <w:jc w:val="both"/>
        <w:ind w:firstLine="1304"/>
        <w:spacing w:after="0" w:line="255" w:lineRule="auto"/>
        <w:tabs>
          <w:tab w:leader="none" w:pos="1941"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Benefits Provided In Lieu of Any Previous Benefits. </w:t>
      </w:r>
      <w:r>
        <w:rPr>
          <w:rFonts w:ascii="Arial" w:cs="Arial" w:eastAsia="Arial" w:hAnsi="Arial"/>
          <w:sz w:val="18"/>
          <w:szCs w:val="18"/>
          <w:color w:val="auto"/>
        </w:rPr>
        <w:t>This Plan shall supersede any change in control or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plan, policy or practice previously maintained by the Company with respect to an Eligible Employee and any change in control or severance benefits in any individually negotiated employment contract, employment offer letter, or other agreement between the Company and an Eligible Employee. Notwithstanding the foregoing, the Eligible Employee’s outstanding equity awards shall remain subject to the terms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188" w:lineRule="exact"/>
        <w:rPr>
          <w:rFonts w:ascii="Arial" w:cs="Arial" w:eastAsia="Arial" w:hAnsi="Arial"/>
          <w:sz w:val="18"/>
          <w:szCs w:val="18"/>
          <w:b w:val="1"/>
          <w:bCs w:val="1"/>
          <w:color w:val="auto"/>
        </w:rPr>
      </w:pPr>
    </w:p>
    <w:p>
      <w:pPr>
        <w:ind w:right="20" w:firstLine="1304"/>
        <w:spacing w:after="0" w:line="282" w:lineRule="auto"/>
        <w:tabs>
          <w:tab w:leader="none" w:pos="193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Exceptions to Severance Benefit Entitlement. </w:t>
      </w:r>
      <w:r>
        <w:rPr>
          <w:rFonts w:ascii="Arial" w:cs="Arial" w:eastAsia="Arial" w:hAnsi="Arial"/>
          <w:sz w:val="18"/>
          <w:szCs w:val="18"/>
          <w:color w:val="auto"/>
        </w:rPr>
        <w:t>An employee who otherwise is an Eligible Employee will not receive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in the following circumstances, as determined by the Plan Administrator in its sole discretion:</w:t>
      </w:r>
    </w:p>
    <w:p>
      <w:pPr>
        <w:spacing w:after="0" w:line="165" w:lineRule="exact"/>
        <w:rPr>
          <w:rFonts w:ascii="Arial" w:cs="Arial" w:eastAsia="Arial" w:hAnsi="Arial"/>
          <w:sz w:val="18"/>
          <w:szCs w:val="18"/>
          <w:b w:val="1"/>
          <w:bCs w:val="1"/>
          <w:color w:val="auto"/>
        </w:rPr>
      </w:pPr>
    </w:p>
    <w:p>
      <w:pPr>
        <w:jc w:val="both"/>
        <w:ind w:left="80" w:firstLine="1953"/>
        <w:spacing w:after="0" w:line="259" w:lineRule="auto"/>
        <w:tabs>
          <w:tab w:leader="none" w:pos="2585"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The employee’s employment is terminated by the Company for any reason (including due to the employee’s death or Disability) or the employee voluntarily terminates employment with the Company in any manner, and in either case, such termination is not a Covered Termination. Voluntary terminations include, but are not limited to, resignation, retirement or failure to return from a leave of absence on the scheduled date.</w:t>
      </w:r>
    </w:p>
    <w:p>
      <w:pPr>
        <w:spacing w:after="0" w:line="186"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The employee voluntarily terminates employment with the Company in order to accept employment with another entity that is wholly or partly owned (directly or indirectly) by the Company or an Affiliate.</w:t>
      </w:r>
    </w:p>
    <w:p>
      <w:pPr>
        <w:spacing w:after="0" w:line="170" w:lineRule="exact"/>
        <w:rPr>
          <w:rFonts w:ascii="Arial" w:cs="Arial" w:eastAsia="Arial" w:hAnsi="Arial"/>
          <w:sz w:val="18"/>
          <w:szCs w:val="18"/>
          <w:b w:val="1"/>
          <w:bCs w:val="1"/>
          <w:color w:val="auto"/>
        </w:rPr>
      </w:pPr>
    </w:p>
    <w:p>
      <w:pPr>
        <w:jc w:val="both"/>
        <w:ind w:left="80" w:firstLine="1953"/>
        <w:spacing w:after="0" w:line="286" w:lineRule="auto"/>
        <w:tabs>
          <w:tab w:leader="none" w:pos="2585" w:val="left"/>
        </w:tabs>
        <w:numPr>
          <w:ilvl w:val="1"/>
          <w:numId w:val="68"/>
        </w:numPr>
        <w:rPr>
          <w:rFonts w:ascii="Arial" w:cs="Arial" w:eastAsia="Arial" w:hAnsi="Arial"/>
          <w:sz w:val="17"/>
          <w:szCs w:val="17"/>
          <w:b w:val="1"/>
          <w:bCs w:val="1"/>
          <w:color w:val="auto"/>
        </w:rPr>
      </w:pPr>
      <w:r>
        <w:rPr>
          <w:rFonts w:ascii="Arial" w:cs="Arial" w:eastAsia="Arial" w:hAnsi="Arial"/>
          <w:sz w:val="17"/>
          <w:szCs w:val="17"/>
          <w:color w:val="auto"/>
        </w:rPr>
        <w:t>The employee is offered an identical or substantially equivalent or comparable position with the Company or an Affiliate. For purposes of the foregoing, a “substantially equivalent or comparable position” is one that provides the employee substantially the same level of responsibility and compensation and would not give rise to the employee’s right to a resignation for Good Reason.</w:t>
      </w:r>
    </w:p>
    <w:p>
      <w:pPr>
        <w:spacing w:after="0" w:line="165" w:lineRule="exact"/>
        <w:rPr>
          <w:rFonts w:ascii="Arial" w:cs="Arial" w:eastAsia="Arial" w:hAnsi="Arial"/>
          <w:sz w:val="17"/>
          <w:szCs w:val="17"/>
          <w:b w:val="1"/>
          <w:bCs w:val="1"/>
          <w:color w:val="auto"/>
        </w:rPr>
      </w:pPr>
    </w:p>
    <w:p>
      <w:pPr>
        <w:jc w:val="both"/>
        <w:ind w:left="80" w:firstLine="1953"/>
        <w:spacing w:after="0" w:line="291" w:lineRule="auto"/>
        <w:tabs>
          <w:tab w:leader="none" w:pos="2585" w:val="left"/>
        </w:tabs>
        <w:numPr>
          <w:ilvl w:val="1"/>
          <w:numId w:val="68"/>
        </w:numPr>
        <w:rPr>
          <w:rFonts w:ascii="Arial" w:cs="Arial" w:eastAsia="Arial" w:hAnsi="Arial"/>
          <w:sz w:val="16"/>
          <w:szCs w:val="16"/>
          <w:b w:val="1"/>
          <w:bCs w:val="1"/>
          <w:color w:val="auto"/>
        </w:rPr>
      </w:pPr>
      <w:r>
        <w:rPr>
          <w:rFonts w:ascii="Arial" w:cs="Arial" w:eastAsia="Arial" w:hAnsi="Arial"/>
          <w:sz w:val="16"/>
          <w:szCs w:val="16"/>
          <w:color w:val="auto"/>
        </w:rPr>
        <w:t>The employee is offered immediate reemployment by a successor to the Company or an Affiliate or by a purchaser of the Company’s assets, as the case may be, following a Change in Control and the terms of such reemployment would not give rise to the employee’s right to a resignation for Good Reason. For purposes of the foregoing, “immediate 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For the avoidance of doubt,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166" w:lineRule="exact"/>
        <w:rPr>
          <w:rFonts w:ascii="Arial" w:cs="Arial" w:eastAsia="Arial" w:hAnsi="Arial"/>
          <w:sz w:val="16"/>
          <w:szCs w:val="16"/>
          <w:b w:val="1"/>
          <w:bCs w:val="1"/>
          <w:color w:val="auto"/>
        </w:rPr>
      </w:pPr>
    </w:p>
    <w:p>
      <w:pPr>
        <w:ind w:left="80" w:firstLine="1953"/>
        <w:spacing w:after="0" w:line="277" w:lineRule="auto"/>
        <w:tabs>
          <w:tab w:leader="none" w:pos="2585"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The employee is rehired by the Company or an Affiliate and recommences employment prior to the date severance benefits under the Plan are scheduled to commence.</w:t>
      </w:r>
    </w:p>
    <w:p>
      <w:pPr>
        <w:spacing w:after="0" w:line="166" w:lineRule="exact"/>
        <w:rPr>
          <w:rFonts w:ascii="Arial" w:cs="Arial" w:eastAsia="Arial" w:hAnsi="Arial"/>
          <w:sz w:val="18"/>
          <w:szCs w:val="18"/>
          <w:b w:val="1"/>
          <w:bCs w:val="1"/>
          <w:color w:val="auto"/>
        </w:rPr>
      </w:pPr>
    </w:p>
    <w:p>
      <w:pPr>
        <w:jc w:val="both"/>
        <w:ind w:firstLine="1304"/>
        <w:spacing w:after="0" w:line="266" w:lineRule="auto"/>
        <w:tabs>
          <w:tab w:leader="none" w:pos="1941"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Severance Benefits</w:t>
      </w:r>
      <w:r>
        <w:rPr>
          <w:rFonts w:ascii="Arial" w:cs="Arial" w:eastAsia="Arial" w:hAnsi="Arial"/>
          <w:sz w:val="18"/>
          <w:szCs w:val="18"/>
          <w:color w:val="auto"/>
        </w:rPr>
        <w:t>. An Eligible Employee’s right to receive severance benefits under this Plan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if, at any time prior to or during the period for which the Eligible Employee is receiving severance benefits under the Plan, the Eligible Employee: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73" w:right="339" w:bottom="1440" w:gutter="0" w:footer="0" w:header="0"/>
        </w:sectPr>
      </w:pPr>
    </w:p>
    <w:bookmarkStart w:id="121" w:name="page122"/>
    <w:bookmarkEnd w:id="121"/>
    <w:p>
      <w:pPr>
        <w:jc w:val="both"/>
        <w:ind w:left="80" w:firstLine="1953"/>
        <w:spacing w:after="0" w:line="259" w:lineRule="auto"/>
        <w:tabs>
          <w:tab w:leader="none" w:pos="2585"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willfully breaches any material statutory, common law, or contractual obligation to the Company or an Affiliate (including, without limitation, the contractual obligations set forth in the Confidentiality Agreement and any other confidentiality, non-disclosure and developments agreement, non-competition, non-solicitation, or similar type agreement between the Eligible Employee and the Company, as applicable); or</w:t>
      </w:r>
    </w:p>
    <w:p>
      <w:pPr>
        <w:spacing w:after="0" w:line="186" w:lineRule="exact"/>
        <w:rPr>
          <w:rFonts w:ascii="Arial" w:cs="Arial" w:eastAsia="Arial" w:hAnsi="Arial"/>
          <w:sz w:val="18"/>
          <w:szCs w:val="18"/>
          <w:b w:val="1"/>
          <w:bCs w:val="1"/>
          <w:color w:val="auto"/>
        </w:rPr>
      </w:pPr>
    </w:p>
    <w:p>
      <w:pPr>
        <w:ind w:left="2600" w:hanging="567"/>
        <w:spacing w:after="0"/>
        <w:tabs>
          <w:tab w:leader="none" w:pos="260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fails to enter into the terms of any Confidentiality Agreement reasonably requested by the Company.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3. AMOUNT OF BENEFITS.</w:t>
      </w:r>
    </w:p>
    <w:p>
      <w:pPr>
        <w:spacing w:after="0" w:line="225" w:lineRule="exact"/>
        <w:rPr>
          <w:sz w:val="20"/>
          <w:szCs w:val="20"/>
          <w:color w:val="auto"/>
        </w:rPr>
      </w:pPr>
    </w:p>
    <w:p>
      <w:pPr>
        <w:ind w:left="1940" w:hanging="636"/>
        <w:spacing w:after="0"/>
        <w:tabs>
          <w:tab w:leader="none" w:pos="194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Benefits in Participation Agreement. </w:t>
      </w:r>
      <w:r>
        <w:rPr>
          <w:rFonts w:ascii="Arial" w:cs="Arial" w:eastAsia="Arial" w:hAnsi="Arial"/>
          <w:sz w:val="17"/>
          <w:szCs w:val="17"/>
          <w:color w:val="auto"/>
        </w:rPr>
        <w:t>Benefits under the Plan shall be provided to an Eligible Employee as set forth in the</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Participation Agreement.</w:t>
      </w:r>
    </w:p>
    <w:p>
      <w:pPr>
        <w:spacing w:after="0" w:line="206" w:lineRule="exact"/>
        <w:rPr>
          <w:rFonts w:ascii="Arial" w:cs="Arial" w:eastAsia="Arial" w:hAnsi="Arial"/>
          <w:sz w:val="17"/>
          <w:szCs w:val="17"/>
          <w:b w:val="1"/>
          <w:bCs w:val="1"/>
          <w:color w:val="auto"/>
        </w:rPr>
      </w:pPr>
    </w:p>
    <w:p>
      <w:pPr>
        <w:jc w:val="both"/>
        <w:ind w:firstLine="1304"/>
        <w:spacing w:after="0" w:line="258" w:lineRule="auto"/>
        <w:tabs>
          <w:tab w:leader="none" w:pos="193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Benefits. </w:t>
      </w:r>
      <w:r>
        <w:rPr>
          <w:rFonts w:ascii="Arial" w:cs="Arial" w:eastAsia="Arial" w:hAnsi="Arial"/>
          <w:sz w:val="18"/>
          <w:szCs w:val="18"/>
          <w:color w:val="auto"/>
        </w:rPr>
        <w:t>Notwithstanding the foregoing, the Committee may, in its sole discretion, provide benefits to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not Eligible Employees (“</w:t>
      </w:r>
      <w:r>
        <w:rPr>
          <w:rFonts w:ascii="Arial" w:cs="Arial" w:eastAsia="Arial" w:hAnsi="Arial"/>
          <w:sz w:val="18"/>
          <w:szCs w:val="18"/>
          <w:b w:val="1"/>
          <w:bCs w:val="1"/>
          <w:i w:val="1"/>
          <w:iCs w:val="1"/>
          <w:color w:val="auto"/>
        </w:rPr>
        <w:t>Non-Eligible Employees</w:t>
      </w:r>
      <w:r>
        <w:rPr>
          <w:rFonts w:ascii="Arial" w:cs="Arial" w:eastAsia="Arial" w:hAnsi="Arial"/>
          <w:sz w:val="18"/>
          <w:szCs w:val="18"/>
          <w:color w:val="auto"/>
        </w:rPr>
        <w:t>”) chosen by the Plan Administrator, in its sole discretion, and the provision of any such benefits to a Non-Eligible Employee shall in no way obligate the Company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183" w:lineRule="exact"/>
        <w:rPr>
          <w:rFonts w:ascii="Arial" w:cs="Arial" w:eastAsia="Arial" w:hAnsi="Arial"/>
          <w:sz w:val="18"/>
          <w:szCs w:val="18"/>
          <w:b w:val="1"/>
          <w:bCs w:val="1"/>
          <w:color w:val="auto"/>
        </w:rPr>
      </w:pPr>
    </w:p>
    <w:p>
      <w:pPr>
        <w:jc w:val="both"/>
        <w:ind w:firstLine="1304"/>
        <w:spacing w:after="0" w:line="287" w:lineRule="auto"/>
        <w:tabs>
          <w:tab w:leader="none" w:pos="1941"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Reductions. </w:t>
      </w:r>
      <w:r>
        <w:rPr>
          <w:rFonts w:ascii="Arial" w:cs="Arial" w:eastAsia="Arial" w:hAnsi="Arial"/>
          <w:sz w:val="16"/>
          <w:szCs w:val="16"/>
          <w:color w:val="auto"/>
        </w:rPr>
        <w:t>In addition to Section 2(e) above, the Company, in its sole discretion, shall have the authority to reduce an</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severance benefits, in whole or in part, by any other severance benefits, pay and benefits provided during a period following written notice of a business closing or mass layoff, pay and benefits in lieu of such notice, or other similar benefits payable to the Eligible Employee by the Company or an Affiliate that become payable in connection with the Eligible Employee’s termination of employment pursuant to (i) any applicable legal requirement, including, without limitation, the Worker Adjustment and Retraining Notification Act or any other similar state law or (ii) any Company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Arial" w:cs="Arial" w:eastAsia="Arial" w:hAnsi="Arial"/>
          <w:sz w:val="16"/>
          <w:szCs w:val="16"/>
          <w:i w:val="1"/>
          <w:iCs w:val="1"/>
          <w:color w:val="auto"/>
        </w:rPr>
        <w:t>i.e</w:t>
      </w:r>
      <w:r>
        <w:rPr>
          <w:rFonts w:ascii="Arial" w:cs="Arial" w:eastAsia="Arial" w:hAnsi="Arial"/>
          <w:sz w:val="16"/>
          <w:szCs w:val="16"/>
          <w:color w:val="auto"/>
        </w:rPr>
        <w:t>., any cash severance benefits under the Plan shall be reduced solely by any cash payments or severance benefits under such legal requirement, agreement,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163" w:lineRule="exact"/>
        <w:rPr>
          <w:rFonts w:ascii="Arial" w:cs="Arial" w:eastAsia="Arial" w:hAnsi="Arial"/>
          <w:sz w:val="16"/>
          <w:szCs w:val="16"/>
          <w:b w:val="1"/>
          <w:bCs w:val="1"/>
          <w:color w:val="auto"/>
        </w:rPr>
      </w:pPr>
    </w:p>
    <w:p>
      <w:pPr>
        <w:jc w:val="both"/>
        <w:ind w:firstLine="1304"/>
        <w:spacing w:after="0" w:line="269" w:lineRule="auto"/>
        <w:tabs>
          <w:tab w:leader="none" w:pos="1934"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an Eligible Employee will or may receive from the Company or otherwise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any such Payment shall be equal to the Reduced Amount. The “</w:t>
      </w:r>
      <w:r>
        <w:rPr>
          <w:rFonts w:ascii="Arial" w:cs="Arial" w:eastAsia="Arial" w:hAnsi="Arial"/>
          <w:sz w:val="17"/>
          <w:szCs w:val="17"/>
          <w:b w:val="1"/>
          <w:bCs w:val="1"/>
          <w:i w:val="1"/>
          <w:iCs w:val="1"/>
          <w:color w:val="auto"/>
        </w:rPr>
        <w:t>Reduced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shall be either (x) the largest portion of the Payment that would result in no portion of the Payment (after reduction) being subject to the Excise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i w:val="1"/>
          <w:iCs w:val="1"/>
          <w:color w:val="auto"/>
        </w:rPr>
        <w:t>Reduction Method</w:t>
      </w:r>
      <w:r>
        <w:rPr>
          <w:rFonts w:ascii="Arial" w:cs="Arial" w:eastAsia="Arial" w:hAnsi="Arial"/>
          <w:sz w:val="17"/>
          <w:szCs w:val="17"/>
          <w:color w:val="auto"/>
        </w:rPr>
        <w:t>”) that results in the greatest economic benefit for the Eligible Employee. If more than one method of reduction will result in the same economic benefit, the items so reduced will be reduced pro rata (the “</w:t>
      </w:r>
      <w:r>
        <w:rPr>
          <w:rFonts w:ascii="Arial" w:cs="Arial" w:eastAsia="Arial" w:hAnsi="Arial"/>
          <w:sz w:val="17"/>
          <w:szCs w:val="17"/>
          <w:b w:val="1"/>
          <w:bCs w:val="1"/>
          <w:i w:val="1"/>
          <w:iCs w:val="1"/>
          <w:color w:val="auto"/>
        </w:rPr>
        <w:t>Pro Rata Reduction Method</w:t>
      </w:r>
      <w:r>
        <w:rPr>
          <w:rFonts w:ascii="Arial" w:cs="Arial" w:eastAsia="Arial" w:hAnsi="Arial"/>
          <w:sz w:val="17"/>
          <w:szCs w:val="17"/>
          <w:color w:val="auto"/>
        </w:rPr>
        <w:t>”).</w:t>
      </w:r>
    </w:p>
    <w:p>
      <w:pPr>
        <w:spacing w:after="0" w:line="18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Employee as determined on an after-tax basis; (B) as a second priority,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73" w:right="339" w:bottom="1440" w:gutter="0" w:footer="0" w:header="0"/>
        </w:sectPr>
      </w:pPr>
    </w:p>
    <w:bookmarkStart w:id="122" w:name="page123"/>
    <w:bookmarkEnd w:id="122"/>
    <w:p>
      <w:pPr>
        <w:jc w:val="both"/>
        <w:ind w:firstLine="1296"/>
        <w:spacing w:after="0" w:line="254" w:lineRule="auto"/>
        <w:rPr>
          <w:sz w:val="20"/>
          <w:szCs w:val="20"/>
          <w:color w:val="auto"/>
        </w:rPr>
      </w:pPr>
      <w:r>
        <w:rPr>
          <w:rFonts w:ascii="Arial" w:cs="Arial" w:eastAsia="Arial" w:hAnsi="Arial"/>
          <w:sz w:val="18"/>
          <w:szCs w:val="18"/>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 (x) above and the Internal Revenue Service determines thereafter that some portion of the Payment is subject to the Excise Tax, Eligible Employee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the Eligible Employee shall have no obligation to return any portion of the Payment pursuant to the preceding sentence.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RETURN OF COMPANY PROPERTY.</w:t>
      </w:r>
    </w:p>
    <w:p>
      <w:pPr>
        <w:spacing w:after="0" w:line="22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An Eligible Employee will not be entitled to any severance benefit under the Plan unless and until the Eligible Employee returns all Company Property. For this purpose, “</w:t>
      </w:r>
      <w:r>
        <w:rPr>
          <w:rFonts w:ascii="Arial" w:cs="Arial" w:eastAsia="Arial" w:hAnsi="Arial"/>
          <w:sz w:val="17"/>
          <w:szCs w:val="17"/>
          <w:b w:val="1"/>
          <w:bCs w:val="1"/>
          <w:i w:val="1"/>
          <w:iCs w:val="1"/>
          <w:color w:val="auto"/>
        </w:rPr>
        <w:t>Company Property</w:t>
      </w:r>
      <w:r>
        <w:rPr>
          <w:rFonts w:ascii="Arial" w:cs="Arial" w:eastAsia="Arial" w:hAnsi="Arial"/>
          <w:sz w:val="17"/>
          <w:szCs w:val="17"/>
          <w:color w:val="auto"/>
        </w:rPr>
        <w:t>” means all paper and electronic Company documents and other Company property which the Eligible Employee had in his or her possession or control at any time, including, but not limited to, Company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(and all reproductions thereof in whole or in part). As a condition to receiving benefits under the Plan, an Eligible Employee must not make or retain copies, reproductions or summaries of any such Company documents, materials or property. However, an Eligible Employee is not required to return his or her personal copies of documents evidencing the Eligible Employee’s hire, termination, compensation, benefits and stock options and any other documentation received as a stockholder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TIME OF PAYMENT AND FORM OF BENEFITS.</w:t>
      </w:r>
    </w:p>
    <w:p>
      <w:pPr>
        <w:spacing w:after="0" w:line="22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All benefits provided under the Plan are intended to satisfy the requirements for an exemption from application of Section 409A to the maximum extent that an exemption is available and any ambiguities herein shall be interpreted accordingly;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such an exemption is not available, the benefits provided under the Plan are intended to comply with the requirements of Section 409A to the extent necessary to avoid adverse personal tax consequences and any ambiguities herein shall be interpreted accordingly.</w:t>
      </w:r>
    </w:p>
    <w:p>
      <w:pPr>
        <w:spacing w:after="0" w:line="19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1.409A-1(b)(5) and 1.409A-1(b)(9)(iii), and (iii) any such benefits consisting of COBRA premiums also satisfy, to the greatest extent possible, the exemption from the application of Section 409A provided under Treasury Regulations Section 1.409A-1(b)(9)(v). However, if the Company determines that any severance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severance benefit payments shall be delayed until the earlier of (1) the date that is six months and one day after the Eligible Employee’s Separation from Service and (2) the date of the Eligible Employee’s death (such applicable date, the “</w:t>
      </w:r>
      <w:r>
        <w:rPr>
          <w:rFonts w:ascii="Arial" w:cs="Arial" w:eastAsia="Arial" w:hAnsi="Arial"/>
          <w:sz w:val="17"/>
          <w:szCs w:val="17"/>
          <w:b w:val="1"/>
          <w:bCs w:val="1"/>
          <w:i w:val="1"/>
          <w:iCs w:val="1"/>
          <w:color w:val="auto"/>
        </w:rPr>
        <w:t>Delayed 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 Date</w:t>
      </w:r>
      <w:r>
        <w:rPr>
          <w:rFonts w:ascii="Arial" w:cs="Arial" w:eastAsia="Arial" w:hAnsi="Arial"/>
          <w:sz w:val="17"/>
          <w:szCs w:val="17"/>
          <w:color w:val="auto"/>
        </w:rPr>
        <w:t>”), and (B) the Company shall (1) pay the Eligible Employee a lump sum amount equal to the sum of the severance benefit payments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Employee would otherwise have received through the Delayed Initial Payment Date if the commencement of the payment of the severance benefits had not been delayed pursuant to this paragraph and (2) commence paying the balance, if any, of the severance benefits in accordance with the applicable payment schedule.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73" w:right="339" w:bottom="1440" w:gutter="0" w:footer="0" w:header="0"/>
        </w:sectPr>
      </w:pPr>
    </w:p>
    <w:bookmarkStart w:id="123" w:name="page124"/>
    <w:bookmarkEnd w:id="123"/>
    <w:p>
      <w:pPr>
        <w:jc w:val="both"/>
        <w:ind w:firstLine="1296"/>
        <w:spacing w:after="0" w:line="287" w:lineRule="auto"/>
        <w:rPr>
          <w:sz w:val="20"/>
          <w:szCs w:val="20"/>
          <w:color w:val="auto"/>
        </w:rPr>
      </w:pPr>
      <w:r>
        <w:rPr>
          <w:rFonts w:ascii="Arial" w:cs="Arial" w:eastAsia="Arial" w:hAnsi="Arial"/>
          <w:sz w:val="16"/>
          <w:szCs w:val="16"/>
          <w:color w:val="auto"/>
        </w:rPr>
        <w:t>In no event shall payment of any severance benefits under the Plan be made prior to an Eligible Employee’s Separation from Service or prior to the effective date of the Release. If the Company determines that any severance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solely for purposes of the timing of payment of severance benefits under this Plan, any earlier than the latest permitted effective date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If the Company determines that any severance payments or benefits provided under the Plan constitute “deferred compensation” under Section 409A, then except to the extent that severance payments may be delayed until the Delayed Initial Payment Date pursuant to the preceding paragraph, on the first regular payroll date following the effective date of an Eligible Employee’s Release, the Company shall (1) pay the Eligible Employee a lump sum amount equal to the sum of the severance benefit payments that the Eligible Employee would otherwise have received through such payroll date but for the delay in payment related to the effectiveness of the Release and (2) commence paying the balance, if any, of the severance benefits in accordance with the applicable payment schedule.</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6. TRANSFER AND ASSIGNMENT.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without regard to whether or not such entity or person actively assumes the obligations hereunder and without regard to whether or not a Change in Control occurs.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7. MITIGATION.</w:t>
      </w:r>
    </w:p>
    <w:p>
      <w:pPr>
        <w:spacing w:after="0" w:line="25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 another employer or any retirement benefits received by such Eligible Employee after the date of the Eligible Employee’s termination of employment with the Company.</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8. CLAWBACK; RECOVERY.</w:t>
      </w:r>
    </w:p>
    <w:p>
      <w:pPr>
        <w:spacing w:after="0" w:line="25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No recovery of compensation under such a clawback policy will be an event giving rise to a right to resign for Good Reason, constructive termination, or any similar term under any plan of or agreement with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9. RIGHT TO INTERPRET AND ADMINISTER PLAN; AMENDMENT AND TERMINATION.</w:t>
      </w:r>
    </w:p>
    <w:p>
      <w:pPr>
        <w:spacing w:after="0" w:line="266" w:lineRule="exact"/>
        <w:rPr>
          <w:sz w:val="20"/>
          <w:szCs w:val="20"/>
          <w:color w:val="auto"/>
        </w:rPr>
      </w:pPr>
    </w:p>
    <w:p>
      <w:pPr>
        <w:jc w:val="both"/>
        <w:ind w:firstLine="1304"/>
        <w:spacing w:after="0" w:line="291" w:lineRule="auto"/>
        <w:tabs>
          <w:tab w:leader="none" w:pos="1938"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Interpretation and Administration. </w:t>
      </w:r>
      <w:r>
        <w:rPr>
          <w:rFonts w:ascii="Arial" w:cs="Arial" w:eastAsia="Arial" w:hAnsi="Arial"/>
          <w:sz w:val="16"/>
          <w:szCs w:val="16"/>
          <w:color w:val="auto"/>
        </w:rPr>
        <w:t>Prior to the Closing, the Committee shall be the Plan Administrator and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“Committee” or “Plan Administrator” with respect to periods following the Closing shall mean the Representative.</w:t>
      </w:r>
    </w:p>
    <w:p>
      <w:pPr>
        <w:spacing w:after="0" w:line="159" w:lineRule="exact"/>
        <w:rPr>
          <w:rFonts w:ascii="Arial" w:cs="Arial" w:eastAsia="Arial" w:hAnsi="Arial"/>
          <w:sz w:val="16"/>
          <w:szCs w:val="16"/>
          <w:b w:val="1"/>
          <w:bCs w:val="1"/>
          <w:color w:val="auto"/>
        </w:rPr>
      </w:pPr>
    </w:p>
    <w:p>
      <w:pPr>
        <w:jc w:val="both"/>
        <w:ind w:firstLine="1304"/>
        <w:spacing w:after="0" w:line="266" w:lineRule="auto"/>
        <w:tabs>
          <w:tab w:leader="none" w:pos="193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Plan Administrator reserves the right to amend this Plan at any time;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will not be effective as to a particular employee who is or may be adversely impacted by such amendment or termination and has an effective Participation Agreement without the written consent of such employee.</w:t>
      </w:r>
    </w:p>
    <w:p>
      <w:pPr>
        <w:spacing w:after="0" w:line="175" w:lineRule="exact"/>
        <w:rPr>
          <w:rFonts w:ascii="Arial" w:cs="Arial" w:eastAsia="Arial" w:hAnsi="Arial"/>
          <w:sz w:val="18"/>
          <w:szCs w:val="18"/>
          <w:b w:val="1"/>
          <w:bCs w:val="1"/>
          <w:color w:val="auto"/>
        </w:rPr>
      </w:pPr>
    </w:p>
    <w:p>
      <w:pPr>
        <w:ind w:firstLine="1304"/>
        <w:spacing w:after="0" w:line="282" w:lineRule="auto"/>
        <w:tabs>
          <w:tab w:leader="none" w:pos="1941"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Unless otherwise extended by the Committee, the Plan will automatically terminate following satisfaction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obligations under the Plan.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73"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Section 10. NO IMPLIED EMPLOYMENT CONTRACT.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Plan shall not be deemed (i) to give any employee or other person any right to be retained in the employ of the Company or (ii) to interfere with the right of the Company to discharge any employee or other person at any time, with or without cause, which right is hereby reserved. This Plan does not modify the at-will employment status of any Eligible Employee.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11. LEGAL CONSTRUCTION.</w:t>
      </w:r>
    </w:p>
    <w:p>
      <w:pPr>
        <w:spacing w:after="0" w:line="25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This Plan is intended to be governed by and shall be construed in accordance with the Employee Retirement Income Security Act of 1974 (“ERISA”) and, to the extent not preempted by ERISA, the laws of the State of California.</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12. CLAIMS, INQUIRIES AND APPEALS.</w:t>
      </w:r>
    </w:p>
    <w:p>
      <w:pPr>
        <w:spacing w:after="0" w:line="252" w:lineRule="exact"/>
        <w:rPr>
          <w:sz w:val="20"/>
          <w:szCs w:val="20"/>
          <w:color w:val="auto"/>
        </w:rPr>
      </w:pPr>
    </w:p>
    <w:p>
      <w:pPr>
        <w:jc w:val="both"/>
        <w:ind w:firstLine="1304"/>
        <w:spacing w:after="0" w:line="266" w:lineRule="auto"/>
        <w:tabs>
          <w:tab w:leader="none" w:pos="193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Applications for Benefits and Inquiries. </w:t>
      </w:r>
      <w:r>
        <w:rPr>
          <w:rFonts w:ascii="Arial" w:cs="Arial" w:eastAsia="Arial" w:hAnsi="Arial"/>
          <w:sz w:val="18"/>
          <w:szCs w:val="18"/>
          <w:color w:val="auto"/>
        </w:rPr>
        <w:t>Any application for benefits, inquiries about the Plan or inquiries about present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rights under the Plan must be submitted to the Plan Administrator in writing by an applicant (or his or her authorized representative). The Plan Administrator 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pacing w:after="0" w:line="234" w:lineRule="exact"/>
        <w:rPr>
          <w:sz w:val="20"/>
          <w:szCs w:val="20"/>
          <w:color w:val="auto"/>
        </w:rPr>
      </w:pPr>
    </w:p>
    <w:p>
      <w:pPr>
        <w:jc w:val="both"/>
        <w:ind w:firstLine="1304"/>
        <w:spacing w:after="0" w:line="261" w:lineRule="auto"/>
        <w:tabs>
          <w:tab w:leader="none" w:pos="193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Denial of Claims. </w:t>
      </w:r>
      <w:r>
        <w:rPr>
          <w:rFonts w:ascii="Arial" w:cs="Arial" w:eastAsia="Arial" w:hAnsi="Arial"/>
          <w:sz w:val="18"/>
          <w:szCs w:val="18"/>
          <w:color w:val="auto"/>
        </w:rPr>
        <w:t>In the event that any application for benefits is denied in whole or in part, the Plan Administrator must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83" w:lineRule="exact"/>
        <w:rPr>
          <w:rFonts w:ascii="Arial" w:cs="Arial" w:eastAsia="Arial" w:hAnsi="Arial"/>
          <w:sz w:val="18"/>
          <w:szCs w:val="18"/>
          <w:b w:val="1"/>
          <w:bCs w:val="1"/>
          <w:color w:val="auto"/>
        </w:rPr>
      </w:pPr>
    </w:p>
    <w:p>
      <w:pPr>
        <w:ind w:left="2600" w:hanging="567"/>
        <w:spacing w:after="0"/>
        <w:tabs>
          <w:tab w:leader="none" w:pos="260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b w:val="1"/>
          <w:bCs w:val="1"/>
          <w:color w:val="auto"/>
        </w:rPr>
      </w:pPr>
    </w:p>
    <w:p>
      <w:pPr>
        <w:ind w:left="2600" w:hanging="567"/>
        <w:spacing w:after="0"/>
        <w:tabs>
          <w:tab w:leader="none" w:pos="260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225"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information or material that the Plan Administrator needs to complete the review and an explanation of why such information or material is necessary; and</w:t>
      </w:r>
    </w:p>
    <w:p>
      <w:pPr>
        <w:spacing w:after="0" w:line="170" w:lineRule="exact"/>
        <w:rPr>
          <w:rFonts w:ascii="Arial" w:cs="Arial" w:eastAsia="Arial" w:hAnsi="Arial"/>
          <w:sz w:val="18"/>
          <w:szCs w:val="18"/>
          <w:b w:val="1"/>
          <w:bCs w:val="1"/>
          <w:color w:val="auto"/>
        </w:rPr>
      </w:pPr>
    </w:p>
    <w:p>
      <w:pPr>
        <w:jc w:val="both"/>
        <w:ind w:left="80" w:firstLine="1953"/>
        <w:spacing w:after="0" w:line="263" w:lineRule="auto"/>
        <w:tabs>
          <w:tab w:leader="none" w:pos="2585"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10(d) below.</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This notice of denial will be given to the applicant within 90 days after the Plan Administrator receives the application, unless special circumstances require an extension of time, in which case, the Plan Administrator has up to an additional 90 days for processing the application. If an extension of time for processing is required, written notice of the extension will be furnished to the applicant before the end of the initial 90 day period.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This notice of extension will describe the special circumstances necessitating the additional time and the date by which the Plan Administrator is to render its decision on the application.</w:t>
      </w:r>
    </w:p>
    <w:p>
      <w:pPr>
        <w:spacing w:after="0" w:line="166" w:lineRule="exact"/>
        <w:rPr>
          <w:sz w:val="20"/>
          <w:szCs w:val="20"/>
          <w:color w:val="auto"/>
        </w:rPr>
      </w:pPr>
    </w:p>
    <w:p>
      <w:pPr>
        <w:jc w:val="both"/>
        <w:ind w:firstLine="1304"/>
        <w:spacing w:after="0" w:line="266" w:lineRule="auto"/>
        <w:tabs>
          <w:tab w:leader="none" w:pos="1941"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for a Review. </w:t>
      </w:r>
      <w:r>
        <w:rPr>
          <w:rFonts w:ascii="Arial" w:cs="Arial" w:eastAsia="Arial" w:hAnsi="Arial"/>
          <w:sz w:val="18"/>
          <w:szCs w:val="18"/>
          <w:color w:val="auto"/>
        </w:rPr>
        <w:t>Any person (or that person’s authorized representative) for whom an application for benefits is denied,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may appeal the denial by submitting a request for a review to the Plan Administrator within 60 days after the application is denied. A request for a review shall be in writing and shall be addressed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769" w:right="339" w:bottom="1440" w:gutter="0" w:footer="0" w:header="0"/>
          <w:type w:val="continuous"/>
        </w:sectPr>
      </w:pPr>
    </w:p>
    <w:bookmarkStart w:id="125" w:name="page126"/>
    <w:bookmarkEnd w:id="125"/>
    <w:p>
      <w:pPr>
        <w:jc w:val="both"/>
        <w:ind w:firstLine="1296"/>
        <w:spacing w:after="0" w:line="293" w:lineRule="auto"/>
        <w:rPr>
          <w:sz w:val="20"/>
          <w:szCs w:val="20"/>
          <w:color w:val="auto"/>
        </w:rPr>
      </w:pPr>
      <w:r>
        <w:rPr>
          <w:rFonts w:ascii="Arial" w:cs="Arial" w:eastAsia="Arial" w:hAnsi="Arial"/>
          <w:sz w:val="16"/>
          <w:szCs w:val="16"/>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60" w:lineRule="exact"/>
        <w:rPr>
          <w:sz w:val="20"/>
          <w:szCs w:val="20"/>
          <w:color w:val="auto"/>
        </w:rPr>
      </w:pPr>
    </w:p>
    <w:p>
      <w:pPr>
        <w:jc w:val="both"/>
        <w:ind w:firstLine="1304"/>
        <w:spacing w:after="0" w:line="273" w:lineRule="auto"/>
        <w:tabs>
          <w:tab w:leader="none" w:pos="1934"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Decision on Review. </w:t>
      </w:r>
      <w:r>
        <w:rPr>
          <w:rFonts w:ascii="Arial" w:cs="Arial" w:eastAsia="Arial" w:hAnsi="Arial"/>
          <w:sz w:val="17"/>
          <w:szCs w:val="17"/>
          <w:color w:val="auto"/>
        </w:rPr>
        <w:t>The Plan Administrator will act on each request for review within 60 days after receipt of the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unless special circumstances require an extension of time (not to exceed an additional 60 days), for processing the request for a review. If an extension for review is required, written notice of the extension will be furnished to the applicant within the initial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175" w:lineRule="exact"/>
        <w:rPr>
          <w:rFonts w:ascii="Arial" w:cs="Arial" w:eastAsia="Arial" w:hAnsi="Arial"/>
          <w:sz w:val="17"/>
          <w:szCs w:val="17"/>
          <w:b w:val="1"/>
          <w:bCs w:val="1"/>
          <w:color w:val="auto"/>
        </w:rPr>
      </w:pPr>
    </w:p>
    <w:p>
      <w:pPr>
        <w:ind w:left="2600" w:hanging="567"/>
        <w:spacing w:after="0"/>
        <w:tabs>
          <w:tab w:leader="none" w:pos="260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b w:val="1"/>
          <w:bCs w:val="1"/>
          <w:color w:val="auto"/>
        </w:rPr>
      </w:pPr>
    </w:p>
    <w:p>
      <w:pPr>
        <w:ind w:left="2600" w:hanging="567"/>
        <w:spacing w:after="0"/>
        <w:tabs>
          <w:tab w:leader="none" w:pos="260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225"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a statement that the applicant is entitled to receive, upon request and free of charge, reasonable access to, and copies of, all documents, records and other information relevant to his or her claim; and</w:t>
      </w:r>
    </w:p>
    <w:p>
      <w:pPr>
        <w:spacing w:after="0" w:line="170" w:lineRule="exact"/>
        <w:rPr>
          <w:rFonts w:ascii="Arial" w:cs="Arial" w:eastAsia="Arial" w:hAnsi="Arial"/>
          <w:sz w:val="18"/>
          <w:szCs w:val="18"/>
          <w:b w:val="1"/>
          <w:bCs w:val="1"/>
          <w:color w:val="auto"/>
        </w:rPr>
      </w:pPr>
    </w:p>
    <w:p>
      <w:pPr>
        <w:ind w:left="2600" w:hanging="567"/>
        <w:spacing w:after="0"/>
        <w:tabs>
          <w:tab w:leader="none" w:pos="260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a statement of the applicant’s right to bring a civil action under Section 502(a) of ERISA.</w:t>
      </w:r>
    </w:p>
    <w:p>
      <w:pPr>
        <w:spacing w:after="0" w:line="221" w:lineRule="exact"/>
        <w:rPr>
          <w:rFonts w:ascii="Arial" w:cs="Arial" w:eastAsia="Arial" w:hAnsi="Arial"/>
          <w:sz w:val="18"/>
          <w:szCs w:val="18"/>
          <w:b w:val="1"/>
          <w:bCs w:val="1"/>
          <w:color w:val="auto"/>
        </w:rPr>
      </w:pPr>
    </w:p>
    <w:p>
      <w:pPr>
        <w:jc w:val="both"/>
        <w:ind w:firstLine="1304"/>
        <w:spacing w:after="0" w:line="289" w:lineRule="auto"/>
        <w:tabs>
          <w:tab w:leader="none" w:pos="1941"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and Procedures. </w:t>
      </w:r>
      <w:r>
        <w:rPr>
          <w:rFonts w:ascii="Arial" w:cs="Arial" w:eastAsia="Arial" w:hAnsi="Arial"/>
          <w:sz w:val="17"/>
          <w:szCs w:val="17"/>
          <w:color w:val="auto"/>
        </w:rPr>
        <w:t>The Plan Administrator will establish rules and procedures, consistent with the Plan and with ERISA, as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57" w:lineRule="exact"/>
        <w:rPr>
          <w:rFonts w:ascii="Arial" w:cs="Arial" w:eastAsia="Arial" w:hAnsi="Arial"/>
          <w:sz w:val="17"/>
          <w:szCs w:val="17"/>
          <w:b w:val="1"/>
          <w:bCs w:val="1"/>
          <w:color w:val="auto"/>
        </w:rPr>
      </w:pPr>
    </w:p>
    <w:p>
      <w:pPr>
        <w:jc w:val="both"/>
        <w:ind w:firstLine="1304"/>
        <w:spacing w:after="0" w:line="256" w:lineRule="auto"/>
        <w:tabs>
          <w:tab w:leader="none" w:pos="193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Exhaustion of Remedies. </w:t>
      </w:r>
      <w:r>
        <w:rPr>
          <w:rFonts w:ascii="Arial" w:cs="Arial" w:eastAsia="Arial" w:hAnsi="Arial"/>
          <w:sz w:val="18"/>
          <w:szCs w:val="18"/>
          <w:color w:val="auto"/>
        </w:rPr>
        <w:t>No legal action for benefits under the Plan may be brought until the applicant (i) has submitted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application for benefits in accordance with the procedures described by Section 10(a) above, (ii) has been notified by the Plan Administrator that the application is denied, (iii) has filed a written request for a review of the application in accordance with the appeal procedure described in Section 10(c) above, and (iv) has been notified that the Plan Administrator has denied the appeal. Notwithstanding the foregoing, if the Plan Administrator does not respond to an Eligible Employee’s claim or appeal within the relevant time limits specified in this Section 10, the Eligible Employee may bring legal action for benefits under the Plan pursuant to Section 502(a) of ERISA.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 BASIS OF PAYMENTS TO AND FROM PLAN.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Plan shall be unfunded, and all cash payments under the Plan shall be paid only from the general assets of the Company.</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Section 14. OTHER PLAN INFORMATION.</w:t>
      </w:r>
    </w:p>
    <w:p>
      <w:pPr>
        <w:spacing w:after="0" w:line="252" w:lineRule="exact"/>
        <w:rPr>
          <w:sz w:val="20"/>
          <w:szCs w:val="20"/>
          <w:color w:val="auto"/>
        </w:rPr>
      </w:pPr>
    </w:p>
    <w:p>
      <w:pPr>
        <w:jc w:val="both"/>
        <w:ind w:firstLine="1304"/>
        <w:spacing w:after="0" w:line="266" w:lineRule="auto"/>
        <w:tabs>
          <w:tab w:leader="none" w:pos="1938"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Employer and Plan Identification Numbers. </w:t>
      </w:r>
      <w:r>
        <w:rPr>
          <w:rFonts w:ascii="Arial" w:cs="Arial" w:eastAsia="Arial" w:hAnsi="Arial"/>
          <w:sz w:val="18"/>
          <w:szCs w:val="18"/>
          <w:color w:val="auto"/>
        </w:rPr>
        <w:t>The Employer Identification Number assigned to the Company (which is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Sponsor” as that term is used in ERISA) by the Internal Revenue Service is 26-2216351. The Plan Number assigned to the Plan by the Plan Sponsor pursuant to the instructions of the Internal Revenue Service is 502.</w:t>
      </w:r>
    </w:p>
    <w:p>
      <w:pPr>
        <w:spacing w:after="0" w:line="175" w:lineRule="exact"/>
        <w:rPr>
          <w:rFonts w:ascii="Arial" w:cs="Arial" w:eastAsia="Arial" w:hAnsi="Arial"/>
          <w:sz w:val="18"/>
          <w:szCs w:val="18"/>
          <w:b w:val="1"/>
          <w:bCs w:val="1"/>
          <w:color w:val="auto"/>
        </w:rPr>
      </w:pPr>
    </w:p>
    <w:p>
      <w:pPr>
        <w:ind w:left="1940" w:hanging="636"/>
        <w:spacing w:after="0"/>
        <w:tabs>
          <w:tab w:leader="none" w:pos="194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Ending Date for Plan’s Fiscal Year. </w:t>
      </w:r>
      <w:r>
        <w:rPr>
          <w:rFonts w:ascii="Arial" w:cs="Arial" w:eastAsia="Arial" w:hAnsi="Arial"/>
          <w:sz w:val="16"/>
          <w:szCs w:val="16"/>
          <w:color w:val="auto"/>
        </w:rPr>
        <w:t>The date of the end of the fiscal year for the purpose of maintaining the Plan’s records is</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December 31.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73" w:right="339" w:bottom="1440" w:gutter="0" w:footer="0" w:header="0"/>
        </w:sectPr>
      </w:pPr>
    </w:p>
    <w:bookmarkStart w:id="126" w:name="page127"/>
    <w:bookmarkEnd w:id="126"/>
    <w:p>
      <w:pPr>
        <w:ind w:left="1940" w:hanging="636"/>
        <w:spacing w:after="0"/>
        <w:tabs>
          <w:tab w:leader="none" w:pos="19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Service of Legal Process. </w:t>
      </w:r>
      <w:r>
        <w:rPr>
          <w:rFonts w:ascii="Arial" w:cs="Arial" w:eastAsia="Arial" w:hAnsi="Arial"/>
          <w:sz w:val="18"/>
          <w:szCs w:val="18"/>
          <w:color w:val="auto"/>
        </w:rPr>
        <w:t>The agent for the service of legal process with respect to the Plan 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addition, service of legal process may be made upon the Plan Administrator.</w:t>
      </w:r>
    </w:p>
    <w:p>
      <w:pPr>
        <w:spacing w:after="0" w:line="221" w:lineRule="exact"/>
        <w:rPr>
          <w:sz w:val="20"/>
          <w:szCs w:val="20"/>
          <w:color w:val="auto"/>
        </w:rPr>
      </w:pPr>
    </w:p>
    <w:p>
      <w:pPr>
        <w:ind w:left="1940" w:hanging="636"/>
        <w:spacing w:after="0"/>
        <w:tabs>
          <w:tab w:leader="none" w:pos="19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Sponsor. </w:t>
      </w:r>
      <w:r>
        <w:rPr>
          <w:rFonts w:ascii="Arial" w:cs="Arial" w:eastAsia="Arial" w:hAnsi="Arial"/>
          <w:sz w:val="18"/>
          <w:szCs w:val="18"/>
          <w:color w:val="auto"/>
        </w:rPr>
        <w:t>The “Plan Sponsor” 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(408) 207-0700</w:t>
      </w:r>
    </w:p>
    <w:p>
      <w:pPr>
        <w:spacing w:after="0" w:line="207" w:lineRule="exact"/>
        <w:rPr>
          <w:sz w:val="20"/>
          <w:szCs w:val="20"/>
          <w:color w:val="auto"/>
        </w:rPr>
      </w:pPr>
    </w:p>
    <w:p>
      <w:pPr>
        <w:ind w:firstLine="1304"/>
        <w:spacing w:after="0" w:line="282" w:lineRule="auto"/>
        <w:tabs>
          <w:tab w:leader="none" w:pos="1941"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Administrator. </w:t>
      </w:r>
      <w:r>
        <w:rPr>
          <w:rFonts w:ascii="Arial" w:cs="Arial" w:eastAsia="Arial" w:hAnsi="Arial"/>
          <w:sz w:val="18"/>
          <w:szCs w:val="18"/>
          <w:color w:val="auto"/>
        </w:rPr>
        <w:t>The Plan Administrator is the Committee prior to the Closing and the Representative upon and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The Plan Administrator’s contact information 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Clara, California, USA 95050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is the named fiduciary charged with the responsibility for administering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STATEMENT OF ERISA RIGHTS.</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Participants in this Plan (which is a welfare benefit plan sponsored by SI-BONE, Inc.) are entitled to certain rights and protections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ERISA. If you are an Eligible Employee, you are considered a participant in the Plan and, under ERISA, you are entitled to:</w:t>
      </w:r>
    </w:p>
    <w:p>
      <w:pPr>
        <w:spacing w:after="0" w:line="207" w:lineRule="exact"/>
        <w:rPr>
          <w:sz w:val="20"/>
          <w:szCs w:val="20"/>
          <w:color w:val="auto"/>
        </w:rPr>
      </w:pPr>
    </w:p>
    <w:p>
      <w:pPr>
        <w:ind w:left="1940" w:hanging="636"/>
        <w:spacing w:after="0"/>
        <w:tabs>
          <w:tab w:leader="none" w:pos="19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Receive Information About Your Plan and Benefits</w:t>
      </w:r>
    </w:p>
    <w:p>
      <w:pPr>
        <w:spacing w:after="0" w:line="229" w:lineRule="exact"/>
        <w:rPr>
          <w:rFonts w:ascii="Arial" w:cs="Arial" w:eastAsia="Arial" w:hAnsi="Arial"/>
          <w:sz w:val="18"/>
          <w:szCs w:val="18"/>
          <w:b w:val="1"/>
          <w:bCs w:val="1"/>
          <w:color w:val="auto"/>
        </w:rPr>
      </w:pPr>
    </w:p>
    <w:p>
      <w:pPr>
        <w:jc w:val="both"/>
        <w:ind w:left="80" w:firstLine="1953"/>
        <w:spacing w:after="0" w:line="263" w:lineRule="auto"/>
        <w:tabs>
          <w:tab w:leader="none" w:pos="2585"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83" w:lineRule="exact"/>
        <w:rPr>
          <w:rFonts w:ascii="Arial" w:cs="Arial" w:eastAsia="Arial" w:hAnsi="Arial"/>
          <w:sz w:val="18"/>
          <w:szCs w:val="18"/>
          <w:b w:val="1"/>
          <w:bCs w:val="1"/>
          <w:color w:val="auto"/>
        </w:rPr>
      </w:pPr>
    </w:p>
    <w:p>
      <w:pPr>
        <w:jc w:val="both"/>
        <w:ind w:left="80" w:firstLine="1953"/>
        <w:spacing w:after="0" w:line="263" w:lineRule="auto"/>
        <w:tabs>
          <w:tab w:leader="none" w:pos="2585"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183" w:lineRule="exact"/>
        <w:rPr>
          <w:rFonts w:ascii="Arial" w:cs="Arial" w:eastAsia="Arial" w:hAnsi="Arial"/>
          <w:sz w:val="18"/>
          <w:szCs w:val="18"/>
          <w:b w:val="1"/>
          <w:bCs w:val="1"/>
          <w:color w:val="auto"/>
        </w:rPr>
      </w:pPr>
    </w:p>
    <w:p>
      <w:pPr>
        <w:ind w:left="80" w:firstLine="1953"/>
        <w:spacing w:after="0" w:line="277" w:lineRule="auto"/>
        <w:tabs>
          <w:tab w:leader="none" w:pos="2585"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Receive a summary of the Plan’s annual financial report, if applicable. The Plan Administrator is required by law to furnish each Eligible Employee with a copy of this summary annual report.</w:t>
      </w:r>
    </w:p>
    <w:p>
      <w:pPr>
        <w:spacing w:after="0" w:line="166" w:lineRule="exact"/>
        <w:rPr>
          <w:rFonts w:ascii="Arial" w:cs="Arial" w:eastAsia="Arial" w:hAnsi="Arial"/>
          <w:sz w:val="18"/>
          <w:szCs w:val="18"/>
          <w:b w:val="1"/>
          <w:bCs w:val="1"/>
          <w:color w:val="auto"/>
        </w:rPr>
      </w:pPr>
    </w:p>
    <w:p>
      <w:pPr>
        <w:jc w:val="both"/>
        <w:ind w:firstLine="1304"/>
        <w:spacing w:after="0" w:line="303" w:lineRule="auto"/>
        <w:tabs>
          <w:tab w:leader="none" w:pos="1934"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Prudent Actions by Plan Fiduciaries. </w:t>
      </w:r>
      <w:r>
        <w:rPr>
          <w:rFonts w:ascii="Arial" w:cs="Arial" w:eastAsia="Arial" w:hAnsi="Arial"/>
          <w:sz w:val="16"/>
          <w:szCs w:val="16"/>
          <w:color w:val="auto"/>
        </w:rPr>
        <w:t>In addition to creating rights for Eligible Employees, ERISA imposes duties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 ERISA.</w:t>
      </w:r>
    </w:p>
    <w:p>
      <w:pPr>
        <w:spacing w:after="0" w:line="150" w:lineRule="exact"/>
        <w:rPr>
          <w:rFonts w:ascii="Arial" w:cs="Arial" w:eastAsia="Arial" w:hAnsi="Arial"/>
          <w:sz w:val="16"/>
          <w:szCs w:val="16"/>
          <w:b w:val="1"/>
          <w:bCs w:val="1"/>
          <w:color w:val="auto"/>
        </w:rPr>
      </w:pPr>
    </w:p>
    <w:p>
      <w:pPr>
        <w:ind w:firstLine="1304"/>
        <w:spacing w:after="0" w:line="312" w:lineRule="auto"/>
        <w:tabs>
          <w:tab w:leader="none" w:pos="1941"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 Your Rights. </w:t>
      </w:r>
      <w:r>
        <w:rPr>
          <w:rFonts w:ascii="Arial" w:cs="Arial" w:eastAsia="Arial" w:hAnsi="Arial"/>
          <w:sz w:val="17"/>
          <w:szCs w:val="17"/>
          <w:color w:val="auto"/>
        </w:rPr>
        <w:t>If your claim for a Plan benefit is denied or ignored, in whole or in part, you have a right to know why</w:t>
      </w:r>
      <w:r>
        <w:rPr>
          <w:rFonts w:ascii="Arial" w:cs="Arial" w:eastAsia="Arial" w:hAnsi="Arial"/>
          <w:sz w:val="17"/>
          <w:szCs w:val="17"/>
          <w:b w:val="1"/>
          <w:bCs w:val="1"/>
          <w:color w:val="auto"/>
        </w:rPr>
        <w:t xml:space="preserve"> </w:t>
      </w:r>
      <w:r>
        <w:rPr>
          <w:rFonts w:ascii="Arial" w:cs="Arial" w:eastAsia="Arial" w:hAnsi="Arial"/>
          <w:sz w:val="17"/>
          <w:szCs w:val="17"/>
          <w:color w:val="auto"/>
        </w:rPr>
        <w:t>this was done, to obtain copies of documents relating to the decision without charge, and to appeal any denial, all within certain time schedules.</w:t>
      </w:r>
    </w:p>
    <w:p>
      <w:pPr>
        <w:spacing w:after="0" w:line="14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769"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6"/>
          <w:szCs w:val="16"/>
          <w:color w:val="auto"/>
        </w:rPr>
        <w:t>you up to $110 a day until you receive the materials, unless the materials were not sent because of reasons beyond the control of the Plan Administrator.</w:t>
      </w:r>
    </w:p>
    <w:p>
      <w:pPr>
        <w:spacing w:after="0" w:line="248"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If you have a claim for benefits which is denied or ignored, in whole or in part, you may only file suit in a state or Federal court situated in Santa Clara County, California.</w:t>
      </w:r>
    </w:p>
    <w:p>
      <w:pPr>
        <w:spacing w:after="0" w:line="170" w:lineRule="exact"/>
        <w:rPr>
          <w:sz w:val="20"/>
          <w:szCs w:val="20"/>
          <w:color w:val="auto"/>
        </w:rPr>
      </w:pPr>
    </w:p>
    <w:p>
      <w:pPr>
        <w:jc w:val="both"/>
        <w:ind w:firstLine="1944"/>
        <w:spacing w:after="0" w:line="311" w:lineRule="auto"/>
        <w:rPr>
          <w:sz w:val="20"/>
          <w:szCs w:val="20"/>
          <w:color w:val="auto"/>
        </w:rPr>
      </w:pPr>
      <w:r>
        <w:rPr>
          <w:rFonts w:ascii="Arial" w:cs="Arial" w:eastAsia="Arial" w:hAnsi="Arial"/>
          <w:sz w:val="16"/>
          <w:szCs w:val="16"/>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45" w:lineRule="exact"/>
        <w:rPr>
          <w:sz w:val="20"/>
          <w:szCs w:val="20"/>
          <w:color w:val="auto"/>
        </w:rPr>
      </w:pPr>
    </w:p>
    <w:p>
      <w:pPr>
        <w:jc w:val="both"/>
        <w:ind w:firstLine="1304"/>
        <w:spacing w:after="0" w:line="256" w:lineRule="auto"/>
        <w:tabs>
          <w:tab w:leader="none" w:pos="193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Assistance with Your Questions. </w:t>
      </w:r>
      <w:r>
        <w:rPr>
          <w:rFonts w:ascii="Arial" w:cs="Arial" w:eastAsia="Arial" w:hAnsi="Arial"/>
          <w:sz w:val="18"/>
          <w:szCs w:val="18"/>
          <w:color w:val="auto"/>
        </w:rPr>
        <w:t>If you have any questions about the Plan, you should contact the Plan Administrator. If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73"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Agreement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Name:</w:t>
        <w:tab/>
        <w:t>___________________</w:t>
      </w:r>
    </w:p>
    <w:p>
      <w:pPr>
        <w:spacing w:after="0" w:line="200" w:lineRule="exact"/>
        <w:rPr>
          <w:sz w:val="20"/>
          <w:szCs w:val="20"/>
          <w:color w:val="auto"/>
        </w:rPr>
      </w:pPr>
    </w:p>
    <w:p>
      <w:pPr>
        <w:spacing w:after="0" w:line="3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1.</w:t>
        <w:tab/>
        <w:t>ELIGIBILITY.</w:t>
      </w:r>
    </w:p>
    <w:p>
      <w:pPr>
        <w:spacing w:after="0" w:line="108"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7"/>
          <w:szCs w:val="17"/>
          <w:color w:val="auto"/>
        </w:rPr>
        <w:t>You have been designated as eligible to participate in the SI-BONE, Inc. Severance Benefit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 copy of which is attached to this Participation Agreement (the “</w:t>
      </w:r>
      <w:r>
        <w:rPr>
          <w:rFonts w:ascii="Arial" w:cs="Arial" w:eastAsia="Arial" w:hAnsi="Arial"/>
          <w:sz w:val="17"/>
          <w:szCs w:val="17"/>
          <w:b w:val="1"/>
          <w:bCs w:val="1"/>
          <w:i w:val="1"/>
          <w:iCs w:val="1"/>
          <w:color w:val="auto"/>
        </w:rPr>
        <w:t>Participation Agreement</w:t>
      </w:r>
      <w:r>
        <w:rPr>
          <w:rFonts w:ascii="Arial" w:cs="Arial" w:eastAsia="Arial" w:hAnsi="Arial"/>
          <w:sz w:val="17"/>
          <w:szCs w:val="17"/>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including, without limitation, timely executing a Release for benefit of the Company and allowing such Release to become effective in accordance with its terms. Notwithstanding the schedule for provision of benefits set forth below, the schedule and timing of payment of any benefits under this Participant Agreement is subject to any delay in payment that may be required under Section 5 of the Plan.</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Section 2.</w:t>
        <w:tab/>
        <w:t>CHANGE IN CONTROL SEVERANCE BENEFITS.</w:t>
      </w:r>
    </w:p>
    <w:p>
      <w:pPr>
        <w:spacing w:after="0" w:line="104" w:lineRule="exact"/>
        <w:rPr>
          <w:sz w:val="20"/>
          <w:szCs w:val="20"/>
          <w:color w:val="auto"/>
        </w:rPr>
      </w:pPr>
    </w:p>
    <w:p>
      <w:pPr>
        <w:jc w:val="both"/>
        <w:ind w:firstLine="1134"/>
        <w:spacing w:after="0" w:line="249"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You will receive the severance benefits set forth in this Section 2 in the event of either: (i) a Covered Termination occurring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Change in Control Period, or (ii) the Closing of a Change in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you agree to provide transition services for a period of up to six months (if the Company or its successor offers such transition services at a level of compensation no lower than the annual base salary you received prior to such Change in Control (pro-rated for any reduction in time commitment or work effort, based on a 40 hour work week, allowed by such transition consulting arrangement), without taking into account any prior reduction in compensation that would, itself, give rise to a Good Reason termination)</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[If you are terminated in a Covered Termination that occurs during the Change in Control Period, you will receive the severance benefits set forth in this Section 2.]</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All severance benefits described herein are subject to standard deductions and withholdings.</w:t>
      </w:r>
    </w:p>
    <w:p>
      <w:pPr>
        <w:spacing w:after="0" w:line="189" w:lineRule="exact"/>
        <w:rPr>
          <w:sz w:val="20"/>
          <w:szCs w:val="20"/>
          <w:color w:val="auto"/>
        </w:rPr>
      </w:pPr>
    </w:p>
    <w:p>
      <w:pPr>
        <w:jc w:val="both"/>
        <w:ind w:firstLine="1304"/>
        <w:spacing w:after="0" w:line="239" w:lineRule="auto"/>
        <w:tabs>
          <w:tab w:leader="none" w:pos="1938"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 shall receive a cash payment in an amount equal to [______]</w:t>
      </w:r>
      <w:r>
        <w:rPr>
          <w:rFonts w:ascii="Arial" w:cs="Arial" w:eastAsia="Arial" w:hAnsi="Arial"/>
          <w:sz w:val="23"/>
          <w:szCs w:val="23"/>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months (the “</w:t>
      </w:r>
      <w:r>
        <w:rPr>
          <w:rFonts w:ascii="Arial" w:cs="Arial" w:eastAsia="Arial" w:hAnsi="Arial"/>
          <w:sz w:val="18"/>
          <w:szCs w:val="18"/>
          <w:b w:val="1"/>
          <w:bCs w:val="1"/>
          <w:i w:val="1"/>
          <w:iCs w:val="1"/>
          <w:color w:val="auto"/>
        </w:rPr>
        <w:t>Severance Period</w:t>
      </w:r>
      <w:r>
        <w:rPr>
          <w:rFonts w:ascii="Arial" w:cs="Arial" w:eastAsia="Arial" w:hAnsi="Arial"/>
          <w:sz w:val="18"/>
          <w:szCs w:val="18"/>
          <w:color w:val="auto"/>
        </w:rPr>
        <w:t>”) of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Base Salary. The Base Salary payment will be paid to you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198" w:lineRule="exact"/>
        <w:rPr>
          <w:rFonts w:ascii="Arial" w:cs="Arial" w:eastAsia="Arial" w:hAnsi="Arial"/>
          <w:sz w:val="18"/>
          <w:szCs w:val="18"/>
          <w:b w:val="1"/>
          <w:bCs w:val="1"/>
          <w:color w:val="auto"/>
        </w:rPr>
      </w:pPr>
    </w:p>
    <w:p>
      <w:pPr>
        <w:jc w:val="both"/>
        <w:ind w:firstLine="1304"/>
        <w:spacing w:after="0" w:line="262" w:lineRule="auto"/>
        <w:tabs>
          <w:tab w:leader="none" w:pos="1934"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Bonus Payment</w:t>
      </w:r>
      <w:r>
        <w:rPr>
          <w:rFonts w:ascii="Arial" w:cs="Arial" w:eastAsia="Arial" w:hAnsi="Arial"/>
          <w:sz w:val="17"/>
          <w:szCs w:val="17"/>
          <w:color w:val="auto"/>
        </w:rPr>
        <w:t>. You will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one and one-half (1.5) times</w:t>
      </w: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4</w:t>
      </w:r>
      <w:r>
        <w:rPr>
          <w:rFonts w:ascii="Arial" w:cs="Arial" w:eastAsia="Arial" w:hAnsi="Arial"/>
          <w:sz w:val="17"/>
          <w:szCs w:val="17"/>
          <w:b w:val="1"/>
          <w:bCs w:val="1"/>
          <w:color w:val="auto"/>
        </w:rPr>
        <w:t xml:space="preserve"> </w:t>
      </w:r>
      <w:r>
        <w:rPr>
          <w:rFonts w:ascii="Arial" w:cs="Arial" w:eastAsia="Arial" w:hAnsi="Arial"/>
          <w:sz w:val="17"/>
          <w:szCs w:val="17"/>
          <w:color w:val="auto"/>
        </w:rPr>
        <w:t>the annual target cash bonus established for you,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annual performance bonus or annual variable compensation plan established by the Board of Directors or Committee (or any authorized committee or designee thereof) for the year in which your Covered Termination occurs. If at the time of the Covered Termination you are eligible for the annual target cash bonus for the year in which the Covered Termination occurs, but the target percentage (or target dollar amount, if specified as such in the applicable bonus plan) for such bonus has not yet been established for such year, the target percentage shall be the target percentage established for you for the preceding year (but adjusted, if necessary for your position for the year in which the Covered Termination occurs). For the avoidance of doubt, the amount of the annual target bonus to which you are entitled under this Section 2(b) will be calculated (1) assuming all articulated performance goals for such bonus (including, but not limited to, corporate and individual performance, if applicable), for the year of the Covered Termination were achieved at target levels; (2) as if you had provided services for the entire year for which the bonus relates; and (3) ignoring any reduction in your Base Salary that would give rise to your right to resignation for Good Reason (such bonus to which you are entitled under this Section 2(b), the “</w:t>
      </w:r>
      <w:r>
        <w:rPr>
          <w:rFonts w:ascii="Arial" w:cs="Arial" w:eastAsia="Arial" w:hAnsi="Arial"/>
          <w:sz w:val="17"/>
          <w:szCs w:val="17"/>
          <w:b w:val="1"/>
          <w:bCs w:val="1"/>
          <w:i w:val="1"/>
          <w:iCs w:val="1"/>
          <w:color w:val="auto"/>
        </w:rPr>
        <w:t>Annual Target Bonus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Severance Payment</w:t>
      </w:r>
      <w:r>
        <w:rPr>
          <w:rFonts w:ascii="Arial" w:cs="Arial" w:eastAsia="Arial" w:hAnsi="Arial"/>
          <w:sz w:val="17"/>
          <w:szCs w:val="17"/>
          <w:color w:val="auto"/>
        </w:rPr>
        <w:t>”). The Annual Target Bonus Severance Payment shall be paid in a lump sum cash payment no later than the second regular payroll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following the later of (i) the effective date of the Release or (ii) the Closing, but in any event not later than March 15 of the year following the year in which your Separation from Service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6" w:lineRule="exact"/>
        <w:rPr>
          <w:sz w:val="20"/>
          <w:szCs w:val="20"/>
          <w:color w:val="auto"/>
        </w:rPr>
      </w:pPr>
    </w:p>
    <w:p>
      <w:pPr>
        <w:ind w:left="140" w:hanging="132"/>
        <w:spacing w:after="0"/>
        <w:tabs>
          <w:tab w:leader="none" w:pos="140" w:val="left"/>
        </w:tabs>
        <w:numPr>
          <w:ilvl w:val="0"/>
          <w:numId w:val="83"/>
        </w:numPr>
        <w:rPr>
          <w:rFonts w:ascii="Arial" w:cs="Arial" w:eastAsia="Arial" w:hAnsi="Arial"/>
          <w:sz w:val="28"/>
          <w:szCs w:val="28"/>
          <w:color w:val="auto"/>
          <w:vertAlign w:val="superscript"/>
        </w:rPr>
      </w:pPr>
      <w:r>
        <w:rPr>
          <w:rFonts w:ascii="Arial" w:cs="Arial" w:eastAsia="Arial" w:hAnsi="Arial"/>
          <w:sz w:val="14"/>
          <w:szCs w:val="14"/>
          <w:color w:val="auto"/>
        </w:rPr>
        <w:t>Option 1 for chief executive officer only.</w:t>
      </w:r>
    </w:p>
    <w:p>
      <w:pPr>
        <w:spacing w:after="0" w:line="86" w:lineRule="exact"/>
        <w:rPr>
          <w:rFonts w:ascii="Arial" w:cs="Arial" w:eastAsia="Arial" w:hAnsi="Arial"/>
          <w:sz w:val="28"/>
          <w:szCs w:val="28"/>
          <w:color w:val="auto"/>
          <w:vertAlign w:val="superscript"/>
        </w:rPr>
      </w:pPr>
    </w:p>
    <w:p>
      <w:pPr>
        <w:spacing w:after="0" w:line="191"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4"/>
          <w:szCs w:val="14"/>
          <w:color w:val="auto"/>
        </w:rPr>
        <w:t xml:space="preserve"> Option 2 for all other executive officers.</w:t>
      </w:r>
    </w:p>
    <w:p>
      <w:pPr>
        <w:ind w:right="5780"/>
        <w:spacing w:after="0" w:line="203"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3</w:t>
      </w:r>
      <w:r>
        <w:rPr>
          <w:rFonts w:ascii="Arial" w:cs="Arial" w:eastAsia="Arial" w:hAnsi="Arial"/>
          <w:sz w:val="14"/>
          <w:szCs w:val="14"/>
          <w:color w:val="auto"/>
        </w:rPr>
        <w:t xml:space="preserve"> Insert 24 months for chief executive officer only, and 12 months for other executive officers. </w:t>
      </w:r>
      <w:r>
        <w:rPr>
          <w:rFonts w:ascii="Arial" w:cs="Arial" w:eastAsia="Arial" w:hAnsi="Arial"/>
          <w:sz w:val="28"/>
          <w:szCs w:val="28"/>
          <w:color w:val="auto"/>
          <w:vertAlign w:val="superscript"/>
        </w:rPr>
        <w:t>4</w:t>
      </w:r>
      <w:r>
        <w:rPr>
          <w:rFonts w:ascii="Arial" w:cs="Arial" w:eastAsia="Arial" w:hAnsi="Arial"/>
          <w:sz w:val="14"/>
          <w:szCs w:val="14"/>
          <w:color w:val="auto"/>
        </w:rPr>
        <w:t xml:space="preserve"> 1.5x target bonus is for the chief executive officer only.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129" w:name="page130"/>
    <w:bookmarkEnd w:id="129"/>
    <w:p>
      <w:pPr>
        <w:jc w:val="both"/>
        <w:ind w:firstLine="1304"/>
        <w:spacing w:after="0" w:line="269" w:lineRule="auto"/>
        <w:tabs>
          <w:tab w:leader="none" w:pos="1941"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Payment of Continued Group Health Plan Benefits</w:t>
      </w:r>
      <w:r>
        <w:rPr>
          <w:rFonts w:ascii="Arial" w:cs="Arial" w:eastAsia="Arial" w:hAnsi="Arial"/>
          <w:sz w:val="17"/>
          <w:szCs w:val="17"/>
          <w:color w:val="auto"/>
        </w:rPr>
        <w:t>. If you timely elect continued group health plan coverage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Omnibus Budget Reconciliation Act of 1985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following your Covered Termination date, the Company shall pay directly to the carrier the full amount of your COBRA premiums on behalf of you for your continued coverage under the Company’s group health plans, including coverage for your eligible dependents, until the earliest of (i) the end of the Severance Period following the date of your Covered Termination, (ii) 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 Period</w:t>
      </w:r>
      <w:r>
        <w:rPr>
          <w:rFonts w:ascii="Arial" w:cs="Arial" w:eastAsia="Arial" w:hAnsi="Arial"/>
          <w:sz w:val="17"/>
          <w:szCs w:val="17"/>
          <w:color w:val="auto"/>
        </w:rPr>
        <w:t>”). Upon the conclusion of such period of insurance premium payments made by the Company, you will be responsible for the entire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shall not include any amounts payable by you under an Internal Revenue Code Section 125 health care reimbursement plan, which amounts, if any, are your sole responsibility. You agree to promptly notify the Company as soon as you become eligible for health insurance coverage in connection with new employment or self-employment.</w:t>
      </w:r>
    </w:p>
    <w:p>
      <w:pPr>
        <w:spacing w:after="0" w:line="18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Arial" w:cs="Arial" w:eastAsia="Arial" w:hAnsi="Arial"/>
          <w:sz w:val="16"/>
          <w:szCs w:val="16"/>
          <w:b w:val="1"/>
          <w:bCs w:val="1"/>
          <w:i w:val="1"/>
          <w:iCs w:val="1"/>
          <w:color w:val="auto"/>
        </w:rPr>
        <w:t>Special Severance Payment</w:t>
      </w:r>
      <w:r>
        <w:rPr>
          <w:rFonts w:ascii="Arial" w:cs="Arial" w:eastAsia="Arial" w:hAnsi="Arial"/>
          <w:sz w:val="16"/>
          <w:szCs w:val="16"/>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162" w:lineRule="exact"/>
        <w:rPr>
          <w:sz w:val="20"/>
          <w:szCs w:val="20"/>
          <w:color w:val="auto"/>
        </w:rPr>
      </w:pPr>
    </w:p>
    <w:p>
      <w:pPr>
        <w:jc w:val="both"/>
        <w:ind w:firstLine="1304"/>
        <w:spacing w:after="0" w:line="289" w:lineRule="auto"/>
        <w:tabs>
          <w:tab w:leader="none" w:pos="1934"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Equity Acceleration</w:t>
      </w:r>
      <w:r>
        <w:rPr>
          <w:rFonts w:ascii="Arial" w:cs="Arial" w:eastAsia="Arial" w:hAnsi="Arial"/>
          <w:sz w:val="16"/>
          <w:szCs w:val="16"/>
          <w:color w:val="auto"/>
        </w:rPr>
        <w:t>. The vesting and exercisability of each outstanding unvested stock option and other stock award,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that you hold covering Company common stock (each, an “</w:t>
      </w:r>
      <w:r>
        <w:rPr>
          <w:rFonts w:ascii="Arial" w:cs="Arial" w:eastAsia="Arial" w:hAnsi="Arial"/>
          <w:sz w:val="16"/>
          <w:szCs w:val="16"/>
          <w:b w:val="1"/>
          <w:bCs w:val="1"/>
          <w:i w:val="1"/>
          <w:iCs w:val="1"/>
          <w:color w:val="auto"/>
        </w:rPr>
        <w:t>Equity Award</w:t>
      </w:r>
      <w:r>
        <w:rPr>
          <w:rFonts w:ascii="Arial" w:cs="Arial" w:eastAsia="Arial" w:hAnsi="Arial"/>
          <w:sz w:val="16"/>
          <w:szCs w:val="16"/>
          <w:color w:val="auto"/>
        </w:rPr>
        <w:t>”) shall be accelerated in full and any reacquisition or repurchase rights held by the Company in respect of common stock issued pursuant to any Equity Award granted to you shall lapse in full. For purposes of determining the number of shares that will vest pursuant to the foregoing provision with respect to any performance based vesting Equity Award for which the performance period has not ended and that has multiple vesting levels depending upon the level of performance, vesting acceleration with respect to any ongoing performance period(s) shall occur with respect to the number of shares subject to the award as if the applicable performance criteria had been attained at a 100% level or, if greater, based on actual performance as of the termination of your Continuous Service to the Company. Notwithstanding anything to the contrary set forth herein, your Equity Awards shall remain subject to the terms of the Equity Plan (or other applicable Company plan) and award documents under which such Equity Award was granted, including any provision for earlier termination of such Equity Awards.</w:t>
      </w:r>
    </w:p>
    <w:p>
      <w:pPr>
        <w:spacing w:after="0" w:line="166" w:lineRule="exact"/>
        <w:rPr>
          <w:rFonts w:ascii="Arial" w:cs="Arial" w:eastAsia="Arial" w:hAnsi="Arial"/>
          <w:sz w:val="16"/>
          <w:szCs w:val="16"/>
          <w:b w:val="1"/>
          <w:bCs w:val="1"/>
          <w:color w:val="auto"/>
        </w:rPr>
      </w:pPr>
    </w:p>
    <w:p>
      <w:pPr>
        <w:jc w:val="both"/>
        <w:ind w:firstLine="1304"/>
        <w:spacing w:after="0" w:line="258" w:lineRule="auto"/>
        <w:tabs>
          <w:tab w:leader="none" w:pos="1941"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Post-Termination Exercise Period</w:t>
      </w:r>
      <w:r>
        <w:rPr>
          <w:rFonts w:ascii="Arial" w:cs="Arial" w:eastAsia="Arial" w:hAnsi="Arial"/>
          <w:sz w:val="18"/>
          <w:szCs w:val="18"/>
          <w:color w:val="auto"/>
        </w:rPr>
        <w:t>. All outstanding Equity Awards which carry a right to exercise that you hold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of your Covered Termination will expire on the earlier of (A) the original term of such outstanding Equity Awards as set forth in the applicable award agreement or the equity incentive plan, subject to earlier termination in the event of a Change in Control as set forth in the terms of the applicable equity incentive plan and definitive agreement for such Change in Control transaction, and (B) the date which occurs on the second anniversary of termination of your Continuous Service to the Company.</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3. NON-CHANGE IN CONTROL SEVERANCE BENEFITS. </w:t>
      </w:r>
      <w:r>
        <w:rPr>
          <w:rFonts w:ascii="Arial" w:cs="Arial" w:eastAsia="Arial" w:hAnsi="Arial"/>
          <w:sz w:val="18"/>
          <w:szCs w:val="18"/>
          <w:color w:val="auto"/>
        </w:rPr>
        <w:t>If your employment is terminated by the Company without Cause that occurs</w:t>
      </w:r>
      <w:r>
        <w:rPr>
          <w:rFonts w:ascii="Arial" w:cs="Arial" w:eastAsia="Arial" w:hAnsi="Arial"/>
          <w:sz w:val="18"/>
          <w:szCs w:val="18"/>
          <w:b w:val="1"/>
          <w:bCs w:val="1"/>
          <w:color w:val="auto"/>
        </w:rPr>
        <w:t xml:space="preserve"> </w:t>
      </w:r>
      <w:r>
        <w:rPr>
          <w:rFonts w:ascii="Arial" w:cs="Arial" w:eastAsia="Arial" w:hAnsi="Arial"/>
          <w:sz w:val="18"/>
          <w:szCs w:val="18"/>
          <w:color w:val="auto"/>
        </w:rPr>
        <w:t>at a time that is not during the Change in Control Period, you will receive:</w:t>
      </w:r>
    </w:p>
    <w:p>
      <w:pPr>
        <w:spacing w:after="0" w:line="193" w:lineRule="exact"/>
        <w:rPr>
          <w:sz w:val="20"/>
          <w:szCs w:val="20"/>
          <w:color w:val="auto"/>
        </w:rPr>
      </w:pPr>
    </w:p>
    <w:p>
      <w:pPr>
        <w:ind w:right="20" w:firstLine="1304"/>
        <w:spacing w:after="0" w:line="277" w:lineRule="auto"/>
        <w:tabs>
          <w:tab w:leader="none" w:pos="1938"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the base salary cash payment described in Section 2(a) above, but the Severance Period for purposes of calculating such benefits shall be twelve (12) months; and</w:t>
      </w:r>
    </w:p>
    <w:p>
      <w:pPr>
        <w:spacing w:after="0" w:line="170" w:lineRule="exact"/>
        <w:rPr>
          <w:rFonts w:ascii="Arial" w:cs="Arial" w:eastAsia="Arial" w:hAnsi="Arial"/>
          <w:sz w:val="18"/>
          <w:szCs w:val="18"/>
          <w:b w:val="1"/>
          <w:bCs w:val="1"/>
          <w:color w:val="auto"/>
        </w:rPr>
      </w:pPr>
    </w:p>
    <w:p>
      <w:pPr>
        <w:ind w:left="1940" w:hanging="636"/>
        <w:spacing w:after="0"/>
        <w:tabs>
          <w:tab w:leader="none" w:pos="1940"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the COBRA benefits described in Section 2(c) above, but the Severance Period for purposes of calculating such benefits shall be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twelve (12)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shall not be eligible to receive any other benefits under the Plan except as described in Section 3(a) and Section 3(b) above.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avoidance of doubt, 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69" w:right="339" w:bottom="1440" w:gutter="0" w:footer="0" w:header="0"/>
        </w:sectPr>
      </w:pPr>
    </w:p>
    <w:bookmarkStart w:id="130" w:name="page131"/>
    <w:bookmarkEnd w:id="130"/>
    <w:p>
      <w:pPr>
        <w:ind w:left="340"/>
        <w:spacing w:after="0"/>
        <w:tabs>
          <w:tab w:leader="none" w:pos="1220" w:val="left"/>
        </w:tabs>
        <w:rPr>
          <w:sz w:val="20"/>
          <w:szCs w:val="20"/>
          <w:color w:val="auto"/>
        </w:rPr>
      </w:pPr>
      <w:r>
        <w:rPr>
          <w:rFonts w:ascii="Arial" w:cs="Arial" w:eastAsia="Arial" w:hAnsi="Arial"/>
          <w:sz w:val="18"/>
          <w:szCs w:val="18"/>
          <w:b w:val="1"/>
          <w:bCs w:val="1"/>
          <w:color w:val="auto"/>
        </w:rPr>
        <w:t>Section 4.</w:t>
        <w:tab/>
        <w:t>ACKNOWLEDGEMENTS.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condition to participation in the Plan, you hereby acknowledge each of the following:</w:t>
      </w:r>
    </w:p>
    <w:p>
      <w:pPr>
        <w:spacing w:after="0" w:line="252" w:lineRule="exact"/>
        <w:rPr>
          <w:sz w:val="20"/>
          <w:szCs w:val="20"/>
          <w:color w:val="auto"/>
        </w:rPr>
      </w:pPr>
    </w:p>
    <w:p>
      <w:pPr>
        <w:ind w:firstLine="1304"/>
        <w:spacing w:after="0" w:line="277" w:lineRule="auto"/>
        <w:tabs>
          <w:tab w:leader="none" w:pos="1938"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The benefits that may be provided to you under this Participation Agreement are subject to certain reductions and termination under Section 2 and Section 3 of the Plan.</w:t>
      </w:r>
    </w:p>
    <w:p>
      <w:pPr>
        <w:spacing w:after="0" w:line="170" w:lineRule="exact"/>
        <w:rPr>
          <w:rFonts w:ascii="Arial" w:cs="Arial" w:eastAsia="Arial" w:hAnsi="Arial"/>
          <w:sz w:val="18"/>
          <w:szCs w:val="18"/>
          <w:b w:val="1"/>
          <w:bCs w:val="1"/>
          <w:color w:val="auto"/>
        </w:rPr>
      </w:pPr>
    </w:p>
    <w:p>
      <w:pPr>
        <w:jc w:val="both"/>
        <w:ind w:firstLine="1304"/>
        <w:spacing w:after="0" w:line="259" w:lineRule="auto"/>
        <w:tabs>
          <w:tab w:leader="none" w:pos="1934"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w:t>
      </w:r>
    </w:p>
    <w:p>
      <w:pPr>
        <w:spacing w:after="0" w:line="186" w:lineRule="exact"/>
        <w:rPr>
          <w:rFonts w:ascii="Arial" w:cs="Arial" w:eastAsia="Arial" w:hAnsi="Arial"/>
          <w:sz w:val="18"/>
          <w:szCs w:val="18"/>
          <w:b w:val="1"/>
          <w:bCs w:val="1"/>
          <w:color w:val="auto"/>
        </w:rPr>
      </w:pPr>
    </w:p>
    <w:p>
      <w:pPr>
        <w:ind w:right="20" w:firstLine="1304"/>
        <w:spacing w:after="0" w:line="277" w:lineRule="auto"/>
        <w:tabs>
          <w:tab w:leader="none" w:pos="1941"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As further described in Section 2(c) of the Plan, this Participation Agreement and the Plan supersede and replace any change in control or severance benefits previously provided to you and by executing below you expressly agree to such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accept the terms of this Participation Agreement and participate in the Plan, please sign and date this Agreement in the space provided below and return it to Timothy E. Davis no later than July ____,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4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Chairman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143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-10160</wp:posOffset>
            </wp:positionV>
            <wp:extent cx="1428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12" w:right="339" w:bottom="1440" w:gutter="0" w:footer="0" w:header="0"/>
        </w:sectPr>
      </w:pPr>
    </w:p>
    <w:bookmarkStart w:id="131" w:name="page132"/>
    <w:bookmarkEnd w:id="131"/>
    <w:p>
      <w:pPr>
        <w:ind w:left="5280"/>
        <w:spacing w:after="0"/>
        <w:rPr>
          <w:sz w:val="20"/>
          <w:szCs w:val="20"/>
          <w:color w:val="auto"/>
        </w:rPr>
      </w:pPr>
      <w:r>
        <w:rPr>
          <w:rFonts w:ascii="Arial" w:cs="Arial" w:eastAsia="Arial" w:hAnsi="Arial"/>
          <w:sz w:val="18"/>
          <w:szCs w:val="18"/>
          <w:b w:val="1"/>
          <w:bCs w:val="1"/>
          <w:color w:val="auto"/>
        </w:rPr>
        <w:t>Schedule</w:t>
      </w:r>
    </w:p>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2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Executive Officer</w:t>
            </w:r>
          </w:p>
        </w:tc>
        <w:tc>
          <w:tcPr>
            <w:tcW w:w="1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Base Pay</w:t>
            </w:r>
          </w:p>
        </w:tc>
        <w:tc>
          <w:tcPr>
            <w:tcW w:w="22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Bonus</w:t>
            </w:r>
          </w:p>
        </w:tc>
        <w:tc>
          <w:tcPr>
            <w:tcW w:w="15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5"/>
              </w:rPr>
              <w:t>COBRA Coverage</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Equity Awards</w:t>
            </w:r>
          </w:p>
        </w:tc>
      </w:tr>
      <w:tr>
        <w:trPr>
          <w:trHeight w:val="215"/>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Dunn</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24 months base salary</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1.5 times annual target cash</w:t>
            </w:r>
          </w:p>
        </w:tc>
        <w:tc>
          <w:tcPr>
            <w:tcW w:w="1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24 months</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Full acceleration of vesting of</w:t>
            </w:r>
          </w:p>
        </w:tc>
      </w:tr>
      <w:tr>
        <w:trPr>
          <w:trHeight w:val="230"/>
        </w:trPr>
        <w:tc>
          <w:tcPr>
            <w:tcW w:w="224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bonus</w:t>
            </w:r>
          </w:p>
        </w:tc>
        <w:tc>
          <w:tcPr>
            <w:tcW w:w="15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all equity awards</w:t>
            </w:r>
          </w:p>
        </w:tc>
      </w:tr>
      <w:tr>
        <w:trPr>
          <w:trHeight w:val="257"/>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r>
      <w:tr>
        <w:trPr>
          <w:trHeight w:val="209"/>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Laura Francis</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12 months base salary</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Then current annual target</w:t>
            </w:r>
          </w:p>
        </w:tc>
        <w:tc>
          <w:tcPr>
            <w:tcW w:w="1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 months</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Full acceleration of vesting of</w:t>
            </w:r>
          </w:p>
        </w:tc>
      </w:tr>
      <w:tr>
        <w:trPr>
          <w:trHeight w:val="230"/>
        </w:trPr>
        <w:tc>
          <w:tcPr>
            <w:tcW w:w="224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cash bonus</w:t>
            </w:r>
          </w:p>
        </w:tc>
        <w:tc>
          <w:tcPr>
            <w:tcW w:w="15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all equity awards</w:t>
            </w:r>
          </w:p>
        </w:tc>
      </w:tr>
      <w:tr>
        <w:trPr>
          <w:trHeight w:val="54"/>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09"/>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Anthony Recupero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12 months base salary</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Then current annual target</w:t>
            </w:r>
          </w:p>
        </w:tc>
        <w:tc>
          <w:tcPr>
            <w:tcW w:w="1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 months</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Full acceleration of vesting of</w:t>
            </w:r>
          </w:p>
        </w:tc>
      </w:tr>
      <w:tr>
        <w:trPr>
          <w:trHeight w:val="230"/>
        </w:trPr>
        <w:tc>
          <w:tcPr>
            <w:tcW w:w="224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cash bonus</w:t>
            </w:r>
          </w:p>
        </w:tc>
        <w:tc>
          <w:tcPr>
            <w:tcW w:w="15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all equity awards</w:t>
            </w:r>
          </w:p>
        </w:tc>
      </w:tr>
      <w:tr>
        <w:trPr>
          <w:trHeight w:val="54"/>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r>
        <w:trPr>
          <w:trHeight w:val="209"/>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Pisetsky</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12 months base salary</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Then current annual target</w:t>
            </w:r>
          </w:p>
        </w:tc>
        <w:tc>
          <w:tcPr>
            <w:tcW w:w="1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 months</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Full acceleration of vesting of</w:t>
            </w:r>
          </w:p>
        </w:tc>
      </w:tr>
      <w:tr>
        <w:trPr>
          <w:trHeight w:val="230"/>
        </w:trPr>
        <w:tc>
          <w:tcPr>
            <w:tcW w:w="224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cash bonus</w:t>
            </w:r>
          </w:p>
        </w:tc>
        <w:tc>
          <w:tcPr>
            <w:tcW w:w="15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all equity awards</w:t>
            </w:r>
          </w:p>
        </w:tc>
      </w:tr>
      <w:tr>
        <w:trPr>
          <w:trHeight w:val="54"/>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1417"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5860" w:type="dxa"/>
            <w:vAlign w:val="bottom"/>
            <w:gridSpan w:val="3"/>
          </w:tcPr>
          <w:p>
            <w:pPr>
              <w:ind w:left="220"/>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39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17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r>
      <w:tr>
        <w:trPr>
          <w:trHeight w:val="254"/>
        </w:trPr>
        <w:tc>
          <w:tcPr>
            <w:tcW w:w="2640" w:type="dxa"/>
            <w:vAlign w:val="bottom"/>
          </w:tcPr>
          <w:p>
            <w:pPr>
              <w:spacing w:after="0"/>
              <w:rPr>
                <w:sz w:val="20"/>
                <w:szCs w:val="20"/>
                <w:color w:val="auto"/>
              </w:rPr>
            </w:pPr>
            <w:r>
              <w:rPr>
                <w:rFonts w:ascii="Arial" w:cs="Arial" w:eastAsia="Arial" w:hAnsi="Arial"/>
                <w:sz w:val="20"/>
                <w:szCs w:val="20"/>
                <w:color w:val="auto"/>
              </w:rPr>
              <w:t>SI-BONE S.R.L.</w:t>
            </w:r>
          </w:p>
        </w:tc>
        <w:tc>
          <w:tcPr>
            <w:tcW w:w="1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2640" w:type="dxa"/>
            <w:vAlign w:val="bottom"/>
          </w:tcPr>
          <w:p>
            <w:pPr>
              <w:spacing w:after="0"/>
              <w:rPr>
                <w:sz w:val="20"/>
                <w:szCs w:val="20"/>
                <w:color w:val="auto"/>
              </w:rPr>
            </w:pPr>
            <w:r>
              <w:rPr>
                <w:rFonts w:ascii="Arial" w:cs="Arial" w:eastAsia="Arial" w:hAnsi="Arial"/>
                <w:sz w:val="20"/>
                <w:szCs w:val="20"/>
                <w:color w:val="auto"/>
                <w:w w:val="99"/>
              </w:rPr>
              <w:t>SI-BONE Deutschland GmbH</w:t>
            </w:r>
          </w:p>
        </w:tc>
        <w:tc>
          <w:tcPr>
            <w:tcW w:w="1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2640" w:type="dxa"/>
            <w:vAlign w:val="bottom"/>
          </w:tcPr>
          <w:p>
            <w:pPr>
              <w:spacing w:after="0"/>
              <w:rPr>
                <w:sz w:val="20"/>
                <w:szCs w:val="20"/>
                <w:color w:val="auto"/>
              </w:rPr>
            </w:pPr>
            <w:r>
              <w:rPr>
                <w:rFonts w:ascii="Arial" w:cs="Arial" w:eastAsia="Arial" w:hAnsi="Arial"/>
                <w:sz w:val="20"/>
                <w:szCs w:val="20"/>
                <w:color w:val="auto"/>
              </w:rPr>
              <w:t>SI-BONE UK LTD</w:t>
            </w:r>
          </w:p>
        </w:tc>
        <w:tc>
          <w:tcPr>
            <w:tcW w:w="1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120"/>
          </w:cols>
          <w:pgMar w:left="1440" w:top="769"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333-235714) and Form S-8 (Nos. 333-227907, 333-230473 and 333-237091) of SI-BONE, Inc. of our report dated March 10, 2021 relating to the financial statements, which appears in this Form 10-K.</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ectPr>
          <w:pgSz w:w="11900" w:h="16838" w:orient="portrait"/>
          <w:cols w:equalWidth="0" w:num="1">
            <w:col w:w="11240"/>
          </w:cols>
          <w:pgMar w:left="320" w:top="769"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25"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Form 10-K of SI-BONE,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740" w:hanging="408"/>
        <w:spacing w:after="0" w:line="263" w:lineRule="auto"/>
        <w:tabs>
          <w:tab w:leader="none" w:pos="731"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740" w:hanging="408"/>
        <w:spacing w:after="0" w:line="263" w:lineRule="auto"/>
        <w:tabs>
          <w:tab w:leader="none" w:pos="72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740" w:hanging="408"/>
        <w:spacing w:after="0" w:line="308" w:lineRule="auto"/>
        <w:tabs>
          <w:tab w:leader="none" w:pos="731"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740" w:hanging="408"/>
        <w:spacing w:after="0" w:line="342" w:lineRule="auto"/>
        <w:tabs>
          <w:tab w:leader="none" w:pos="728"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40" w:hanging="408"/>
        <w:spacing w:after="0" w:line="277" w:lineRule="auto"/>
        <w:tabs>
          <w:tab w:leader="none" w:pos="731"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40" w:hanging="408"/>
        <w:spacing w:after="0" w:line="277" w:lineRule="auto"/>
        <w:tabs>
          <w:tab w:leader="none" w:pos="72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Jeffrey W. Dunn</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20" w:type="dxa"/>
            <w:vAlign w:val="bottom"/>
          </w:tcPr>
          <w:p>
            <w:pPr>
              <w:ind w:left="180"/>
              <w:spacing w:after="0"/>
              <w:rPr>
                <w:sz w:val="20"/>
                <w:szCs w:val="20"/>
                <w:color w:val="auto"/>
              </w:rPr>
            </w:pPr>
            <w:r>
              <w:rPr>
                <w:rFonts w:ascii="Arial" w:cs="Arial" w:eastAsia="Arial" w:hAnsi="Arial"/>
                <w:sz w:val="18"/>
                <w:szCs w:val="18"/>
                <w:color w:val="auto"/>
              </w:rPr>
              <w:t>March 10, 2021</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Jeffrey W. Dunn</w:t>
            </w:r>
          </w:p>
        </w:tc>
      </w:tr>
      <w:tr>
        <w:trPr>
          <w:trHeight w:val="230"/>
        </w:trPr>
        <w:tc>
          <w:tcPr>
            <w:tcW w:w="5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769"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347"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Form 10-K of SI-BONE,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740" w:hanging="408"/>
        <w:spacing w:after="0" w:line="263" w:lineRule="auto"/>
        <w:tabs>
          <w:tab w:leader="none" w:pos="731"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740" w:hanging="408"/>
        <w:spacing w:after="0" w:line="263" w:lineRule="auto"/>
        <w:tabs>
          <w:tab w:leader="none" w:pos="72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740" w:hanging="408"/>
        <w:spacing w:after="0" w:line="308" w:lineRule="auto"/>
        <w:tabs>
          <w:tab w:leader="none" w:pos="731" w:val="left"/>
        </w:tabs>
        <w:numPr>
          <w:ilvl w:val="1"/>
          <w:numId w:val="8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740" w:hanging="408"/>
        <w:spacing w:after="0" w:line="342" w:lineRule="auto"/>
        <w:tabs>
          <w:tab w:leader="none" w:pos="728"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40" w:hanging="408"/>
        <w:spacing w:after="0" w:line="277" w:lineRule="auto"/>
        <w:tabs>
          <w:tab w:leader="none" w:pos="731"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40" w:hanging="408"/>
        <w:spacing w:after="0" w:line="277" w:lineRule="auto"/>
        <w:tabs>
          <w:tab w:leader="none" w:pos="72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0689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760"/>
        <w:spacing w:after="0"/>
        <w:tabs>
          <w:tab w:leader="none" w:pos="1420" w:val="left"/>
          <w:tab w:leader="none" w:pos="7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10, 2021</w:t>
      </w:r>
      <w:r>
        <w:rPr>
          <w:sz w:val="20"/>
          <w:szCs w:val="20"/>
          <w:color w:val="auto"/>
        </w:rPr>
        <w:tab/>
      </w:r>
      <w:r>
        <w:rPr>
          <w:rFonts w:ascii="Arial" w:cs="Arial" w:eastAsia="Arial" w:hAnsi="Arial"/>
          <w:sz w:val="16"/>
          <w:szCs w:val="16"/>
          <w:color w:val="auto"/>
        </w:rPr>
        <w:t>Laura A. Francis</w:t>
      </w:r>
    </w:p>
    <w:p>
      <w:pPr>
        <w:spacing w:after="0" w:line="23" w:lineRule="exact"/>
        <w:rPr>
          <w:sz w:val="20"/>
          <w:szCs w:val="20"/>
          <w:color w:val="auto"/>
        </w:rPr>
      </w:pPr>
    </w:p>
    <w:p>
      <w:pPr>
        <w:jc w:val="center"/>
        <w:ind w:left="4920"/>
        <w:spacing w:after="0"/>
        <w:rPr>
          <w:sz w:val="20"/>
          <w:szCs w:val="20"/>
          <w:color w:val="auto"/>
        </w:rPr>
      </w:pPr>
      <w:r>
        <w:rPr>
          <w:rFonts w:ascii="Arial" w:cs="Arial" w:eastAsia="Arial" w:hAnsi="Arial"/>
          <w:sz w:val="18"/>
          <w:szCs w:val="18"/>
          <w:color w:val="auto"/>
        </w:rPr>
        <w:t>Chief Operating Officer &amp; Chief Financial Officer</w:t>
      </w:r>
    </w:p>
    <w:p>
      <w:pPr>
        <w:spacing w:after="0" w:line="23" w:lineRule="exact"/>
        <w:rPr>
          <w:sz w:val="20"/>
          <w:szCs w:val="20"/>
          <w:color w:val="auto"/>
        </w:rPr>
      </w:pPr>
    </w:p>
    <w:p>
      <w:pPr>
        <w:jc w:val="center"/>
        <w:ind w:left="49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769"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18 U.S.C. Section 1350, Jeffrey W. Dunn, President and Chief Executive Officer of SI-Bone, Inc. (the “Company”), and Laura A. Francis, Chief Operating Officer &amp; Chief Financial Officer of the Company, each hereby certify that, to the best of his or her knowledge:</w:t>
      </w:r>
    </w:p>
    <w:p>
      <w:pPr>
        <w:spacing w:after="0" w:line="184" w:lineRule="exact"/>
        <w:rPr>
          <w:sz w:val="20"/>
          <w:szCs w:val="20"/>
          <w:color w:val="auto"/>
        </w:rPr>
      </w:pPr>
    </w:p>
    <w:p>
      <w:pPr>
        <w:ind w:left="340" w:hanging="332"/>
        <w:spacing w:after="0" w:line="277" w:lineRule="auto"/>
        <w:tabs>
          <w:tab w:leader="none" w:pos="4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2020, to which this Certification is attached as Exhibit 32.1 (the “Periodic Report”), fully complies with the requirements Section 13(a) or 15(d) of the Securities Exchange Act of 1934; and</w:t>
      </w:r>
    </w:p>
    <w:p>
      <w:pPr>
        <w:spacing w:after="0" w:line="170" w:lineRule="exact"/>
        <w:rPr>
          <w:rFonts w:ascii="Arial" w:cs="Arial" w:eastAsia="Arial" w:hAnsi="Arial"/>
          <w:sz w:val="18"/>
          <w:szCs w:val="18"/>
          <w:color w:val="auto"/>
        </w:rPr>
      </w:pPr>
    </w:p>
    <w:p>
      <w:pPr>
        <w:ind w:left="340" w:hanging="332"/>
        <w:spacing w:after="0" w:line="277" w:lineRule="auto"/>
        <w:tabs>
          <w:tab w:leader="none" w:pos="48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8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3742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60"/>
        <w:spacing w:after="0"/>
        <w:tabs>
          <w:tab w:leader="none" w:pos="1420" w:val="left"/>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10, 2021</w:t>
      </w:r>
      <w:r>
        <w:rPr>
          <w:sz w:val="20"/>
          <w:szCs w:val="20"/>
          <w:color w:val="auto"/>
        </w:rPr>
        <w:tab/>
      </w:r>
      <w:r>
        <w:rPr>
          <w:rFonts w:ascii="Arial" w:cs="Arial" w:eastAsia="Arial" w:hAnsi="Arial"/>
          <w:sz w:val="16"/>
          <w:szCs w:val="16"/>
          <w:color w:val="auto"/>
        </w:rPr>
        <w:t>Jeffrey W. Dunn</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3742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60"/>
        <w:spacing w:after="0"/>
        <w:tabs>
          <w:tab w:leader="none" w:pos="1420" w:val="left"/>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10, 2021</w:t>
      </w:r>
      <w:r>
        <w:rPr>
          <w:sz w:val="20"/>
          <w:szCs w:val="20"/>
          <w:color w:val="auto"/>
        </w:rPr>
        <w:tab/>
      </w:r>
      <w:r>
        <w:rPr>
          <w:rFonts w:ascii="Arial" w:cs="Arial" w:eastAsia="Arial" w:hAnsi="Arial"/>
          <w:sz w:val="16"/>
          <w:szCs w:val="16"/>
          <w:color w:val="auto"/>
        </w:rPr>
        <w:t>Laura A. Francis</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Operating Officer &amp; Chief Financial Officer</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(Principal Financial Officer)</w:t>
      </w:r>
    </w:p>
    <w:p>
      <w:pPr>
        <w:spacing w:after="0" w:line="3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is being furnished to the Securities and Exchange Commission as an exhibit to the Annual Report and shall not be deemed filed by the Company for purposes of §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1)"/>
      <w:numFmt w:val="lowerLetter"/>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2"/>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decimal"/>
      <w:start w:val="5"/>
    </w:lvl>
  </w:abstractNum>
  <w:abstractNum w:abstractNumId="52">
    <w:nsid w:val="6B94764"/>
    <w:multiLevelType w:val="hybridMultilevel"/>
    <w:lvl w:ilvl="0">
      <w:lvlJc w:val="left"/>
      <w:lvlText w:val="%1."/>
      <w:numFmt w:val="decimal"/>
      <w:start w:val="7"/>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
      <w:numFmt w:val="bullet"/>
      <w:start w:val="1"/>
    </w:lvl>
    <w:lvl w:ilvl="1">
      <w:lvlJc w:val="left"/>
      <w:lvlText w:val="%2"/>
      <w:numFmt w:val="decimal"/>
      <w:start w:val="104"/>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decimal"/>
      <w:start w:val="1"/>
    </w:lvl>
    <w:lvl w:ilvl="1">
      <w:lvlJc w:val="left"/>
      <w:lvlText w:val="%2."/>
      <w:numFmt w:val="lowerLetter"/>
      <w:start w:val="1"/>
    </w:lvl>
  </w:abstractNum>
  <w:abstractNum w:abstractNumId="61">
    <w:nsid w:val="613EFDC5"/>
    <w:multiLevelType w:val="hybridMultilevel"/>
    <w:lvl w:ilvl="0">
      <w:lvlJc w:val="left"/>
      <w:lvlText w:val="%1."/>
      <w:numFmt w:val="decimal"/>
      <w:start w:val="1"/>
    </w:lvl>
    <w:lvl w:ilvl="1">
      <w:lvlJc w:val="left"/>
      <w:lvlText w:val="%2."/>
      <w:numFmt w:val="lowerLetter"/>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2"/>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lowerLetter"/>
      <w:start w:val="13"/>
    </w:lvl>
    <w:lvl w:ilvl="1">
      <w:lvlJc w:val="left"/>
      <w:lvlText w:val="(%2)"/>
      <w:numFmt w:val="decimal"/>
      <w:start w:val="5"/>
    </w:lvl>
    <w:lvl w:ilvl="2">
      <w:lvlJc w:val="left"/>
      <w:lvlText w:val="(%3)"/>
      <w:numFmt w:val="decimal"/>
      <w:start w:val="1"/>
    </w:lvl>
  </w:abstractNum>
  <w:abstractNum w:abstractNumId="66">
    <w:nsid w:val="8F2B15E"/>
    <w:multiLevelType w:val="hybridMultilevel"/>
    <w:lvl w:ilvl="0">
      <w:lvlJc w:val="left"/>
      <w:lvlText w:val="(%1)"/>
      <w:numFmt w:val="lowerLetter"/>
      <w:start w:val="20"/>
    </w:lvl>
  </w:abstractNum>
  <w:abstractNum w:abstractNumId="67">
    <w:nsid w:val="1A32234B"/>
    <w:multiLevelType w:val="hybridMultilevel"/>
    <w:lvl w:ilvl="0">
      <w:lvlJc w:val="left"/>
      <w:lvlText w:val="(%1)"/>
      <w:numFmt w:val="lowerLetter"/>
      <w:start w:val="1"/>
    </w:lvl>
    <w:lvl w:ilvl="1">
      <w:lvlJc w:val="left"/>
      <w:lvlText w:val="(%2)"/>
      <w:numFmt w:val="decimal"/>
      <w:start w:val="1"/>
    </w:lvl>
  </w:abstractNum>
  <w:abstractNum w:abstractNumId="68">
    <w:nsid w:val="3B0FD379"/>
    <w:multiLevelType w:val="hybridMultilevel"/>
    <w:lvl w:ilvl="0">
      <w:lvlJc w:val="left"/>
      <w:lvlText w:val="(%1)"/>
      <w:numFmt w:val="decimal"/>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2"/>
    </w:lvl>
    <w:lvl w:ilvl="1">
      <w:lvlJc w:val="left"/>
      <w:lvlText w:val="(%2)"/>
      <w:numFmt w:val="decimal"/>
      <w:start w:val="1"/>
    </w:lvl>
  </w:abstractNum>
  <w:abstractNum w:abstractNumId="73">
    <w:nsid w:val="14330624"/>
    <w:multiLevelType w:val="hybridMultilevel"/>
    <w:lvl w:ilvl="0">
      <w:lvlJc w:val="left"/>
      <w:lvlText w:val="(%1)"/>
      <w:numFmt w:val="lowerLetter"/>
      <w:start w:val="3"/>
    </w:lvl>
  </w:abstractNum>
  <w:abstractNum w:abstractNumId="74">
    <w:nsid w:val="7FFFCA11"/>
    <w:multiLevelType w:val="hybridMultilevel"/>
    <w:lvl w:ilvl="0">
      <w:lvlJc w:val="left"/>
      <w:lvlText w:val="(%1)"/>
      <w:numFmt w:val="lowerLetter"/>
      <w:start w:val="4"/>
    </w:lvl>
    <w:lvl w:ilvl="1">
      <w:lvlJc w:val="left"/>
      <w:lvlText w:val="(%2)"/>
      <w:numFmt w:val="decimal"/>
      <w:start w:val="1"/>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1)"/>
      <w:numFmt w:val="lowerLetter"/>
      <w:start w:val="3"/>
    </w:lvl>
  </w:abstractNum>
  <w:abstractNum w:abstractNumId="77">
    <w:nsid w:val="100F59DC"/>
    <w:multiLevelType w:val="hybridMultilevel"/>
    <w:lvl w:ilvl="0">
      <w:lvlJc w:val="left"/>
      <w:lvlText w:val="(%1)"/>
      <w:numFmt w:val="lowerLetter"/>
      <w:start w:val="4"/>
    </w:lvl>
  </w:abstractNum>
  <w:abstractNum w:abstractNumId="78">
    <w:nsid w:val="7FB7E0AA"/>
    <w:multiLevelType w:val="hybridMultilevel"/>
    <w:lvl w:ilvl="0">
      <w:lvlJc w:val="left"/>
      <w:lvlText w:val="(%1)"/>
      <w:numFmt w:val="lowerLetter"/>
      <w:start w:val="5"/>
    </w:lvl>
  </w:abstractNum>
  <w:abstractNum w:abstractNumId="79">
    <w:nsid w:val="6EB5BD4"/>
    <w:multiLevelType w:val="hybridMultilevel"/>
    <w:lvl w:ilvl="0">
      <w:lvlJc w:val="left"/>
      <w:lvlText w:val="(%1)"/>
      <w:numFmt w:val="lowerLetter"/>
      <w:start w:val="1"/>
    </w:lvl>
    <w:lvl w:ilvl="1">
      <w:lvlJc w:val="left"/>
      <w:lvlText w:val="(%2)"/>
      <w:numFmt w:val="decimal"/>
      <w:start w:val="1"/>
    </w:lvl>
  </w:abstractNum>
  <w:abstractNum w:abstractNumId="80">
    <w:nsid w:val="6F6DD9AC"/>
    <w:multiLevelType w:val="hybridMultilevel"/>
    <w:lvl w:ilvl="0">
      <w:lvlJc w:val="left"/>
      <w:lvlText w:val="(%1)"/>
      <w:numFmt w:val="lowerLetter"/>
      <w:start w:val="4"/>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bullet"/>
      <w:start w:val="1"/>
    </w:lvl>
  </w:abstractNum>
  <w:abstractNum w:abstractNumId="83">
    <w:nsid w:val="76272110"/>
    <w:multiLevelType w:val="hybridMultilevel"/>
    <w:lvl w:ilvl="0">
      <w:lvlJc w:val="left"/>
      <w:lvlText w:val="(%1)"/>
      <w:numFmt w:val="lowerLetter"/>
      <w:start w:val="3"/>
    </w:lvl>
  </w:abstractNum>
  <w:abstractNum w:abstractNumId="84">
    <w:nsid w:val="4C04A8AF"/>
    <w:multiLevelType w:val="hybridMultilevel"/>
    <w:lvl w:ilvl="0">
      <w:lvlJc w:val="left"/>
      <w:lvlText w:val="(%1)"/>
      <w:numFmt w:val="lowerLetter"/>
      <w:start w:val="4"/>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0"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24" Type="http://schemas.openxmlformats.org/officeDocument/2006/relationships/hyperlink" Target="http://www.sec.gov/Archives/edgar/data/1459839/000119312518303020/d641574dex31.htm" TargetMode="External"/><Relationship Id="rId125" Type="http://schemas.openxmlformats.org/officeDocument/2006/relationships/hyperlink" Target="http://www.sec.gov/Archives/edgar/data/1459839/000119312518293978/d452987dex34.htm" TargetMode="External"/><Relationship Id="rId126" Type="http://schemas.openxmlformats.org/officeDocument/2006/relationships/hyperlink" Target="http://www.sec.gov/Archives/edgar/data/1459839/000119312518293978/d452987dex41.htm" TargetMode="External"/><Relationship Id="rId127" Type="http://schemas.openxmlformats.org/officeDocument/2006/relationships/hyperlink" Target="http://www.sec.gov/Archives/edgar/data/1459839/000145983920000047/exhibit43descriptionof.htm" TargetMode="External"/><Relationship Id="rId128" Type="http://schemas.openxmlformats.org/officeDocument/2006/relationships/hyperlink" Target="http://www.sec.gov/Archives/edgar/data/1459839/000119312518278797/d452987dex101.htm" TargetMode="External"/><Relationship Id="rId129" Type="http://schemas.openxmlformats.org/officeDocument/2006/relationships/hyperlink" Target="http://www.sec.gov/Archives/edgar/data/1459839/000119312518293978/d452987dex102.htm" TargetMode="External"/><Relationship Id="rId130" Type="http://schemas.openxmlformats.org/officeDocument/2006/relationships/hyperlink" Target="http://www.sec.gov/Archives/edgar/data/1459839/000119312518293978/d452987dex103.htm" TargetMode="External"/><Relationship Id="rId131" Type="http://schemas.openxmlformats.org/officeDocument/2006/relationships/hyperlink" Target="http://www.sec.gov/Archives/edgar/data/1459839/000119312518293978/d452987dex104.htm" TargetMode="External"/><Relationship Id="rId132" Type="http://schemas.openxmlformats.org/officeDocument/2006/relationships/hyperlink" Target="http://www.sec.gov/Archives/edgar/data/1459839/000119312518293978/d452987dex105.htm" TargetMode="External"/><Relationship Id="rId133" Type="http://schemas.openxmlformats.org/officeDocument/2006/relationships/hyperlink" Target="http://www.sec.gov/Archives/edgar/data/1459839/000119312518293978/d452987dex106.htm" TargetMode="External"/><Relationship Id="rId134" Type="http://schemas.openxmlformats.org/officeDocument/2006/relationships/hyperlink" Target="http://www.sec.gov/Archives/edgar/data/1459839/000119312518278797/d452987dex106.htm" TargetMode="External"/><Relationship Id="rId135" Type="http://schemas.openxmlformats.org/officeDocument/2006/relationships/hyperlink" Target="http://www.sec.gov/Archives/edgar/data/1459839/000119312518278797/d452987dex107.htm" TargetMode="External"/><Relationship Id="rId136" Type="http://schemas.openxmlformats.org/officeDocument/2006/relationships/hyperlink" Target="http://www.sec.gov/Archives/edgar/data/1459839/000119312518278797/d452987dex108.htm" TargetMode="External"/><Relationship Id="rId137" Type="http://schemas.openxmlformats.org/officeDocument/2006/relationships/hyperlink" Target="http://www.sec.gov/Archives/edgar/data/1459839/000119312518278797/d452987dex109.htm" TargetMode="External"/><Relationship Id="rId138" Type="http://schemas.openxmlformats.org/officeDocument/2006/relationships/hyperlink" Target="http://www.sec.gov/Archives/edgar/data/1459839/000119312518278797/d452987dex1010.htm" TargetMode="External"/><Relationship Id="rId139" Type="http://schemas.openxmlformats.org/officeDocument/2006/relationships/hyperlink" Target="http://www.sec.gov/Archives/edgar/data/1459839/000119312518278797/d452987dex1011.htm" TargetMode="External"/><Relationship Id="rId141" Type="http://schemas.openxmlformats.org/officeDocument/2006/relationships/hyperlink" Target="http://www.sec.gov/Archives/edgar/data/1459839/000119312518278797/d452987dex1012.htm" TargetMode="External"/><Relationship Id="rId142" Type="http://schemas.openxmlformats.org/officeDocument/2006/relationships/hyperlink" Target="http://www.sec.gov/Archives/edgar/data/1459839/000119312518278797/d452987dex1018.htm" TargetMode="External"/><Relationship Id="rId143" Type="http://schemas.openxmlformats.org/officeDocument/2006/relationships/hyperlink" Target="http://www.sec.gov/Archives/edgar/data/1459839/000119312518293978/d452987dex1021.htm" TargetMode="External"/><Relationship Id="rId144" Type="http://schemas.openxmlformats.org/officeDocument/2006/relationships/hyperlink" Target="http://www.sec.gov/Archives/edgar/data/1459839/000119312518278797/d452987dex1021.htm" TargetMode="External"/><Relationship Id="rId145" Type="http://schemas.openxmlformats.org/officeDocument/2006/relationships/hyperlink" Target="http://www.sec.gov/Archives/edgar/data/1459839/000119312518278797/d452987dex1030.htm" TargetMode="External"/><Relationship Id="rId146" Type="http://schemas.openxmlformats.org/officeDocument/2006/relationships/hyperlink" Target="http://www.sec.gov/Archives/edgar/data/1459839/000145983919000044/exhibit102amendmenttores.htm" TargetMode="External"/><Relationship Id="rId147" Type="http://schemas.openxmlformats.org/officeDocument/2006/relationships/hyperlink" Target="http://www.sec.gov/Archives/edgar/data/1459839/000145983920000003/sibn8-k132020fy2020bonuspl.htm" TargetMode="External"/><Relationship Id="rId148" Type="http://schemas.openxmlformats.org/officeDocument/2006/relationships/hyperlink" Target="http://www.sec.gov/Archives/edgar/data/1459839/000145983921000003/exh101_amendmenttoceooffer.htm" TargetMode="External"/><Relationship Id="rId149" Type="http://schemas.openxmlformats.org/officeDocument/2006/relationships/hyperlink" Target="http://www.sec.gov/Archives/edgar/data/1459839/000145983920000074/sibn-ex101loanandsecu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2021-03-10T15:11:01Z</dcterms:created>
  <dcterms:modified xsi:type="dcterms:W3CDTF">2021-03-10T15:11:01Z</dcterms:modified>
</cp:coreProperties>
</file>