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97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RECUPERO ANTHONY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10/02/2024</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President, Commercial Ops</w:t>
      </w:r>
    </w:p>
    <w:p>
      <w:pPr>
        <w:spacing w:after="0" w:line="562" w:lineRule="exact"/>
        <w:rPr>
          <w:sz w:val="24"/>
          <w:szCs w:val="24"/>
          <w:color w:val="auto"/>
        </w:rPr>
      </w:pPr>
    </w:p>
    <w:p>
      <w:pPr>
        <w:sectPr>
          <w:pgSz w:w="11900" w:h="16838" w:orient="portrait"/>
          <w:cols w:equalWidth="0" w:num="3">
            <w:col w:w="3200" w:space="720"/>
            <w:col w:w="3095" w:space="720"/>
            <w:col w:w="3265"/>
          </w:cols>
          <w:pgMar w:left="460" w:top="219" w:right="439" w:bottom="979"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shd w:val="clear" w:color="auto" w:fill="9A9A9A"/>
          </w:tcPr>
          <w:p>
            <w:pPr>
              <w:spacing w:after="0"/>
              <w:rPr>
                <w:sz w:val="3"/>
                <w:szCs w:val="3"/>
                <w:color w:val="auto"/>
              </w:rPr>
            </w:pPr>
          </w:p>
        </w:tc>
        <w:tc>
          <w:tcPr>
            <w:tcW w:w="740" w:type="dxa"/>
            <w:vAlign w:val="bottom"/>
            <w:shd w:val="clear" w:color="auto" w:fill="9A9A9A"/>
          </w:tcPr>
          <w:p>
            <w:pPr>
              <w:spacing w:after="0"/>
              <w:rPr>
                <w:sz w:val="3"/>
                <w:szCs w:val="3"/>
                <w:color w:val="auto"/>
              </w:rPr>
            </w:pPr>
          </w:p>
        </w:tc>
        <w:tc>
          <w:tcPr>
            <w:tcW w:w="1760" w:type="dxa"/>
            <w:vAlign w:val="bottom"/>
            <w:shd w:val="clear" w:color="auto" w:fill="9A9A9A"/>
          </w:tcPr>
          <w:p>
            <w:pPr>
              <w:spacing w:after="0"/>
              <w:rPr>
                <w:sz w:val="3"/>
                <w:szCs w:val="3"/>
                <w:color w:val="auto"/>
              </w:rPr>
            </w:pPr>
          </w:p>
        </w:tc>
        <w:tc>
          <w:tcPr>
            <w:tcW w:w="354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540" w:type="dxa"/>
            <w:vAlign w:val="bottom"/>
            <w:gridSpan w:val="5"/>
            <w:vMerge w:val="continue"/>
          </w:tcPr>
          <w:p>
            <w:pPr>
              <w:spacing w:after="0"/>
              <w:rPr>
                <w:sz w:val="9"/>
                <w:szCs w:val="9"/>
                <w:color w:val="auto"/>
              </w:rPr>
            </w:pPr>
          </w:p>
        </w:tc>
        <w:tc>
          <w:tcPr>
            <w:tcW w:w="36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95050</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20" w:type="dxa"/>
            <w:vAlign w:val="bottom"/>
            <w:gridSpan w:val="4"/>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20" w:type="dxa"/>
            <w:vAlign w:val="bottom"/>
            <w:gridSpan w:val="4"/>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8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ind w:left="80"/>
              <w:spacing w:after="0"/>
              <w:rPr>
                <w:sz w:val="20"/>
                <w:szCs w:val="20"/>
                <w:color w:val="auto"/>
              </w:rPr>
            </w:pPr>
            <w:r>
              <w:rPr>
                <w:rFonts w:ascii="Arial" w:cs="Arial" w:eastAsia="Arial" w:hAnsi="Arial"/>
                <w:sz w:val="13"/>
                <w:szCs w:val="13"/>
                <w:color w:val="auto"/>
              </w:rPr>
              <w:t>(State)</w:t>
            </w:r>
          </w:p>
        </w:tc>
        <w:tc>
          <w:tcPr>
            <w:tcW w:w="2040" w:type="dxa"/>
            <w:vAlign w:val="bottom"/>
            <w:gridSpan w:val="2"/>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540" w:type="dxa"/>
            <w:vAlign w:val="bottom"/>
            <w:tcBorders>
              <w:bottom w:val="single" w:sz="8" w:color="2C2C2C"/>
            </w:tcBorders>
            <w:gridSpan w:val="7"/>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40" w:type="dxa"/>
            <w:vAlign w:val="bottom"/>
            <w:gridSpan w:val="2"/>
          </w:tcPr>
          <w:p>
            <w:pPr>
              <w:ind w:left="10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4"/>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jc w:val="center"/>
              <w:ind w:left="864"/>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4"/>
              <w:spacing w:after="0"/>
              <w:rPr>
                <w:sz w:val="20"/>
                <w:szCs w:val="20"/>
                <w:color w:val="auto"/>
              </w:rPr>
            </w:pPr>
            <w:r>
              <w:rPr>
                <w:rFonts w:ascii="Times New Roman" w:cs="Times New Roman" w:eastAsia="Times New Roman" w:hAnsi="Times New Roman"/>
                <w:sz w:val="17"/>
                <w:szCs w:val="17"/>
                <w:color w:val="0000FF"/>
              </w:rPr>
              <w:t>10/02/2024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1,554</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jc w:val="center"/>
              <w:ind w:right="4"/>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13.5788</w:t>
            </w:r>
            <w:r>
              <w:rPr>
                <w:rFonts w:ascii="Times New Roman" w:cs="Times New Roman" w:eastAsia="Times New Roman" w:hAnsi="Times New Roman"/>
                <w:sz w:val="22"/>
                <w:szCs w:val="22"/>
                <w:color w:val="008000"/>
                <w:w w:val="95"/>
                <w:vertAlign w:val="superscript"/>
              </w:rPr>
              <w:t>(2)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235,163</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4"/>
              <w:spacing w:after="0"/>
              <w:rPr>
                <w:sz w:val="20"/>
                <w:szCs w:val="20"/>
                <w:color w:val="auto"/>
              </w:rPr>
            </w:pPr>
            <w:r>
              <w:rPr>
                <w:rFonts w:ascii="Times New Roman" w:cs="Times New Roman" w:eastAsia="Times New Roman" w:hAnsi="Times New Roman"/>
                <w:sz w:val="17"/>
                <w:szCs w:val="17"/>
                <w:color w:val="0000FF"/>
              </w:rPr>
              <w:t>10/02/2024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1,751</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jc w:val="center"/>
              <w:ind w:right="4"/>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13.5784</w:t>
            </w:r>
            <w:r>
              <w:rPr>
                <w:rFonts w:ascii="Times New Roman" w:cs="Times New Roman" w:eastAsia="Times New Roman" w:hAnsi="Times New Roman"/>
                <w:sz w:val="22"/>
                <w:szCs w:val="22"/>
                <w:color w:val="008000"/>
                <w:w w:val="95"/>
                <w:vertAlign w:val="superscript"/>
              </w:rPr>
              <w:t>(2)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233,412</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4"/>
              <w:spacing w:after="0"/>
              <w:rPr>
                <w:sz w:val="20"/>
                <w:szCs w:val="20"/>
                <w:color w:val="auto"/>
              </w:rPr>
            </w:pPr>
            <w:r>
              <w:rPr>
                <w:rFonts w:ascii="Times New Roman" w:cs="Times New Roman" w:eastAsia="Times New Roman" w:hAnsi="Times New Roman"/>
                <w:sz w:val="17"/>
                <w:szCs w:val="17"/>
                <w:color w:val="0000FF"/>
              </w:rPr>
              <w:t>10/03/2024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(3)</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921</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13.6</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232,491</w:t>
            </w:r>
            <w:r>
              <w:rPr>
                <w:rFonts w:ascii="Times New Roman" w:cs="Times New Roman" w:eastAsia="Times New Roman" w:hAnsi="Times New Roman"/>
                <w:sz w:val="22"/>
                <w:szCs w:val="22"/>
                <w:color w:val="008000"/>
                <w:w w:val="96"/>
                <w:vertAlign w:val="superscript"/>
              </w:rPr>
              <w:t>(4)</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$13.34 USD to $13.71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was effected pursuant to a 10b5-1 trading plan.</w:t>
      </w:r>
    </w:p>
    <w:p>
      <w:pPr>
        <w:spacing w:after="0" w:line="50"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137,761 shares issuable on settlement of restricted stock units granted to the Reporting Person. Each restricted stock unit represents a contingent right to receive one shares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Anthony</w:t>
        <w:tab/>
        <w:t>10/04/2024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 Recupero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97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10230"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2024-10-04T17:58:32Z</dcterms:created>
  <dcterms:modified xsi:type="dcterms:W3CDTF">2024-10-04T17:58:32Z</dcterms:modified>
</cp:coreProperties>
</file>