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5875655</wp:posOffset>
            </wp:positionH>
            <wp:positionV relativeFrom="page">
              <wp:posOffset>288290</wp:posOffset>
            </wp:positionV>
            <wp:extent cx="1005840" cy="369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05840" cy="369570"/>
                    </a:xfrm>
                    <a:prstGeom prst="rect">
                      <a:avLst/>
                    </a:prstGeom>
                    <a:noFill/>
                  </pic:spPr>
                </pic:pic>
              </a:graphicData>
            </a:graphic>
          </wp:anchor>
        </w:drawing>
        <w:t>471 El Camino Real, Suite 101 Santa Clara, California 95050</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56"/>
          <w:szCs w:val="56"/>
          <w:b w:val="1"/>
          <w:bCs w:val="1"/>
          <w:color w:val="auto"/>
        </w:rPr>
        <w:t>Letter from the CEO</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140335</wp:posOffset>
                </wp:positionV>
                <wp:extent cx="6400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5pt" to="504pt,11.05pt" o:allowincell="f" strokecolor="#000000" strokeweight="0.5pt"/>
            </w:pict>
          </mc:Fallback>
        </mc:AlternateConten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April 25, 2025</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Dear Stockholders:</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We have made significant and measurable progress since last year’s annual meeting of stockholders, including the following:</w:t>
      </w:r>
    </w:p>
    <w:p>
      <w:pPr>
        <w:spacing w:after="0" w:line="241" w:lineRule="exact"/>
        <w:rPr>
          <w:sz w:val="24"/>
          <w:szCs w:val="24"/>
          <w:color w:val="auto"/>
        </w:rPr>
      </w:pPr>
    </w:p>
    <w:p>
      <w:pPr>
        <w:ind w:left="720" w:hanging="360"/>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Achieved worldwide revenue of $167.2 million for the full year 2024, representing an increase of ~20% over 2023</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 2,000 physicians performed an iFuse procedure in 2024, an ~25% increase over 2023</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Surpassed 115,000 procedures performed by over 4,300 physicians worldwide since inception</w:t>
      </w:r>
    </w:p>
    <w:p>
      <w:pPr>
        <w:spacing w:after="0" w:line="10" w:lineRule="exact"/>
        <w:rPr>
          <w:rFonts w:ascii="Times New Roman" w:cs="Times New Roman" w:eastAsia="Times New Roman" w:hAnsi="Times New Roman"/>
          <w:sz w:val="20"/>
          <w:szCs w:val="20"/>
          <w:color w:val="auto"/>
        </w:rPr>
      </w:pPr>
    </w:p>
    <w:p>
      <w:pPr>
        <w:ind w:left="720" w:right="100" w:hanging="360"/>
        <w:spacing w:after="0" w:line="250"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Achieved ~29% improvement in Net Loss and ~71% improvement in Adjusted EBITDA year-over-year; delivered positive Adjusted EBITDA in the fourth quarter</w:t>
      </w:r>
    </w:p>
    <w:p>
      <w:pPr>
        <w:ind w:left="720" w:hanging="360"/>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Exited 2024 with a solid balance sheet with ~$150 million in cash and equivalents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Launched iFuse INTRA, iFuse Bedrock Granite 9.5, and iFuse TORQ TNT in 2024</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Granted Transitional Pass-Through payment status effective January 1, 2025 for Granite outpatient procedures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third Breakthrough Device Designation for a novel implant system</w:t>
      </w:r>
    </w:p>
    <w:p>
      <w:pPr>
        <w:spacing w:after="0" w:line="230" w:lineRule="exact"/>
        <w:rPr>
          <w:sz w:val="24"/>
          <w:szCs w:val="24"/>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We will hold our Annual Meeting virtually in an effort to make it convenient for our stockholders to attend. During our Annual Meeting, we will discuss each item of business described in the Notice of Annual Meeting and Proxy Statement enclosed with this letter, which we encourage you to read carefully. We will also address any questions submitted before or during the Annual Meeting.</w:t>
      </w:r>
    </w:p>
    <w:p>
      <w:pPr>
        <w:spacing w:after="0" w:line="20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Your vote is very important to us, and I urge you to vote your shares as promptly as possible. You may vote by Internet or by telephone. If you received a paper copy of the proxy card by mail, you may sign, date, and return the proxy card in the enclosed envelope.</w:t>
      </w:r>
    </w:p>
    <w:p>
      <w:pPr>
        <w:spacing w:after="0" w:line="195" w:lineRule="exact"/>
        <w:rPr>
          <w:sz w:val="24"/>
          <w:szCs w:val="24"/>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Finally, I continue to be humbled by the exceptional performance of the entire SI-BONE team, working diligently to introduce new products and continuing to train and educate physicians to grow our core business. On behalf of the Board, management team and employees, thank you for your continued confidence and support as we advance our mission to help patients rise up and reach for the stars. We look forward to your participation in this year’s Annual Meeting.</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Sincerely yours,</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 Laura Francis</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Laura Francis</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880" w:h="15480" w:orient="portrait"/>
          <w:cols w:equalWidth="0" w:num="1">
            <w:col w:w="10020"/>
          </w:cols>
          <w:pgMar w:left="900" w:top="660" w:right="960" w:bottom="1440" w:gutter="0" w:footer="0" w:header="0"/>
        </w:sectPr>
      </w:pPr>
    </w:p>
    <w:bookmarkStart w:id="1" w:name="page2"/>
    <w:bookmarkEnd w:id="1"/>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57"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0"/>
          <w:szCs w:val="20"/>
          <w:color w:val="auto"/>
        </w:rPr>
        <w:t>The following graph compares the cumulative total stockholder return data on our common stock with the cumulative return of three indices: (i) The Nasdaq Stock Market Composite Index, (ii) The Nasdaq Medical Equipment Index, and (iii) The S&amp;P 500 Healthcare Index over the five-year period ending December 31, 2024. The graph assumes that $100 was invested on December 31, 2019 in our common stock and in each of the comparative indices, and the reinvestment of any dividends. The stock performance on the following graph is not necessarily indicative of future stock price performance.</w:t>
      </w:r>
    </w:p>
    <w:p>
      <w:pPr>
        <w:spacing w:after="0" w:line="204"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20"/>
          <w:szCs w:val="20"/>
          <w:color w:val="auto"/>
        </w:rPr>
        <w:t>The following graph and related information shall not be deemed "soliciting material" or deemed to be "filed" with the SEC, nor shall such information be incorporated by reference into any future filing, except to the extent that we specifically incorporate it by reference into such filing.</w:t>
      </w:r>
    </w:p>
    <w:p>
      <w:pPr>
        <w:spacing w:after="0" w:line="192"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595959"/>
        </w:rPr>
        <w:t>Comparison of Cumulative Total Return Among SI-BONE, NASDAQ Composite, NASDAQ</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595959"/>
        </w:rPr>
        <w:t>Medical Equipment Index, and S&amp;P 500 Healthcare Index</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595959"/>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-69215</wp:posOffset>
            </wp:positionV>
            <wp:extent cx="51911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5191125" cy="952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136525</wp:posOffset>
            </wp:positionV>
            <wp:extent cx="5191125" cy="1558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5191125" cy="155892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595959"/>
        </w:rPr>
        <w:t>$200</w:t>
      </w:r>
    </w:p>
    <w:p>
      <w:pPr>
        <w:spacing w:after="0" w:line="200" w:lineRule="exact"/>
        <w:rPr>
          <w:sz w:val="20"/>
          <w:szCs w:val="20"/>
          <w:color w:val="auto"/>
        </w:rPr>
      </w:pPr>
    </w:p>
    <w:p>
      <w:pPr>
        <w:spacing w:after="0" w:line="33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595959"/>
        </w:rPr>
        <w:t>$150</w:t>
      </w:r>
    </w:p>
    <w:p>
      <w:pPr>
        <w:spacing w:after="0" w:line="200" w:lineRule="exact"/>
        <w:rPr>
          <w:sz w:val="20"/>
          <w:szCs w:val="20"/>
          <w:color w:val="auto"/>
        </w:rPr>
      </w:pPr>
    </w:p>
    <w:p>
      <w:pPr>
        <w:spacing w:after="0" w:line="33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595959"/>
        </w:rPr>
        <w:t>$100</w:t>
      </w:r>
    </w:p>
    <w:p>
      <w:pPr>
        <w:spacing w:after="0" w:line="200" w:lineRule="exact"/>
        <w:rPr>
          <w:sz w:val="20"/>
          <w:szCs w:val="20"/>
          <w:color w:val="auto"/>
        </w:rPr>
      </w:pPr>
    </w:p>
    <w:p>
      <w:pPr>
        <w:spacing w:after="0" w:line="33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595959"/>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-59690</wp:posOffset>
            </wp:positionV>
            <wp:extent cx="519112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5191125" cy="952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595959"/>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-59690</wp:posOffset>
            </wp:positionV>
            <wp:extent cx="51911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5191125" cy="9525"/>
                    </a:xfrm>
                    <a:prstGeom prst="rect">
                      <a:avLst/>
                    </a:prstGeom>
                    <a:noFill/>
                  </pic:spPr>
                </pic:pic>
              </a:graphicData>
            </a:graphic>
          </wp:anchor>
        </w:drawing>
      </w:r>
    </w:p>
    <w:p>
      <w:pPr>
        <w:spacing w:after="0" w:line="7" w:lineRule="exact"/>
        <w:rPr>
          <w:sz w:val="20"/>
          <w:szCs w:val="20"/>
          <w:color w:val="auto"/>
        </w:rPr>
      </w:pPr>
    </w:p>
    <w:tbl>
      <w:tblPr>
        <w:tblLayout w:type="fixed"/>
        <w:tblInd w:w="1440" w:type="dxa"/>
        <w:tblCellMar>
          <w:top w:w="0" w:type="dxa"/>
          <w:left w:w="0" w:type="dxa"/>
          <w:bottom w:w="0" w:type="dxa"/>
          <w:right w:w="0" w:type="dxa"/>
        </w:tblCellMar>
      </w:tblPr>
      <w:tr>
        <w:trPr>
          <w:trHeight w:val="211"/>
        </w:trPr>
        <w:tc>
          <w:tcPr>
            <w:tcW w:w="1140" w:type="dxa"/>
            <w:vAlign w:val="bottom"/>
          </w:tcPr>
          <w:p>
            <w:pPr>
              <w:jc w:val="right"/>
              <w:ind w:right="420"/>
              <w:spacing w:after="0"/>
              <w:rPr>
                <w:sz w:val="20"/>
                <w:szCs w:val="20"/>
                <w:color w:val="auto"/>
              </w:rPr>
            </w:pPr>
            <w:r>
              <w:rPr>
                <w:rFonts w:ascii="Arial" w:cs="Arial" w:eastAsia="Arial" w:hAnsi="Arial"/>
                <w:sz w:val="16"/>
                <w:szCs w:val="16"/>
                <w:b w:val="1"/>
                <w:bCs w:val="1"/>
                <w:color w:val="595959"/>
              </w:rPr>
              <w:t>2019</w:t>
            </w:r>
          </w:p>
        </w:tc>
        <w:tc>
          <w:tcPr>
            <w:tcW w:w="1220" w:type="dxa"/>
            <w:vAlign w:val="bottom"/>
          </w:tcPr>
          <w:p>
            <w:pPr>
              <w:jc w:val="right"/>
              <w:ind w:right="280"/>
              <w:spacing w:after="0"/>
              <w:rPr>
                <w:sz w:val="20"/>
                <w:szCs w:val="20"/>
                <w:color w:val="auto"/>
              </w:rPr>
            </w:pPr>
            <w:r>
              <w:rPr>
                <w:rFonts w:ascii="Arial" w:cs="Arial" w:eastAsia="Arial" w:hAnsi="Arial"/>
                <w:sz w:val="16"/>
                <w:szCs w:val="16"/>
                <w:b w:val="1"/>
                <w:bCs w:val="1"/>
                <w:color w:val="595959"/>
              </w:rPr>
              <w:t>2020</w:t>
            </w:r>
          </w:p>
        </w:tc>
        <w:tc>
          <w:tcPr>
            <w:tcW w:w="1940" w:type="dxa"/>
            <w:vAlign w:val="bottom"/>
          </w:tcPr>
          <w:p>
            <w:pPr>
              <w:jc w:val="right"/>
              <w:ind w:right="860"/>
              <w:spacing w:after="0"/>
              <w:rPr>
                <w:sz w:val="20"/>
                <w:szCs w:val="20"/>
                <w:color w:val="auto"/>
              </w:rPr>
            </w:pPr>
            <w:r>
              <w:rPr>
                <w:rFonts w:ascii="Arial" w:cs="Arial" w:eastAsia="Arial" w:hAnsi="Arial"/>
                <w:sz w:val="16"/>
                <w:szCs w:val="16"/>
                <w:b w:val="1"/>
                <w:bCs w:val="1"/>
                <w:color w:val="595959"/>
              </w:rPr>
              <w:t>2021</w:t>
            </w:r>
          </w:p>
        </w:tc>
        <w:tc>
          <w:tcPr>
            <w:tcW w:w="800" w:type="dxa"/>
            <w:vAlign w:val="bottom"/>
          </w:tcPr>
          <w:p>
            <w:pPr>
              <w:jc w:val="right"/>
              <w:ind w:right="300"/>
              <w:spacing w:after="0"/>
              <w:rPr>
                <w:sz w:val="20"/>
                <w:szCs w:val="20"/>
                <w:color w:val="auto"/>
              </w:rPr>
            </w:pPr>
            <w:r>
              <w:rPr>
                <w:rFonts w:ascii="Arial" w:cs="Arial" w:eastAsia="Arial" w:hAnsi="Arial"/>
                <w:sz w:val="16"/>
                <w:szCs w:val="16"/>
                <w:b w:val="1"/>
                <w:bCs w:val="1"/>
                <w:color w:val="595959"/>
              </w:rPr>
              <w:t>2022</w:t>
            </w:r>
          </w:p>
        </w:tc>
        <w:tc>
          <w:tcPr>
            <w:tcW w:w="1480" w:type="dxa"/>
            <w:vAlign w:val="bottom"/>
          </w:tcPr>
          <w:p>
            <w:pPr>
              <w:jc w:val="right"/>
              <w:ind w:right="420"/>
              <w:spacing w:after="0"/>
              <w:rPr>
                <w:sz w:val="20"/>
                <w:szCs w:val="20"/>
                <w:color w:val="auto"/>
              </w:rPr>
            </w:pPr>
            <w:r>
              <w:rPr>
                <w:rFonts w:ascii="Arial" w:cs="Arial" w:eastAsia="Arial" w:hAnsi="Arial"/>
                <w:sz w:val="16"/>
                <w:szCs w:val="16"/>
                <w:b w:val="1"/>
                <w:bCs w:val="1"/>
                <w:color w:val="595959"/>
              </w:rPr>
              <w:t>2023</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595959"/>
              </w:rPr>
              <w:t>2024</w:t>
            </w:r>
          </w:p>
        </w:tc>
      </w:tr>
      <w:tr>
        <w:trPr>
          <w:trHeight w:val="418"/>
        </w:trPr>
        <w:tc>
          <w:tcPr>
            <w:tcW w:w="1140" w:type="dxa"/>
            <w:vAlign w:val="bottom"/>
          </w:tcPr>
          <w:p>
            <w:pPr>
              <w:spacing w:after="0"/>
              <w:rPr>
                <w:sz w:val="20"/>
                <w:szCs w:val="20"/>
                <w:color w:val="auto"/>
              </w:rPr>
            </w:pPr>
            <w:r>
              <w:rPr>
                <w:rFonts w:ascii="Arial" w:cs="Arial" w:eastAsia="Arial" w:hAnsi="Arial"/>
                <w:sz w:val="16"/>
                <w:szCs w:val="16"/>
                <w:b w:val="1"/>
                <w:bCs w:val="1"/>
                <w:color w:val="595959"/>
              </w:rPr>
              <w:t>SI-BONE</w:t>
            </w:r>
          </w:p>
        </w:tc>
        <w:tc>
          <w:tcPr>
            <w:tcW w:w="12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6"/>
                <w:szCs w:val="16"/>
                <w:b w:val="1"/>
                <w:bCs w:val="1"/>
                <w:color w:val="595959"/>
              </w:rPr>
              <w:t>NASDAQ Composite</w:t>
            </w:r>
          </w:p>
        </w:tc>
        <w:tc>
          <w:tcPr>
            <w:tcW w:w="80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Arial" w:cs="Arial" w:eastAsia="Arial" w:hAnsi="Arial"/>
                <w:sz w:val="16"/>
                <w:szCs w:val="16"/>
                <w:b w:val="1"/>
                <w:bCs w:val="1"/>
                <w:color w:val="595959"/>
              </w:rPr>
              <w:t>NASDAQ Medical Equipment</w:t>
            </w:r>
          </w:p>
        </w:tc>
      </w:tr>
      <w:tr>
        <w:trPr>
          <w:trHeight w:val="211"/>
        </w:trPr>
        <w:tc>
          <w:tcPr>
            <w:tcW w:w="2360" w:type="dxa"/>
            <w:vAlign w:val="bottom"/>
            <w:gridSpan w:val="2"/>
          </w:tcPr>
          <w:p>
            <w:pPr>
              <w:spacing w:after="0"/>
              <w:rPr>
                <w:sz w:val="20"/>
                <w:szCs w:val="20"/>
                <w:color w:val="auto"/>
              </w:rPr>
            </w:pPr>
            <w:r>
              <w:rPr>
                <w:rFonts w:ascii="Arial" w:cs="Arial" w:eastAsia="Arial" w:hAnsi="Arial"/>
                <w:sz w:val="16"/>
                <w:szCs w:val="16"/>
                <w:b w:val="1"/>
                <w:bCs w:val="1"/>
                <w:color w:val="595959"/>
              </w:rPr>
              <w:t>S&amp;P 500 Healthcare Index</w:t>
            </w:r>
          </w:p>
        </w:tc>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-222250</wp:posOffset>
            </wp:positionV>
            <wp:extent cx="190500" cy="101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190500" cy="10160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-212725</wp:posOffset>
            </wp:positionV>
            <wp:extent cx="190500" cy="82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190500" cy="82550"/>
                    </a:xfrm>
                    <a:prstGeom prst="rect">
                      <a:avLst/>
                    </a:prstGeom>
                    <a:noFill/>
                  </pic:spPr>
                </pic:pic>
              </a:graphicData>
            </a:graphic>
          </wp:anchor>
        </w:drawing>
        <w:drawing>
          <wp:anchor simplePos="0" relativeHeight="251657728" behindDoc="1" locked="0" layoutInCell="0" allowOverlap="1">
            <wp:simplePos x="0" y="0"/>
            <wp:positionH relativeFrom="column">
              <wp:posOffset>4166870</wp:posOffset>
            </wp:positionH>
            <wp:positionV relativeFrom="paragraph">
              <wp:posOffset>-212725</wp:posOffset>
            </wp:positionV>
            <wp:extent cx="190500" cy="82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-98425</wp:posOffset>
            </wp:positionV>
            <wp:extent cx="190500" cy="82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190500" cy="82550"/>
                    </a:xfrm>
                    <a:prstGeom prst="rect">
                      <a:avLst/>
                    </a:prstGeom>
                    <a:noFill/>
                  </pic:spPr>
                </pic:pic>
              </a:graphicData>
            </a:graphic>
          </wp:anchor>
        </w:drawing>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30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95"/>
        </w:trPr>
        <w:tc>
          <w:tcPr>
            <w:tcW w:w="3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2019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30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SI-BONE, Inc.</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97.63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65.21</w:t>
            </w:r>
          </w:p>
        </w:tc>
      </w:tr>
      <w:tr>
        <w:trPr>
          <w:trHeight w:val="30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NASDAQ Composite Index</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177.06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223.87</w:t>
            </w:r>
          </w:p>
        </w:tc>
      </w:tr>
      <w:tr>
        <w:trPr>
          <w:trHeight w:val="328"/>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NASDAQ Medical Equipment Index</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153.48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129.40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140.47</w:t>
            </w:r>
          </w:p>
        </w:tc>
      </w:tr>
      <w:tr>
        <w:trPr>
          <w:trHeight w:val="30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S&amp;P 500 Healthcare Index</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143.09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143.18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-803910</wp:posOffset>
            </wp:positionV>
            <wp:extent cx="6778625" cy="825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6778625" cy="825500"/>
                    </a:xfrm>
                    <a:prstGeom prst="rect">
                      <a:avLst/>
                    </a:prstGeom>
                    <a:noFill/>
                  </pic:spPr>
                </pic:pic>
              </a:graphicData>
            </a:graphic>
          </wp:anchor>
        </w:drawing>
      </w:r>
    </w:p>
    <w:p>
      <w:pPr>
        <w:sectPr>
          <w:pgSz w:w="11880" w:h="15480" w:orient="portrait"/>
          <w:cols w:equalWidth="0" w:num="1">
            <w:col w:w="10640"/>
          </w:cols>
          <w:pgMar w:left="900" w:top="1440" w:right="3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32" w:lineRule="exact"/>
        <w:rPr>
          <w:sz w:val="20"/>
          <w:szCs w:val="20"/>
          <w:color w:val="auto"/>
        </w:rPr>
      </w:pPr>
    </w:p>
    <w:p>
      <w:pPr>
        <w:ind w:left="1320" w:hanging="1163"/>
        <w:spacing w:after="0"/>
        <w:tabs>
          <w:tab w:leader="none" w:pos="1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6" w:lineRule="exact"/>
        <w:rPr>
          <w:sz w:val="20"/>
          <w:szCs w:val="20"/>
          <w:color w:val="auto"/>
        </w:rPr>
      </w:pPr>
    </w:p>
    <w:p>
      <w:pPr>
        <w:ind w:left="700" w:hanging="564"/>
        <w:spacing w:after="0"/>
        <w:tabs>
          <w:tab w:leader="none" w:pos="7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ind w:left="3820"/>
        <w:spacing w:after="0"/>
        <w:tabs>
          <w:tab w:leader="none" w:pos="728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001-38701</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SI-BONE, Inc.</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14" w:lineRule="exact"/>
        <w:rPr>
          <w:sz w:val="20"/>
          <w:szCs w:val="20"/>
          <w:color w:val="auto"/>
        </w:rPr>
      </w:pPr>
    </w:p>
    <w:p>
      <w:pPr>
        <w:ind w:left="2460"/>
        <w:spacing w:after="0"/>
        <w:tabs>
          <w:tab w:leader="none" w:pos="78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26-2216351</w:t>
      </w:r>
    </w:p>
    <w:p>
      <w:pPr>
        <w:spacing w:after="0" w:line="26" w:lineRule="exact"/>
        <w:rPr>
          <w:sz w:val="20"/>
          <w:szCs w:val="20"/>
          <w:color w:val="auto"/>
        </w:rPr>
      </w:pPr>
    </w:p>
    <w:p>
      <w:pPr>
        <w:ind w:left="2000"/>
        <w:spacing w:after="0"/>
        <w:tabs>
          <w:tab w:leader="none" w:pos="7740" w:val="left"/>
        </w:tabs>
        <w:rPr>
          <w:sz w:val="20"/>
          <w:szCs w:val="20"/>
          <w:color w:val="auto"/>
        </w:rPr>
      </w:pPr>
      <w:r>
        <w:rPr>
          <w:rFonts w:ascii="Times New Roman" w:cs="Times New Roman" w:eastAsia="Times New Roman" w:hAnsi="Times New Roman"/>
          <w:sz w:val="14"/>
          <w:szCs w:val="14"/>
          <w:b w:val="1"/>
          <w:bCs w:val="1"/>
          <w:color w:val="auto"/>
        </w:rPr>
        <w:t>(State or other jurisdiction</w:t>
      </w:r>
      <w:r>
        <w:rPr>
          <w:sz w:val="20"/>
          <w:szCs w:val="20"/>
          <w:color w:val="auto"/>
        </w:rPr>
        <w:tab/>
      </w:r>
      <w:r>
        <w:rPr>
          <w:rFonts w:ascii="Times New Roman" w:cs="Times New Roman" w:eastAsia="Times New Roman" w:hAnsi="Times New Roman"/>
          <w:sz w:val="14"/>
          <w:szCs w:val="14"/>
          <w:b w:val="1"/>
          <w:bCs w:val="1"/>
          <w:color w:val="auto"/>
        </w:rPr>
        <w:t>(I.R.S. Employer</w:t>
      </w:r>
    </w:p>
    <w:p>
      <w:pPr>
        <w:ind w:left="1820"/>
        <w:spacing w:after="0"/>
        <w:tabs>
          <w:tab w:leader="none" w:pos="7720" w:val="left"/>
        </w:tabs>
        <w:rPr>
          <w:sz w:val="20"/>
          <w:szCs w:val="20"/>
          <w:color w:val="auto"/>
        </w:rPr>
      </w:pPr>
      <w:r>
        <w:rPr>
          <w:rFonts w:ascii="Times New Roman" w:cs="Times New Roman" w:eastAsia="Times New Roman" w:hAnsi="Times New Roman"/>
          <w:sz w:val="14"/>
          <w:szCs w:val="14"/>
          <w:b w:val="1"/>
          <w:bCs w:val="1"/>
          <w:color w:val="auto"/>
        </w:rPr>
        <w:t>of 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471 El Camino Real, Suite 101, Santa Clara, California 95050</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207-0700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46"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0" w:type="dxa"/>
            <w:vAlign w:val="bottom"/>
          </w:tcPr>
          <w:p>
            <w:pPr>
              <w:spacing w:after="0"/>
              <w:rPr>
                <w:sz w:val="13"/>
                <w:szCs w:val="13"/>
                <w:color w:val="auto"/>
              </w:rPr>
            </w:pPr>
          </w:p>
        </w:tc>
        <w:tc>
          <w:tcPr>
            <w:tcW w:w="306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13"/>
        </w:trPr>
        <w:tc>
          <w:tcPr>
            <w:tcW w:w="30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52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SIBN</w:t>
            </w:r>
          </w:p>
        </w:tc>
        <w:tc>
          <w:tcPr>
            <w:tcW w:w="4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48" w:lineRule="exact"/>
        <w:rPr>
          <w:sz w:val="20"/>
          <w:szCs w:val="20"/>
          <w:color w:val="auto"/>
        </w:rPr>
      </w:pPr>
    </w:p>
    <w:p>
      <w:pPr>
        <w:jc w:val="center"/>
        <w:ind w:right="-19"/>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40" w:lineRule="exact"/>
        <w:rPr>
          <w:sz w:val="20"/>
          <w:szCs w:val="20"/>
          <w:color w:val="auto"/>
        </w:rPr>
      </w:pPr>
    </w:p>
    <w:p>
      <w:pPr>
        <w:jc w:val="center"/>
        <w:spacing w:after="0" w:line="196"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86" w:lineRule="exact"/>
        <w:rPr>
          <w:sz w:val="20"/>
          <w:szCs w:val="20"/>
          <w:color w:val="auto"/>
        </w:rPr>
      </w:pPr>
    </w:p>
    <w:p>
      <w:pPr>
        <w:jc w:val="center"/>
        <w:ind w:left="340" w:right="6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58" w:lineRule="exact"/>
        <w:rPr>
          <w:sz w:val="20"/>
          <w:szCs w:val="20"/>
          <w:color w:val="auto"/>
        </w:rPr>
      </w:pPr>
    </w:p>
    <w:p>
      <w:pPr>
        <w:jc w:val="center"/>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8" w:lineRule="exact"/>
        <w:rPr>
          <w:sz w:val="20"/>
          <w:szCs w:val="20"/>
          <w:color w:val="auto"/>
        </w:rPr>
      </w:pPr>
    </w:p>
    <w:p>
      <w:pPr>
        <w:jc w:val="center"/>
        <w:ind w:left="340" w:right="1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19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Accelerated filer</w:t>
            </w:r>
          </w:p>
        </w:tc>
        <w:tc>
          <w:tcPr>
            <w:tcW w:w="10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Emerging growth company</w:t>
            </w:r>
          </w:p>
        </w:tc>
        <w:tc>
          <w:tcPr>
            <w:tcW w:w="10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84" w:lineRule="exact"/>
        <w:rPr>
          <w:sz w:val="20"/>
          <w:szCs w:val="20"/>
          <w:color w:val="auto"/>
        </w:rPr>
      </w:pPr>
    </w:p>
    <w:p>
      <w:pPr>
        <w:jc w:val="center"/>
        <w:ind w:left="340" w:right="28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4" w:lineRule="exact"/>
        <w:rPr>
          <w:sz w:val="20"/>
          <w:szCs w:val="20"/>
          <w:color w:val="auto"/>
        </w:rPr>
      </w:pPr>
    </w:p>
    <w:p>
      <w:pPr>
        <w:jc w:val="center"/>
        <w:ind w:left="340"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8" w:lineRule="exact"/>
        <w:rPr>
          <w:sz w:val="20"/>
          <w:szCs w:val="20"/>
          <w:color w:val="auto"/>
        </w:rPr>
      </w:pPr>
    </w:p>
    <w:p>
      <w:pPr>
        <w:jc w:val="center"/>
        <w:spacing w:after="0" w:line="221"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p>
    <w:p>
      <w:pPr>
        <w:spacing w:after="0" w:line="193" w:lineRule="exact"/>
        <w:rPr>
          <w:sz w:val="20"/>
          <w:szCs w:val="20"/>
          <w:color w:val="auto"/>
        </w:rPr>
      </w:pPr>
    </w:p>
    <w:p>
      <w:pPr>
        <w:jc w:val="center"/>
        <w:spacing w:after="0" w:line="22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0"/>
          <w:szCs w:val="20"/>
          <w:color w:val="auto"/>
        </w:rPr>
      </w:pPr>
    </w:p>
    <w:p>
      <w:pPr>
        <w:jc w:val="center"/>
        <w:spacing w:after="0" w:line="196" w:lineRule="exact"/>
        <w:tabs>
          <w:tab w:leader="none" w:pos="1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159" w:lineRule="exact"/>
        <w:rPr>
          <w:sz w:val="20"/>
          <w:szCs w:val="20"/>
          <w:color w:val="auto"/>
        </w:rPr>
      </w:pPr>
    </w:p>
    <w:p>
      <w:pPr>
        <w:jc w:val="center"/>
        <w:ind w:left="340"/>
        <w:spacing w:after="0" w:line="268" w:lineRule="auto"/>
        <w:rPr>
          <w:sz w:val="20"/>
          <w:szCs w:val="20"/>
          <w:color w:val="auto"/>
        </w:rPr>
      </w:pPr>
      <w:r>
        <w:rPr>
          <w:rFonts w:ascii="Times New Roman" w:cs="Times New Roman" w:eastAsia="Times New Roman" w:hAnsi="Times New Roman"/>
          <w:sz w:val="14"/>
          <w:szCs w:val="14"/>
          <w:color w:val="auto"/>
        </w:rPr>
        <w:t>The aggregate market value of the shares of common stock held by non-affiliates of the registrant as of June 30, 2024, the last business day of the registrant’s most recently completed second fiscal quarter, was approximately $0.5 billion, calculated based on the closing price of the registrant’s common stock as reported by the Nasdaq Global Market. Shares of common stock held by each officer and director, and each entity affiliated with a director, have been excluded in that such persons may be deemed to be affiliates. This determination of affiliate status is not a conclusive determination for other purposes.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20, 2025 was 42,453,116 shares.</w:t>
      </w:r>
    </w:p>
    <w:p>
      <w:pPr>
        <w:sectPr>
          <w:pgSz w:w="11900" w:h="16838" w:orient="portrait"/>
          <w:cols w:equalWidth="0" w:num="1">
            <w:col w:w="11240"/>
          </w:cols>
          <w:pgMar w:left="320" w:top="786" w:right="3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type w:val="continuous"/>
        </w:sectPr>
      </w:pPr>
    </w:p>
    <w:bookmarkStart w:id="3" w:name="page4"/>
    <w:bookmarkEnd w:id="3"/>
    <w:p>
      <w:pPr>
        <w:jc w:val="center"/>
        <w:spacing w:after="0" w:line="304"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Annual Meeting of Shareholders, which will be filed with the Securities and Exchange Commission within 120 days after the end of the Registrant’s fiscal year ended December 31, 2024, are incorporated by reference into Part III of this Report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435610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684"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51"/>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8"/>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2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94"/>
        </w:trPr>
        <w:tc>
          <w:tcPr>
            <w:tcW w:w="12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91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520" w:type="dxa"/>
            <w:vAlign w:val="bottom"/>
            <w:gridSpan w:val="3"/>
          </w:tcPr>
          <w:p>
            <w:pPr>
              <w:jc w:val="center"/>
              <w:ind w:left="250"/>
              <w:spacing w:after="0" w:line="194" w:lineRule="exact"/>
              <w:rPr>
                <w:sz w:val="20"/>
                <w:szCs w:val="20"/>
                <w:color w:val="auto"/>
              </w:rPr>
            </w:pPr>
            <w:r>
              <w:rPr>
                <w:rFonts w:ascii="Times New Roman" w:cs="Times New Roman" w:eastAsia="Times New Roman" w:hAnsi="Times New Roman"/>
                <w:sz w:val="18"/>
                <w:szCs w:val="18"/>
                <w:color w:val="0000FF"/>
              </w:rPr>
              <w:t>5</w:t>
            </w:r>
          </w:p>
        </w:tc>
        <w:tc>
          <w:tcPr>
            <w:tcW w:w="320" w:type="dxa"/>
            <w:vAlign w:val="bottom"/>
          </w:tcPr>
          <w:p>
            <w:pPr>
              <w:spacing w:after="0"/>
              <w:rPr>
                <w:sz w:val="16"/>
                <w:szCs w:val="16"/>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600" w:type="dxa"/>
            <w:vAlign w:val="bottom"/>
            <w:gridSpan w:val="2"/>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200" w:type="dxa"/>
            <w:vAlign w:val="bottom"/>
            <w:gridSpan w:val="18"/>
          </w:tcPr>
          <w:p>
            <w:pPr>
              <w:spacing w:after="0"/>
              <w:rPr>
                <w:sz w:val="18"/>
                <w:szCs w:val="18"/>
                <w:color w:val="auto"/>
              </w:rPr>
            </w:pP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w w:val="99"/>
              </w:rPr>
              <w:t>24</w:t>
            </w:r>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1B</w:t>
            </w:r>
          </w:p>
        </w:tc>
        <w:tc>
          <w:tcPr>
            <w:tcW w:w="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060" w:type="dxa"/>
            <w:vAlign w:val="bottom"/>
            <w:gridSpan w:val="12"/>
          </w:tcPr>
          <w:p>
            <w:pPr>
              <w:spacing w:after="0"/>
              <w:rPr>
                <w:sz w:val="18"/>
                <w:szCs w:val="18"/>
                <w:color w:val="auto"/>
              </w:rPr>
            </w:pP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w w:val="99"/>
              </w:rPr>
              <w:t>62</w:t>
            </w:r>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1C</w:t>
            </w:r>
          </w:p>
        </w:tc>
        <w:tc>
          <w:tcPr>
            <w:tcW w:w="680" w:type="dxa"/>
            <w:vAlign w:val="bottom"/>
            <w:gridSpan w:val="3"/>
          </w:tcPr>
          <w:p>
            <w:pPr>
              <w:spacing w:after="0"/>
              <w:rPr>
                <w:sz w:val="18"/>
                <w:szCs w:val="18"/>
                <w:color w:val="auto"/>
              </w:rPr>
            </w:pPr>
          </w:p>
        </w:tc>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060" w:type="dxa"/>
            <w:vAlign w:val="bottom"/>
            <w:gridSpan w:val="12"/>
          </w:tcPr>
          <w:p>
            <w:pPr>
              <w:spacing w:after="0"/>
              <w:rPr>
                <w:sz w:val="18"/>
                <w:szCs w:val="18"/>
                <w:color w:val="auto"/>
              </w:rPr>
            </w:pP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w w:val="99"/>
              </w:rPr>
              <w:t>63</w:t>
            </w:r>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gridSpan w:val="3"/>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100" w:type="dxa"/>
            <w:vAlign w:val="bottom"/>
            <w:gridSpan w:val="17"/>
          </w:tcPr>
          <w:p>
            <w:pPr>
              <w:spacing w:after="0"/>
              <w:rPr>
                <w:sz w:val="18"/>
                <w:szCs w:val="18"/>
                <w:color w:val="auto"/>
              </w:rPr>
            </w:pP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w w:val="99"/>
              </w:rPr>
              <w:t>64</w:t>
            </w:r>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w w:val="99"/>
              </w:rPr>
              <w:t>64</w:t>
            </w:r>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w w:val="99"/>
              </w:rPr>
              <w:t>64</w:t>
            </w:r>
          </w:p>
        </w:tc>
        <w:tc>
          <w:tcPr>
            <w:tcW w:w="320" w:type="dxa"/>
            <w:vAlign w:val="bottom"/>
          </w:tcPr>
          <w:p>
            <w:pPr>
              <w:spacing w:after="0"/>
              <w:rPr>
                <w:sz w:val="18"/>
                <w:szCs w:val="18"/>
                <w:color w:val="auto"/>
              </w:rPr>
            </w:pPr>
          </w:p>
        </w:tc>
      </w:tr>
      <w:tr>
        <w:trPr>
          <w:trHeight w:val="245"/>
        </w:trPr>
        <w:tc>
          <w:tcPr>
            <w:tcW w:w="46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2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3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r>
      <w:tr>
        <w:trPr>
          <w:trHeight w:val="194"/>
        </w:trPr>
        <w:tc>
          <w:tcPr>
            <w:tcW w:w="12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91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20" w:type="dxa"/>
            <w:vAlign w:val="bottom"/>
            <w:gridSpan w:val="3"/>
          </w:tcPr>
          <w:p>
            <w:pPr>
              <w:jc w:val="center"/>
              <w:ind w:left="250"/>
              <w:spacing w:after="0" w:line="194" w:lineRule="exact"/>
              <w:rPr>
                <w:sz w:val="20"/>
                <w:szCs w:val="20"/>
                <w:color w:val="auto"/>
              </w:rPr>
            </w:pPr>
            <w:r>
              <w:rPr>
                <w:rFonts w:ascii="Times New Roman" w:cs="Times New Roman" w:eastAsia="Times New Roman" w:hAnsi="Times New Roman"/>
                <w:sz w:val="18"/>
                <w:szCs w:val="18"/>
                <w:color w:val="0000FF"/>
                <w:w w:val="99"/>
              </w:rPr>
              <w:t>65</w:t>
            </w:r>
          </w:p>
        </w:tc>
        <w:tc>
          <w:tcPr>
            <w:tcW w:w="320" w:type="dxa"/>
            <w:vAlign w:val="bottom"/>
          </w:tcPr>
          <w:p>
            <w:pPr>
              <w:spacing w:after="0"/>
              <w:rPr>
                <w:sz w:val="16"/>
                <w:szCs w:val="16"/>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[Reserved]</w:t>
            </w: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w w:val="99"/>
              </w:rPr>
              <w:t>65</w:t>
            </w:r>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w:t>
            </w: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w w:val="99"/>
              </w:rPr>
              <w:t>66</w:t>
            </w:r>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11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120" w:type="dxa"/>
            <w:vAlign w:val="bottom"/>
          </w:tcPr>
          <w:p>
            <w:pPr>
              <w:spacing w:after="0"/>
              <w:rPr>
                <w:sz w:val="18"/>
                <w:szCs w:val="18"/>
                <w:color w:val="auto"/>
              </w:rPr>
            </w:pPr>
          </w:p>
        </w:tc>
        <w:tc>
          <w:tcPr>
            <w:tcW w:w="4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00" w:type="dxa"/>
            <w:vAlign w:val="bottom"/>
            <w:gridSpan w:val="7"/>
          </w:tcPr>
          <w:p>
            <w:pPr>
              <w:spacing w:after="0"/>
              <w:rPr>
                <w:sz w:val="18"/>
                <w:szCs w:val="18"/>
                <w:color w:val="auto"/>
              </w:rPr>
            </w:pP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w w:val="99"/>
              </w:rPr>
              <w:t>77</w:t>
            </w:r>
          </w:p>
        </w:tc>
        <w:tc>
          <w:tcPr>
            <w:tcW w:w="320" w:type="dxa"/>
            <w:vAlign w:val="bottom"/>
          </w:tcPr>
          <w:p>
            <w:pPr>
              <w:spacing w:after="0"/>
              <w:rPr>
                <w:sz w:val="18"/>
                <w:szCs w:val="18"/>
                <w:color w:val="auto"/>
              </w:rPr>
            </w:pPr>
          </w:p>
        </w:tc>
      </w:tr>
      <w:tr>
        <w:trPr>
          <w:trHeight w:val="209"/>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680" w:type="dxa"/>
            <w:vAlign w:val="bottom"/>
            <w:gridSpan w:val="3"/>
          </w:tcPr>
          <w:p>
            <w:pPr>
              <w:spacing w:after="0"/>
              <w:rPr>
                <w:sz w:val="18"/>
                <w:szCs w:val="18"/>
                <w:color w:val="auto"/>
              </w:rPr>
            </w:pPr>
          </w:p>
        </w:tc>
        <w:tc>
          <w:tcPr>
            <w:tcW w:w="3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780" w:type="dxa"/>
            <w:vAlign w:val="bottom"/>
            <w:gridSpan w:val="9"/>
          </w:tcPr>
          <w:p>
            <w:pPr>
              <w:spacing w:after="0"/>
              <w:rPr>
                <w:sz w:val="18"/>
                <w:szCs w:val="18"/>
                <w:color w:val="auto"/>
              </w:rPr>
            </w:pP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w w:val="99"/>
              </w:rPr>
              <w:t>78</w:t>
            </w:r>
          </w:p>
        </w:tc>
        <w:tc>
          <w:tcPr>
            <w:tcW w:w="320" w:type="dxa"/>
            <w:vAlign w:val="bottom"/>
          </w:tcPr>
          <w:p>
            <w:pPr>
              <w:spacing w:after="0"/>
              <w:rPr>
                <w:sz w:val="18"/>
                <w:szCs w:val="18"/>
                <w:color w:val="auto"/>
              </w:rPr>
            </w:pPr>
          </w:p>
        </w:tc>
      </w:tr>
      <w:tr>
        <w:trPr>
          <w:trHeight w:val="209"/>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w:t>
            </w: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106</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9A</w:t>
            </w:r>
          </w:p>
        </w:tc>
        <w:tc>
          <w:tcPr>
            <w:tcW w:w="600" w:type="dxa"/>
            <w:vAlign w:val="bottom"/>
            <w:gridSpan w:val="2"/>
          </w:tcPr>
          <w:p>
            <w:pPr>
              <w:spacing w:after="0"/>
              <w:rPr>
                <w:sz w:val="18"/>
                <w:szCs w:val="18"/>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40" w:type="dxa"/>
            <w:vAlign w:val="bottom"/>
            <w:gridSpan w:val="14"/>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106</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9B</w:t>
            </w:r>
          </w:p>
        </w:tc>
        <w:tc>
          <w:tcPr>
            <w:tcW w:w="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4"/>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9C</w:t>
            </w:r>
          </w:p>
        </w:tc>
        <w:tc>
          <w:tcPr>
            <w:tcW w:w="680" w:type="dxa"/>
            <w:vAlign w:val="bottom"/>
            <w:gridSpan w:val="3"/>
          </w:tcPr>
          <w:p>
            <w:pPr>
              <w:spacing w:after="0"/>
              <w:rPr>
                <w:sz w:val="18"/>
                <w:szCs w:val="18"/>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107</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45"/>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2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194"/>
        </w:trPr>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0"/>
              </w:rPr>
              <w:t>Item 10</w:t>
            </w:r>
          </w:p>
        </w:tc>
        <w:tc>
          <w:tcPr>
            <w:tcW w:w="680" w:type="dxa"/>
            <w:vAlign w:val="bottom"/>
            <w:gridSpan w:val="3"/>
          </w:tcPr>
          <w:p>
            <w:pPr>
              <w:spacing w:after="0"/>
              <w:rPr>
                <w:sz w:val="16"/>
                <w:szCs w:val="16"/>
                <w:color w:val="auto"/>
              </w:rPr>
            </w:pPr>
          </w:p>
        </w:tc>
        <w:tc>
          <w:tcPr>
            <w:tcW w:w="91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4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6"/>
              </w:rPr>
              <w:t>107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11</w:t>
            </w:r>
          </w:p>
        </w:tc>
        <w:tc>
          <w:tcPr>
            <w:tcW w:w="680" w:type="dxa"/>
            <w:vAlign w:val="bottom"/>
            <w:gridSpan w:val="3"/>
          </w:tcPr>
          <w:p>
            <w:pPr>
              <w:spacing w:after="0"/>
              <w:rPr>
                <w:sz w:val="18"/>
                <w:szCs w:val="18"/>
                <w:color w:val="auto"/>
              </w:rPr>
            </w:pPr>
          </w:p>
        </w:tc>
        <w:tc>
          <w:tcPr>
            <w:tcW w:w="4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020" w:type="dxa"/>
            <w:vAlign w:val="bottom"/>
            <w:gridSpan w:val="8"/>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108</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12</w:t>
            </w:r>
          </w:p>
        </w:tc>
        <w:tc>
          <w:tcPr>
            <w:tcW w:w="680" w:type="dxa"/>
            <w:vAlign w:val="bottom"/>
            <w:gridSpan w:val="3"/>
          </w:tcPr>
          <w:p>
            <w:pPr>
              <w:spacing w:after="0"/>
              <w:rPr>
                <w:sz w:val="18"/>
                <w:szCs w:val="18"/>
                <w:color w:val="auto"/>
              </w:rPr>
            </w:pPr>
          </w:p>
        </w:tc>
        <w:tc>
          <w:tcPr>
            <w:tcW w:w="7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820" w:type="dxa"/>
            <w:vAlign w:val="bottom"/>
            <w:gridSpan w:val="2"/>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108</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13</w:t>
            </w:r>
          </w:p>
        </w:tc>
        <w:tc>
          <w:tcPr>
            <w:tcW w:w="680" w:type="dxa"/>
            <w:vAlign w:val="bottom"/>
            <w:gridSpan w:val="3"/>
          </w:tcPr>
          <w:p>
            <w:pPr>
              <w:spacing w:after="0"/>
              <w:rPr>
                <w:sz w:val="18"/>
                <w:szCs w:val="18"/>
                <w:color w:val="auto"/>
              </w:rPr>
            </w:pPr>
          </w:p>
        </w:tc>
        <w:tc>
          <w:tcPr>
            <w:tcW w:w="5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80" w:type="dxa"/>
            <w:vAlign w:val="bottom"/>
            <w:gridSpan w:val="3"/>
          </w:tcPr>
          <w:p>
            <w:pPr>
              <w:spacing w:after="0"/>
              <w:rPr>
                <w:sz w:val="18"/>
                <w:szCs w:val="18"/>
                <w:color w:val="auto"/>
              </w:rPr>
            </w:pPr>
          </w:p>
        </w:tc>
        <w:tc>
          <w:tcPr>
            <w:tcW w:w="1820" w:type="dxa"/>
            <w:vAlign w:val="bottom"/>
            <w:gridSpan w:val="2"/>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108</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14</w:t>
            </w:r>
          </w:p>
        </w:tc>
        <w:tc>
          <w:tcPr>
            <w:tcW w:w="680" w:type="dxa"/>
            <w:vAlign w:val="bottom"/>
            <w:gridSpan w:val="3"/>
          </w:tcPr>
          <w:p>
            <w:pPr>
              <w:spacing w:after="0"/>
              <w:rPr>
                <w:sz w:val="18"/>
                <w:szCs w:val="18"/>
                <w:color w:val="auto"/>
              </w:rPr>
            </w:pPr>
          </w:p>
        </w:tc>
        <w:tc>
          <w:tcPr>
            <w:tcW w:w="5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700" w:type="dxa"/>
            <w:vAlign w:val="bottom"/>
            <w:gridSpan w:val="5"/>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108</w:t>
            </w:r>
          </w:p>
        </w:tc>
      </w:tr>
      <w:tr>
        <w:trPr>
          <w:trHeight w:val="245"/>
        </w:trPr>
        <w:tc>
          <w:tcPr>
            <w:tcW w:w="4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2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3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r>
      <w:tr>
        <w:trPr>
          <w:trHeight w:val="194"/>
        </w:trPr>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0"/>
              </w:rPr>
              <w:t>Item 15</w:t>
            </w:r>
          </w:p>
        </w:tc>
        <w:tc>
          <w:tcPr>
            <w:tcW w:w="680" w:type="dxa"/>
            <w:vAlign w:val="bottom"/>
            <w:gridSpan w:val="3"/>
          </w:tcPr>
          <w:p>
            <w:pPr>
              <w:spacing w:after="0"/>
              <w:rPr>
                <w:sz w:val="16"/>
                <w:szCs w:val="16"/>
                <w:color w:val="auto"/>
              </w:rPr>
            </w:pPr>
          </w:p>
        </w:tc>
        <w:tc>
          <w:tcPr>
            <w:tcW w:w="91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4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6"/>
              </w:rPr>
              <w:t>109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16</w:t>
            </w:r>
          </w:p>
        </w:tc>
        <w:tc>
          <w:tcPr>
            <w:tcW w:w="680" w:type="dxa"/>
            <w:vAlign w:val="bottom"/>
            <w:gridSpan w:val="3"/>
          </w:tcPr>
          <w:p>
            <w:pPr>
              <w:spacing w:after="0"/>
              <w:rPr>
                <w:sz w:val="18"/>
                <w:szCs w:val="18"/>
                <w:color w:val="auto"/>
              </w:rPr>
            </w:pPr>
          </w:p>
        </w:tc>
        <w:tc>
          <w:tcPr>
            <w:tcW w:w="15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gridSpan w:val="5"/>
          </w:tcPr>
          <w:p>
            <w:pPr>
              <w:spacing w:after="0"/>
              <w:rPr>
                <w:sz w:val="18"/>
                <w:szCs w:val="18"/>
                <w:color w:val="auto"/>
              </w:rPr>
            </w:pPr>
          </w:p>
        </w:tc>
        <w:tc>
          <w:tcPr>
            <w:tcW w:w="5960" w:type="dxa"/>
            <w:vAlign w:val="bottom"/>
            <w:gridSpan w:val="10"/>
          </w:tcPr>
          <w:p>
            <w:pPr>
              <w:spacing w:after="0"/>
              <w:rPr>
                <w:sz w:val="18"/>
                <w:szCs w:val="18"/>
                <w:color w:val="auto"/>
              </w:rPr>
            </w:pPr>
          </w:p>
        </w:tc>
        <w:tc>
          <w:tcPr>
            <w:tcW w:w="5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96"/>
              </w:rPr>
              <w:t>111</w:t>
            </w:r>
          </w:p>
        </w:tc>
        <w:tc>
          <w:tcPr>
            <w:tcW w:w="320" w:type="dxa"/>
            <w:vAlign w:val="bottom"/>
          </w:tcPr>
          <w:p>
            <w:pPr>
              <w:spacing w:after="0"/>
              <w:rPr>
                <w:sz w:val="18"/>
                <w:szCs w:val="18"/>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533"/>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96"/>
              </w:rPr>
              <w:t>112</w:t>
            </w:r>
          </w:p>
        </w:tc>
        <w:tc>
          <w:tcPr>
            <w:tcW w:w="32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201930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 this Annual Report on Form 10-K, “we,” “our,” “us,” “SI-BONE,” and “the Company” refer to SI-BONE, Inc. and its consolidated subsidiaries.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5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“Item 1A. Risk Factors” below.</w:t>
      </w:r>
    </w:p>
    <w:p>
      <w:pPr>
        <w:spacing w:after="0" w:line="175" w:lineRule="exact"/>
        <w:rPr>
          <w:sz w:val="20"/>
          <w:szCs w:val="20"/>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incurred significant operating losses since inception, we may continue to incur operating losses in the future, and we may not be able to achieve or sustain future profitability;</w:t>
      </w:r>
    </w:p>
    <w:p>
      <w:pPr>
        <w:spacing w:after="0" w:line="175" w:lineRule="exact"/>
        <w:rPr>
          <w:rFonts w:ascii="Times New Roman" w:cs="Times New Roman" w:eastAsia="Times New Roman" w:hAnsi="Times New Roman"/>
          <w:sz w:val="18"/>
          <w:szCs w:val="18"/>
          <w:b w:val="1"/>
          <w:bCs w:val="1"/>
          <w:i w:val="1"/>
          <w:iCs w:val="1"/>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convince physicians that our products are attractive alternatives to our competitors’ products and that our procedures are attractive alternatives to existing surgical and non-surgical treatments for their respective indications;</w:t>
      </w:r>
    </w:p>
    <w:p>
      <w:pPr>
        <w:spacing w:after="0" w:line="16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hospitals, physicians,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coverage and reimbursement environment may decrease demand for our products and adversely affect our business;</w:t>
      </w:r>
    </w:p>
    <w:p>
      <w:pPr>
        <w:spacing w:after="0" w:line="2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from our competitors, healthcare provider consolidation, the presence of physician-owned distributorships, and payor consolidation may impact our ability to sell our product at prices necessary to support our current business strategies;</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Practice trends, market dynamics, and other factors, have caused, and may continue to cause, procedures to shift from the hospital environment to ambulatory surgical centers ("ASCs") or office-based labs ("OBLs") where pressure on the prices of our products is generally more acute;</w:t>
      </w:r>
    </w:p>
    <w:p>
      <w:pPr>
        <w:spacing w:after="0" w:line="14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been highly dependent on revenue from the sale of a single family of products focused on procedures, the goal of which is to stabilize and fuse the sacroiliac joint. Continued reliance on a single family of products and single family of procedures could negatively affect our results of operations and financial condition.;</w:t>
      </w:r>
    </w:p>
    <w:p>
      <w:pPr>
        <w:spacing w:after="0" w:line="16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very competitive business environment and if we are unable to compete successfully against our existing or potential competitors, our sales and operating results may be adversely affected;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90"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inflation and supply chain disruptions could result in delayed product launches, lost revenue, higher costs and decreased profit margins;</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75" w:lineRule="exact"/>
        <w:rPr>
          <w:rFonts w:ascii="Times New Roman" w:cs="Times New Roman" w:eastAsia="Times New Roman" w:hAnsi="Times New Roman"/>
          <w:sz w:val="18"/>
          <w:szCs w:val="18"/>
          <w:b w:val="1"/>
          <w:bCs w:val="1"/>
          <w:i w:val="1"/>
          <w:iCs w:val="1"/>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payors may not find the clinical evidence supporting our more recent products to be compelling, which could limit our sales and revenue, and on-going and future research may prove our products to be less safe and effective than currently thought;</w:t>
      </w:r>
    </w:p>
    <w:p>
      <w:pPr>
        <w:spacing w:after="0" w:line="16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experience with our iFuse Bedrock technique or our iFuse Bedrock Granite, iFuse TORQ, or iFuse INTRA products do not result in positive outcomes for patients, or if clinical trials involving the use of iFuse Bedrock, iFuse Bedrock Granite, iFuse INTRA and/or iFuse TORQ fail to show meaningful patient benefit, sales of our iFuse, iFuse-3D, iFuse TORQ and/or iFuse Bedrock Granite implants could be adversely impacted;</w:t>
      </w:r>
    </w:p>
    <w:p>
      <w:pPr>
        <w:spacing w:after="0" w:line="19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 w:name="page7"/>
    <w:bookmarkEnd w:id="6"/>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we are unable to maintain our network of direct sales representatives, third-party sales agents, and resellers, we may not be able to generate anticipated sales;</w:t>
      </w:r>
    </w:p>
    <w:p>
      <w:pPr>
        <w:spacing w:after="0" w:line="175"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business could suffer if we lose the services of key members of our senior management, key advisors or personnel;</w:t>
      </w:r>
    </w:p>
    <w:p>
      <w:pPr>
        <w:spacing w:after="0" w:line="211" w:lineRule="exact"/>
        <w:rPr>
          <w:rFonts w:ascii="Times New Roman" w:cs="Times New Roman" w:eastAsia="Times New Roman" w:hAnsi="Times New Roman"/>
          <w:sz w:val="18"/>
          <w:szCs w:val="18"/>
          <w:b w:val="1"/>
          <w:bCs w:val="1"/>
          <w:i w:val="1"/>
          <w:iCs w:val="1"/>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use of our products results in adverse events, this may require them to be taken off the market, require them to include safety warnings or otherwise limit their sales;</w:t>
      </w:r>
    </w:p>
    <w:p>
      <w:pPr>
        <w:spacing w:after="0" w:line="175"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factors outside our direct control may adversely affect manufacturing, sterilization, and distribution of our products;</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17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90"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46"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and rules, contractual obligations, industry standards, policies and other obligations related to data privacy and security. Our (and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 and</w:t>
      </w:r>
    </w:p>
    <w:p>
      <w:pPr>
        <w:spacing w:after="0" w:line="181"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05"/>
        <w:spacing w:after="0" w:line="240"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Annual Report on Form 10-K and are subject to a number of risks, uncertainties and assumptions, including those described under the sections in this Annual Report on Form 10-K entitled “Risk Factors” and “Management’s Discussion and Analysis of Financial Condition and Results of Operations.” These forward-looking statements include, but are not limited to, statements about the following:</w:t>
      </w:r>
    </w:p>
    <w:p>
      <w:pPr>
        <w:spacing w:after="0" w:line="22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 that a significant portion of our revenues will be derived from sales of the iFuse Implant System, or iFuse;</w:t>
      </w:r>
    </w:p>
    <w:p>
      <w:pPr>
        <w:spacing w:after="0" w:line="22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additional revenue opportunities, including new indications for use and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grow our sales team based on the demand for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train, and retain physicians to perform procedures using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favorable coverage and reimbursement determinations from third-party payors;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market opportunity;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protection from intellectual property rights covering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results from clinical and other trials;</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clearances and authorization from the FDA and regulators in other jurisdictions and CE Certificates of Conformity from Notified Bodies;</w:t>
      </w:r>
    </w:p>
    <w:p>
      <w:pPr>
        <w:spacing w:after="0" w:line="17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regulatory filings and feedback;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we serve;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reliability and performance of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benefits to patients, providers, and payors of our products;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the supply chains we rely on, including the availability of raw materials and skilled labor serving our suppliers, and the cost of these factors of production which may in turn impact the prices we pay for our devices;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including sole source suppliers, which may impact the availability of instruments and materials;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or increase demand for our products;</w:t>
      </w:r>
    </w:p>
    <w:p>
      <w:pPr>
        <w:spacing w:after="0" w:line="211" w:lineRule="exact"/>
        <w:rPr>
          <w:rFonts w:ascii="Times New Roman" w:cs="Times New Roman" w:eastAsia="Times New Roman" w:hAnsi="Times New Roman"/>
          <w:sz w:val="18"/>
          <w:szCs w:val="18"/>
          <w:color w:val="auto"/>
        </w:rPr>
      </w:pPr>
    </w:p>
    <w:p>
      <w:pPr>
        <w:ind w:left="660" w:right="46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epidemics on our operations, financial results, liquidity, and capital resources, including the impact on our global supply chain, demand for and ability to obtain our products and procedures, and our ability to maintain a healthy workforce;</w:t>
      </w:r>
    </w:p>
    <w:p>
      <w:pPr>
        <w:spacing w:after="0" w:line="14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costs and risks associated with our international operations and expansion;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retain and recruit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employees, including those with specialized skills and experience;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acquisitions and strategic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working capital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and the cost of, federal, state, and foreign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as well as implantable bone products. Since launching our first generation iFuse in 2009, we have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w:t>
      </w:r>
    </w:p>
    <w:p>
      <w:pPr>
        <w:spacing w:after="0" w:line="21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We market our products primarily with a direct sales force as well as a number of third-party sales agents in the United States, and with a combination of a direct sales force, and sales agents and resellers in other countries. As of December 31, 2024, over 115,000 procedures have been performed using our products by over 4,300 physicians in the United States and 38 other countries since we introduced iFuse in 2009.</w:t>
      </w:r>
    </w:p>
    <w:p>
      <w:pPr>
        <w:spacing w:after="0" w:line="204"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In May 2023, we received a total of $83.7 million of net proceeds from the offering of 3,775,000 shares of our common stock, and the exercise of the underwriter's option to purchase an additional 566,250 shares of our common stock, at a public offering price of $22.00 per share. Of these shares, 272,753 shares were offered by a selling stockholder, and we did not receive any proceeds from the sale by the selling stockholder.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Applications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first-generation iFuse, a machined triangular titanium implant launched in 2009, has a triangular cross section that resists twisting or rotation of the implant. The triangular shape of this implant helps stabilize the joint, and the implant’s porous surface facilitates biologic fixation of the bone onto the implant, or bony on-growth and in-growth that results in fusion. The implant has at least three times the strength of a typical eight-millimeter cannulated surgical screw, and the large porous surface area of our implants allows for bony ingrowth. Our second generation iFuse product, the iFuse-3D implant, launched in 2017, is a patented titanium implant that combines the triangular cross-section of the first generation iFuse implant with a proprietary 3D-</w:t>
      </w:r>
    </w:p>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printed porous surface and fenestrated design. This design, with its open and porous structure, also allows the implant to self-harvest bone as it is impacted through the ilium. We hold patents on implants with cross-sections of many non-round shapes, including the triangular shape, as well as the fenestration configuration we use with our iFuse-3D implants. We also hold patents for the method of placing the implant across the sacroiliac joint, as well as other parts of the spine and pelvis.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2019, we received clearance from the United States Food and Drug Administration ("FDA") to promote the use of our iFuse-3D implants for fusion of the sacroiliac joint in conjunction with multi-level spinal fusion procedures to provide further stabilization and immobilization of the sacroiliac joint, which we call the Bedrock technique. We CE marked and began marketing iFuse for this indication and surgical technique in the European Union ("EU") in December 2019. In March 2020, we received FDA 510(k) clearance for an expanded indication for our triangular titanium iFuse implants to support our trauma initiative</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late-2019, we introduced iFuse Bone, an implantable bone product manufactured from sterilized recovered cadaveric bone tissue, to meet the demand of some of our surgeon customers to use implantable bone products to support and augment the patient's own bone tissue in orthopedic procedures. In 2024, we expanded our platform of allograft solutions with the iFuse INTRA family of implants, which are allograft bone implants for physicians who believe that this kind of intra-articular implant can be important to obtaining stabilization and/or fusion.</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2021, we launched iFuse TORQ, a line of 3D-printed threaded implants designed for use in pelvic trauma, as well as applications in sacroiliac joint dysfunction and degeneration. Relative to competitive trauma products, iFuse TORQ is roughly four times as strong in bending and requires 10 times the rotational force, or torque, to insert due to its porosity and other design features. We believe that this rotational resistance gives physicians confidence in the strength of mechanical fixation that iFuse TORQ provides, and that the technological advancements incorporated into iFuse TORQ represent a significant improvement compared to conventional trauma screws. iFuse TORQ has a larger surface area for bone in-growth and was specifically designed to allow for osteointegration, or incorporation of the bone in the implant's porous surface and structure. In 2022, the FDA provided clearance for an expanded indication for iFuse TORQ to include acute, non-acute and non-traumatic fractures as well as for placement across the sacroiliac joint using our Bedrock technique.</w:t>
      </w:r>
    </w:p>
    <w:p>
      <w:pPr>
        <w:spacing w:after="0" w:line="200" w:lineRule="exact"/>
        <w:rPr>
          <w:sz w:val="20"/>
          <w:szCs w:val="20"/>
          <w:color w:val="auto"/>
        </w:rPr>
      </w:pPr>
    </w:p>
    <w:p>
      <w:pPr>
        <w:spacing w:after="0" w:line="24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9" w:name="page10"/>
    <w:bookmarkEnd w:id="9"/>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May 2022, we launched our iFuse Bedrock Granite Implant System. The iFuse Bedrock Granite implant provides sacroiliac fusion and sacropelvic fixation as a foundational element for segmental spinal fusion. The iFuse Bedrock Granite implant has a machined titanium core surrounded by a fusion sleeve that is additively manufactured. The fusion sleeve offers greater surface area for both microporous and macroporous surface features as well as self-harvesting cutting flutes. The fusion sleeve provides numerous means for biological fixation (bony on-growth, in-growth and through-growth). The robust neck and the set screw design also provide more strength and reliability to the iFuse Bedrock Granite implant. Based on the implant's ability to drive fusion and fixation, iFuse Bedrock Granite is designated by the FDA as a breakthrough device. The Breakthrough Device Designation was based on the FDA's recognition of iFuse Bedrock Granite as a new technology that can provide substantial clinical improvement over already available therapies. This Breakthrough Designation enabled us to obtain New Technology Add-on Payment ("NTAP") and Transitional Pass-Through Payment ("TPT") awards, which provide for higher levels of reimbursement from the Medicare program to the healthcare facility in which a procedure is performed using this implant. In December 2022, we received FDA clearance for promotion of the compatibility of iFuse Bedrock Granite with a broad class of commercially available rods. In January 2024, we received FDA clearance for a smaller diameter (9.5mm) iFuse Bedrock Granite implant with both an expanded indication that covers pediatric patients and an expanded application that includes use in the S1 trajectory.</w:t>
      </w:r>
    </w:p>
    <w:p>
      <w:pPr>
        <w:spacing w:after="0" w:line="2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2022, the Centers for Medicare and Medicaid Services ("CMS") issued a final decision for a NTAP of up to $9,828 for eligible cases using iFuse Bedrock Granite in the hospital inpatient setting. The NTAP became effective October 1, 2022 and will be effective for a period of up to three years and is exclusive to iFuse Bedrock Granite. In November 2024, CMS then issued a final decision for a TPT status for eligible cases using iFuse Bedrock Granite when performed in the hospital outpatient setting. The TPT for iFuse Bedrock Granite became effective January 1, 2025.</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2024, we received FDA clearance for our iFuse TORQ TNT Implant System. iFuse TORQ TNT includes a porous threaded implant with lengths capable of spanning the posterior pelvis, passing through the ipsilateral ilium, sacrum, and through the contralateral ilium. iFuse TORQ TNT was designated a breakthrough device by the FDA based on its potential to provide more effective treatment of pelvic fragility fractures than traditional machined cannulated screws, which are the current standard of care. iFuse TORQ TNT is designed to improve early fixation and reduce the rate of screw backout, which may allow for early patient weight-bearing and mobilization.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jc w:val="both"/>
        <w:ind w:firstLine="405"/>
        <w:spacing w:after="0" w:line="329" w:lineRule="auto"/>
        <w:rPr>
          <w:sz w:val="20"/>
          <w:szCs w:val="20"/>
          <w:color w:val="auto"/>
        </w:rPr>
      </w:pPr>
      <w:r>
        <w:rPr>
          <w:rFonts w:ascii="Times New Roman" w:cs="Times New Roman" w:eastAsia="Times New Roman" w:hAnsi="Times New Roman"/>
          <w:sz w:val="18"/>
          <w:szCs w:val="18"/>
          <w:color w:val="auto"/>
        </w:rPr>
        <w:t>As a sacropelvic solutions company, our products have applications across sacroiliac joint dysfunction and degeneration, spinopelvic fixation, and pelvic fractures. We estimate that our total addressable market in the United States exceeds $3.0 billion.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Sacroiliac Joint Dysfunction and Degeneration</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Over 30 million American adults are estimated to have chronic lower back pain. Studies indicate that 15% to 30% of patients with chronic low back pain may have symptoms originating with the sacroiliac joint. Our experience in both clinical trials and commercial settings indicates that at least 30% of these patients may be candidates for surgical treatment with our implants. Based on our market experience and internal estimates, and the assumption that the average person suffering from sacroiliac joint dysfunction has been in pain for five years, we estimate that the potential annual market opportunity for sacroiliac joint fusion in the United States could be approximately 279,000 patients for a potential market in the United States of approximately $2.4 billion per year.</w:t>
      </w:r>
    </w:p>
    <w:p>
      <w:pPr>
        <w:spacing w:after="0" w:line="2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Sacroiliac joint patients may have experienced one or more events that have contributed to disruption and/or degeneration of the sacroiliac joint, such as pregnancy, falls, previous lumbar surgery, automobile accidents, and aging, which may cause degeneration of the cushioning in the joint much like other joints. Patients with sacroiliac joint dysfunction frequently experience significant pain simply from sitting, standing, or rolling over in bed. The pain can be exacerbated with activity - when a patient walks or runs. We believe that approximately 65% of people who suffer from sacroiliac pain are women. Although several non-surgical treatments exist for sacroiliac joint pain, including physical therapy, opiates and non-steroidal anti-inflammatory medications, intra-articular injection of steroid medications and radio frequency ablation, these treatments did not provide long-term pain or disability relief in our randomized controlled clinical trials.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Adult Deformity and Degeneration</w:t>
      </w:r>
    </w:p>
    <w:p>
      <w:pPr>
        <w:spacing w:after="0" w:line="256"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To strengthen the base of spinal constructs, spine surgeons have been using longer and larger diameter pedicle screws in iliac and sacro-alar iliac trajectories, in which these screws connecting to the spinal fusion construct are placed into the pelvis. Third party data has shown that the use of pedicle screws to anchor to the pelvis has delivered sub-optimal patient outcomes resulting in revision surgeries. Acute set screw failure of sacro-alar iliac screws has been reported in approximately 5% of cases. Screw loosening within the sacrum/ilium is another common failure, occurring in 4-27% of cases and screw fracture has been reported in up to 20% of cases. Building on our experience with the Bedrock technique which we introduced in 2019, we introduced iFuse Bedrock Granite, a novel,</w:t>
      </w:r>
    </w:p>
    <w:p>
      <w:pPr>
        <w:spacing w:after="0" w:line="19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patent-protected device designed for the specific demands of the sacropelvic anatomy at the end of spinal fusion constructs. We believe there are over 30,000 surgeries involving fixation of five or more spinal segments that involve fixation to the pelvis and an additional 100,000 surgeries involving two to four level spinal segment fixations to the sacrum, which we estimate to be an approximately $1.0 billion aggregate annual market opportunity.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Pelvic Trauma</w:t>
      </w:r>
    </w:p>
    <w:p>
      <w:pPr>
        <w:spacing w:after="0" w:line="256"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Current treatment options for pelvic fragility fractures are sub-optimal. Sacroplasty, in which bone cement is extruded into the sacrum to help fix the fracture, is associated with high rates of cement leakage and therefore lacks consistent coverage by payors. Traditional trauma screws do not integrate with</w:t>
      </w: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surrounding bone and therefore loosen in more than 20% of the cases in which they are used. As a result, most patients are prescribed bed-rest, involving significant capacity and financial burdens on the health care system, and a one-year mortality rate range of 14%-27%. With the introduction of iFuse TORQ in 2021 and iFuse TORQ TNT in 2024, we are specifically targeting the pelvic trauma market, which we estimate to be an approximately $350 million market opportunity.</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Evidence</w:t>
      </w:r>
    </w:p>
    <w:p>
      <w:pPr>
        <w:spacing w:after="0" w:line="216" w:lineRule="exact"/>
        <w:rPr>
          <w:sz w:val="20"/>
          <w:szCs w:val="20"/>
          <w:color w:val="auto"/>
        </w:rPr>
      </w:pPr>
    </w:p>
    <w:p>
      <w:pPr>
        <w:jc w:val="both"/>
        <w:ind w:right="20" w:firstLine="405"/>
        <w:spacing w:after="0" w:line="242" w:lineRule="auto"/>
        <w:rPr>
          <w:sz w:val="20"/>
          <w:szCs w:val="20"/>
          <w:color w:val="auto"/>
        </w:rPr>
      </w:pPr>
      <w:r>
        <w:rPr>
          <w:rFonts w:ascii="Times New Roman" w:cs="Times New Roman" w:eastAsia="Times New Roman" w:hAnsi="Times New Roman"/>
          <w:sz w:val="18"/>
          <w:szCs w:val="18"/>
          <w:color w:val="auto"/>
        </w:rPr>
        <w:t>Our triangular iFuse implants are the only minimally invasive products for sacroiliac joint fusion commercially available in the United States that, to our knowledge, are supported by substantial high-quality published evidence of safety, clinical effectiveness, durability, and economic utility. The safety, effectiveness and cost-effectiveness of our iFuse family of implants are supported by more than 160 publications and several prospective clinical studies, including four randomized trials, two large prospective multi-center trials and one long-term follow-up study. Additional long-term independent studies have reported follow-up data as far out as six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Table 1. Summary of SI-BONE sponsored trials.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440" w:type="dxa"/>
            <w:vAlign w:val="bottom"/>
            <w:tcBorders>
              <w:top w:val="single" w:sz="8" w:color="auto"/>
              <w:left w:val="single" w:sz="8" w:color="auto"/>
              <w:right w:val="single" w:sz="8" w:color="auto"/>
            </w:tcBorders>
          </w:tcPr>
          <w:p>
            <w:pPr>
              <w:ind w:left="280"/>
              <w:spacing w:after="0"/>
              <w:rPr>
                <w:sz w:val="20"/>
                <w:szCs w:val="20"/>
                <w:color w:val="auto"/>
              </w:rPr>
            </w:pPr>
            <w:r>
              <w:rPr>
                <w:rFonts w:ascii="Calibri" w:cs="Calibri" w:eastAsia="Calibri" w:hAnsi="Calibri"/>
                <w:sz w:val="18"/>
                <w:szCs w:val="18"/>
                <w:b w:val="1"/>
                <w:bCs w:val="1"/>
                <w:color w:val="auto"/>
              </w:rPr>
              <w:t>Study Name</w:t>
            </w:r>
          </w:p>
        </w:tc>
        <w:tc>
          <w:tcPr>
            <w:tcW w:w="1400" w:type="dxa"/>
            <w:vAlign w:val="bottom"/>
            <w:tcBorders>
              <w:top w:val="single" w:sz="8" w:color="auto"/>
              <w:right w:val="single" w:sz="8" w:color="auto"/>
            </w:tcBorders>
          </w:tcPr>
          <w:p>
            <w:pPr>
              <w:ind w:left="400"/>
              <w:spacing w:after="0"/>
              <w:rPr>
                <w:sz w:val="20"/>
                <w:szCs w:val="20"/>
                <w:color w:val="auto"/>
              </w:rPr>
            </w:pPr>
            <w:r>
              <w:rPr>
                <w:rFonts w:ascii="Calibri" w:cs="Calibri" w:eastAsia="Calibri" w:hAnsi="Calibri"/>
                <w:sz w:val="18"/>
                <w:szCs w:val="18"/>
                <w:b w:val="1"/>
                <w:bCs w:val="1"/>
                <w:color w:val="auto"/>
              </w:rPr>
              <w:t>Implant</w:t>
            </w:r>
          </w:p>
        </w:tc>
        <w:tc>
          <w:tcPr>
            <w:tcW w:w="1400" w:type="dxa"/>
            <w:vAlign w:val="bottom"/>
            <w:tcBorders>
              <w:top w:val="single" w:sz="8" w:color="auto"/>
              <w:right w:val="single" w:sz="8" w:color="auto"/>
            </w:tcBorders>
          </w:tcPr>
          <w:p>
            <w:pPr>
              <w:ind w:left="280"/>
              <w:spacing w:after="0"/>
              <w:rPr>
                <w:sz w:val="20"/>
                <w:szCs w:val="20"/>
                <w:color w:val="auto"/>
              </w:rPr>
            </w:pPr>
            <w:r>
              <w:rPr>
                <w:rFonts w:ascii="Calibri" w:cs="Calibri" w:eastAsia="Calibri" w:hAnsi="Calibri"/>
                <w:sz w:val="18"/>
                <w:szCs w:val="18"/>
                <w:b w:val="1"/>
                <w:bCs w:val="1"/>
                <w:color w:val="auto"/>
              </w:rPr>
              <w:t>Geography</w:t>
            </w:r>
          </w:p>
        </w:tc>
        <w:tc>
          <w:tcPr>
            <w:tcW w:w="1400" w:type="dxa"/>
            <w:vAlign w:val="bottom"/>
            <w:tcBorders>
              <w:top w:val="single" w:sz="8" w:color="auto"/>
              <w:right w:val="single" w:sz="8" w:color="auto"/>
            </w:tcBorders>
          </w:tcPr>
          <w:p>
            <w:pPr>
              <w:ind w:left="240"/>
              <w:spacing w:after="0"/>
              <w:rPr>
                <w:sz w:val="20"/>
                <w:szCs w:val="20"/>
                <w:color w:val="auto"/>
              </w:rPr>
            </w:pPr>
            <w:r>
              <w:rPr>
                <w:rFonts w:ascii="Calibri" w:cs="Calibri" w:eastAsia="Calibri" w:hAnsi="Calibri"/>
                <w:sz w:val="18"/>
                <w:szCs w:val="18"/>
                <w:b w:val="1"/>
                <w:bCs w:val="1"/>
                <w:color w:val="auto"/>
              </w:rPr>
              <w:t>Conditon**</w:t>
            </w:r>
          </w:p>
        </w:tc>
        <w:tc>
          <w:tcPr>
            <w:tcW w:w="1400" w:type="dxa"/>
            <w:vAlign w:val="bottom"/>
            <w:tcBorders>
              <w:top w:val="single" w:sz="8" w:color="auto"/>
              <w:right w:val="single" w:sz="8" w:color="auto"/>
            </w:tcBorders>
          </w:tcPr>
          <w:p>
            <w:pPr>
              <w:ind w:left="400"/>
              <w:spacing w:after="0"/>
              <w:rPr>
                <w:sz w:val="20"/>
                <w:szCs w:val="20"/>
                <w:color w:val="auto"/>
              </w:rPr>
            </w:pPr>
            <w:r>
              <w:rPr>
                <w:rFonts w:ascii="Calibri" w:cs="Calibri" w:eastAsia="Calibri" w:hAnsi="Calibri"/>
                <w:sz w:val="18"/>
                <w:szCs w:val="18"/>
                <w:b w:val="1"/>
                <w:bCs w:val="1"/>
                <w:color w:val="auto"/>
              </w:rPr>
              <w:t>Design*</w:t>
            </w:r>
          </w:p>
        </w:tc>
        <w:tc>
          <w:tcPr>
            <w:tcW w:w="1420" w:type="dxa"/>
            <w:vAlign w:val="bottom"/>
            <w:tcBorders>
              <w:top w:val="single" w:sz="8" w:color="auto"/>
              <w:right w:val="single" w:sz="8" w:color="auto"/>
            </w:tcBorders>
          </w:tcPr>
          <w:p>
            <w:pPr>
              <w:ind w:left="260"/>
              <w:spacing w:after="0"/>
              <w:rPr>
                <w:sz w:val="20"/>
                <w:szCs w:val="20"/>
                <w:color w:val="auto"/>
              </w:rPr>
            </w:pPr>
            <w:r>
              <w:rPr>
                <w:rFonts w:ascii="Calibri" w:cs="Calibri" w:eastAsia="Calibri" w:hAnsi="Calibri"/>
                <w:sz w:val="18"/>
                <w:szCs w:val="18"/>
                <w:b w:val="1"/>
                <w:bCs w:val="1"/>
                <w:color w:val="auto"/>
              </w:rPr>
              <w:t>Sample Size</w:t>
            </w:r>
          </w:p>
        </w:tc>
        <w:tc>
          <w:tcPr>
            <w:tcW w:w="1400" w:type="dxa"/>
            <w:vAlign w:val="bottom"/>
            <w:tcBorders>
              <w:top w:val="single" w:sz="8" w:color="auto"/>
              <w:right w:val="single" w:sz="8" w:color="auto"/>
            </w:tcBorders>
          </w:tcPr>
          <w:p>
            <w:pPr>
              <w:ind w:left="60"/>
              <w:spacing w:after="0"/>
              <w:rPr>
                <w:sz w:val="20"/>
                <w:szCs w:val="20"/>
                <w:color w:val="auto"/>
              </w:rPr>
            </w:pPr>
            <w:r>
              <w:rPr>
                <w:rFonts w:ascii="Calibri" w:cs="Calibri" w:eastAsia="Calibri" w:hAnsi="Calibri"/>
                <w:sz w:val="18"/>
                <w:szCs w:val="18"/>
                <w:b w:val="1"/>
                <w:bCs w:val="1"/>
                <w:color w:val="auto"/>
              </w:rPr>
              <w:t>Follow-up period</w:t>
            </w:r>
          </w:p>
        </w:tc>
        <w:tc>
          <w:tcPr>
            <w:tcW w:w="1400" w:type="dxa"/>
            <w:vAlign w:val="bottom"/>
            <w:tcBorders>
              <w:top w:val="single" w:sz="8" w:color="auto"/>
              <w:right w:val="single" w:sz="8" w:color="auto"/>
            </w:tcBorders>
          </w:tcPr>
          <w:p>
            <w:pPr>
              <w:ind w:left="460"/>
              <w:spacing w:after="0"/>
              <w:rPr>
                <w:sz w:val="20"/>
                <w:szCs w:val="20"/>
                <w:color w:val="auto"/>
              </w:rPr>
            </w:pPr>
            <w:r>
              <w:rPr>
                <w:rFonts w:ascii="Calibri" w:cs="Calibri" w:eastAsia="Calibri" w:hAnsi="Calibri"/>
                <w:sz w:val="18"/>
                <w:szCs w:val="18"/>
                <w:b w:val="1"/>
                <w:bCs w:val="1"/>
                <w:color w:val="auto"/>
              </w:rPr>
              <w:t>Status</w:t>
            </w:r>
          </w:p>
        </w:tc>
      </w:tr>
      <w:tr>
        <w:trPr>
          <w:trHeight w:val="42"/>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r>
      <w:tr>
        <w:trPr>
          <w:trHeight w:val="208"/>
        </w:trPr>
        <w:tc>
          <w:tcPr>
            <w:tcW w:w="1440" w:type="dxa"/>
            <w:vAlign w:val="bottom"/>
            <w:tcBorders>
              <w:left w:val="single" w:sz="8" w:color="auto"/>
              <w:right w:val="single" w:sz="8" w:color="auto"/>
            </w:tcBorders>
          </w:tcPr>
          <w:p>
            <w:pPr>
              <w:ind w:left="40"/>
              <w:spacing w:after="0" w:line="208" w:lineRule="exact"/>
              <w:rPr>
                <w:sz w:val="20"/>
                <w:szCs w:val="20"/>
                <w:color w:val="auto"/>
              </w:rPr>
            </w:pPr>
            <w:r>
              <w:rPr>
                <w:rFonts w:ascii="Calibri" w:cs="Calibri" w:eastAsia="Calibri" w:hAnsi="Calibri"/>
                <w:sz w:val="18"/>
                <w:szCs w:val="18"/>
                <w:color w:val="auto"/>
              </w:rPr>
              <w:t>iMIA</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iFuse</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EU</w:t>
            </w:r>
          </w:p>
        </w:tc>
        <w:tc>
          <w:tcPr>
            <w:tcW w:w="140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SIJD</w:t>
            </w:r>
          </w:p>
        </w:tc>
        <w:tc>
          <w:tcPr>
            <w:tcW w:w="140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MRCT</w:t>
            </w:r>
          </w:p>
        </w:tc>
        <w:tc>
          <w:tcPr>
            <w:tcW w:w="142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103</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2 years</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Complete</w:t>
            </w:r>
          </w:p>
        </w:tc>
      </w:tr>
      <w:tr>
        <w:trPr>
          <w:trHeight w:val="42"/>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r>
      <w:tr>
        <w:trPr>
          <w:trHeight w:val="208"/>
        </w:trPr>
        <w:tc>
          <w:tcPr>
            <w:tcW w:w="1440" w:type="dxa"/>
            <w:vAlign w:val="bottom"/>
            <w:tcBorders>
              <w:left w:val="single" w:sz="8" w:color="auto"/>
              <w:right w:val="single" w:sz="8" w:color="auto"/>
            </w:tcBorders>
          </w:tcPr>
          <w:p>
            <w:pPr>
              <w:ind w:left="40"/>
              <w:spacing w:after="0" w:line="208" w:lineRule="exact"/>
              <w:rPr>
                <w:sz w:val="20"/>
                <w:szCs w:val="20"/>
                <w:color w:val="auto"/>
              </w:rPr>
            </w:pPr>
            <w:r>
              <w:rPr>
                <w:rFonts w:ascii="Calibri" w:cs="Calibri" w:eastAsia="Calibri" w:hAnsi="Calibri"/>
                <w:sz w:val="18"/>
                <w:szCs w:val="18"/>
                <w:color w:val="auto"/>
              </w:rPr>
              <w:t>INSITE</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iFuse</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USA</w:t>
            </w:r>
          </w:p>
        </w:tc>
        <w:tc>
          <w:tcPr>
            <w:tcW w:w="140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SIJD</w:t>
            </w:r>
          </w:p>
        </w:tc>
        <w:tc>
          <w:tcPr>
            <w:tcW w:w="140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MRCT</w:t>
            </w:r>
          </w:p>
        </w:tc>
        <w:tc>
          <w:tcPr>
            <w:tcW w:w="142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148</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2 years</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Complete</w:t>
            </w:r>
          </w:p>
        </w:tc>
      </w:tr>
      <w:tr>
        <w:trPr>
          <w:trHeight w:val="42"/>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r>
      <w:tr>
        <w:trPr>
          <w:trHeight w:val="208"/>
        </w:trPr>
        <w:tc>
          <w:tcPr>
            <w:tcW w:w="1440" w:type="dxa"/>
            <w:vAlign w:val="bottom"/>
            <w:tcBorders>
              <w:left w:val="single" w:sz="8" w:color="auto"/>
              <w:right w:val="single" w:sz="8" w:color="auto"/>
            </w:tcBorders>
          </w:tcPr>
          <w:p>
            <w:pPr>
              <w:ind w:left="40"/>
              <w:spacing w:after="0" w:line="208" w:lineRule="exact"/>
              <w:rPr>
                <w:sz w:val="20"/>
                <w:szCs w:val="20"/>
                <w:color w:val="auto"/>
              </w:rPr>
            </w:pPr>
            <w:r>
              <w:rPr>
                <w:rFonts w:ascii="Calibri" w:cs="Calibri" w:eastAsia="Calibri" w:hAnsi="Calibri"/>
                <w:sz w:val="18"/>
                <w:szCs w:val="18"/>
                <w:color w:val="auto"/>
              </w:rPr>
              <w:t>SIFI</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iFuse</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USA</w:t>
            </w:r>
          </w:p>
        </w:tc>
        <w:tc>
          <w:tcPr>
            <w:tcW w:w="140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SIJD</w:t>
            </w:r>
          </w:p>
        </w:tc>
        <w:tc>
          <w:tcPr>
            <w:tcW w:w="140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PMSA</w:t>
            </w:r>
          </w:p>
        </w:tc>
        <w:tc>
          <w:tcPr>
            <w:tcW w:w="142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172</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2 years</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Complete</w:t>
            </w:r>
          </w:p>
        </w:tc>
      </w:tr>
      <w:tr>
        <w:trPr>
          <w:trHeight w:val="42"/>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r>
      <w:tr>
        <w:trPr>
          <w:trHeight w:val="208"/>
        </w:trPr>
        <w:tc>
          <w:tcPr>
            <w:tcW w:w="1440" w:type="dxa"/>
            <w:vAlign w:val="bottom"/>
            <w:tcBorders>
              <w:left w:val="single" w:sz="8" w:color="auto"/>
              <w:right w:val="single" w:sz="8" w:color="auto"/>
            </w:tcBorders>
          </w:tcPr>
          <w:p>
            <w:pPr>
              <w:ind w:left="40"/>
              <w:spacing w:after="0" w:line="208" w:lineRule="exact"/>
              <w:rPr>
                <w:sz w:val="20"/>
                <w:szCs w:val="20"/>
                <w:color w:val="auto"/>
              </w:rPr>
            </w:pPr>
            <w:r>
              <w:rPr>
                <w:rFonts w:ascii="Calibri" w:cs="Calibri" w:eastAsia="Calibri" w:hAnsi="Calibri"/>
                <w:sz w:val="18"/>
                <w:szCs w:val="18"/>
                <w:color w:val="auto"/>
              </w:rPr>
              <w:t>LOIS</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iFuse</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USA</w:t>
            </w:r>
          </w:p>
        </w:tc>
        <w:tc>
          <w:tcPr>
            <w:tcW w:w="140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SIJD</w:t>
            </w:r>
          </w:p>
        </w:tc>
        <w:tc>
          <w:tcPr>
            <w:tcW w:w="140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PMSA</w:t>
            </w:r>
          </w:p>
        </w:tc>
        <w:tc>
          <w:tcPr>
            <w:tcW w:w="142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103</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5 years</w:t>
            </w:r>
          </w:p>
        </w:tc>
        <w:tc>
          <w:tcPr>
            <w:tcW w:w="140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Complete</w:t>
            </w:r>
          </w:p>
        </w:tc>
      </w:tr>
      <w:tr>
        <w:trPr>
          <w:trHeight w:val="42"/>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r>
      <w:tr>
        <w:trPr>
          <w:trHeight w:val="228"/>
        </w:trPr>
        <w:tc>
          <w:tcPr>
            <w:tcW w:w="1440" w:type="dxa"/>
            <w:vAlign w:val="bottom"/>
            <w:tcBorders>
              <w:left w:val="single" w:sz="8" w:color="auto"/>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SALLY</w:t>
            </w:r>
          </w:p>
        </w:tc>
        <w:tc>
          <w:tcPr>
            <w:tcW w:w="140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iFuse-3D</w:t>
            </w:r>
          </w:p>
        </w:tc>
        <w:tc>
          <w:tcPr>
            <w:tcW w:w="140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USA</w:t>
            </w:r>
          </w:p>
        </w:tc>
        <w:tc>
          <w:tcPr>
            <w:tcW w:w="1400" w:type="dxa"/>
            <w:vAlign w:val="bottom"/>
            <w:tcBorders>
              <w:right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SIJD</w:t>
            </w:r>
          </w:p>
        </w:tc>
        <w:tc>
          <w:tcPr>
            <w:tcW w:w="1400" w:type="dxa"/>
            <w:vAlign w:val="bottom"/>
            <w:tcBorders>
              <w:right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PMSA</w:t>
            </w:r>
          </w:p>
        </w:tc>
        <w:tc>
          <w:tcPr>
            <w:tcW w:w="1420" w:type="dxa"/>
            <w:vAlign w:val="bottom"/>
            <w:tcBorders>
              <w:right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51</w:t>
            </w:r>
          </w:p>
        </w:tc>
        <w:tc>
          <w:tcPr>
            <w:tcW w:w="140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5 years</w:t>
            </w:r>
          </w:p>
        </w:tc>
        <w:tc>
          <w:tcPr>
            <w:tcW w:w="1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Complete</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440" w:type="dxa"/>
            <w:vAlign w:val="bottom"/>
            <w:tcBorders>
              <w:left w:val="single" w:sz="8" w:color="auto"/>
              <w:right w:val="single" w:sz="8" w:color="auto"/>
            </w:tcBorders>
          </w:tcPr>
          <w:p>
            <w:pPr>
              <w:ind w:left="40"/>
              <w:spacing w:after="0" w:line="191" w:lineRule="exact"/>
              <w:rPr>
                <w:sz w:val="20"/>
                <w:szCs w:val="20"/>
                <w:color w:val="auto"/>
              </w:rPr>
            </w:pPr>
            <w:r>
              <w:rPr>
                <w:rFonts w:ascii="Calibri" w:cs="Calibri" w:eastAsia="Calibri" w:hAnsi="Calibri"/>
                <w:sz w:val="18"/>
                <w:szCs w:val="18"/>
                <w:color w:val="auto"/>
              </w:rPr>
              <w:t>SILVIA</w:t>
            </w:r>
          </w:p>
        </w:tc>
        <w:tc>
          <w:tcPr>
            <w:tcW w:w="1400" w:type="dxa"/>
            <w:vAlign w:val="bottom"/>
            <w:tcBorders>
              <w:right w:val="single" w:sz="8" w:color="auto"/>
            </w:tcBorders>
          </w:tcPr>
          <w:p>
            <w:pPr>
              <w:spacing w:after="0" w:line="191" w:lineRule="exact"/>
              <w:rPr>
                <w:sz w:val="20"/>
                <w:szCs w:val="20"/>
                <w:color w:val="auto"/>
              </w:rPr>
            </w:pPr>
            <w:r>
              <w:rPr>
                <w:rFonts w:ascii="Calibri" w:cs="Calibri" w:eastAsia="Calibri" w:hAnsi="Calibri"/>
                <w:sz w:val="18"/>
                <w:szCs w:val="18"/>
                <w:color w:val="auto"/>
              </w:rPr>
              <w:t>iFuse-3D</w:t>
            </w:r>
          </w:p>
        </w:tc>
        <w:tc>
          <w:tcPr>
            <w:tcW w:w="1400" w:type="dxa"/>
            <w:vAlign w:val="bottom"/>
            <w:tcBorders>
              <w:right w:val="single" w:sz="8" w:color="auto"/>
            </w:tcBorders>
          </w:tcPr>
          <w:p>
            <w:pPr>
              <w:spacing w:after="0" w:line="191" w:lineRule="exact"/>
              <w:rPr>
                <w:sz w:val="20"/>
                <w:szCs w:val="20"/>
                <w:color w:val="auto"/>
              </w:rPr>
            </w:pPr>
            <w:r>
              <w:rPr>
                <w:rFonts w:ascii="Calibri" w:cs="Calibri" w:eastAsia="Calibri" w:hAnsi="Calibri"/>
                <w:sz w:val="18"/>
                <w:szCs w:val="18"/>
                <w:color w:val="auto"/>
              </w:rPr>
              <w:t>USA, EU &amp; AUS</w:t>
            </w:r>
          </w:p>
        </w:tc>
        <w:tc>
          <w:tcPr>
            <w:tcW w:w="1400" w:type="dxa"/>
            <w:vAlign w:val="bottom"/>
            <w:tcBorders>
              <w:right w:val="single" w:sz="8" w:color="auto"/>
            </w:tcBorders>
          </w:tcPr>
          <w:p>
            <w:pPr>
              <w:ind w:left="20"/>
              <w:spacing w:after="0" w:line="191" w:lineRule="exact"/>
              <w:rPr>
                <w:sz w:val="20"/>
                <w:szCs w:val="20"/>
                <w:color w:val="auto"/>
              </w:rPr>
            </w:pPr>
            <w:r>
              <w:rPr>
                <w:rFonts w:ascii="Calibri" w:cs="Calibri" w:eastAsia="Calibri" w:hAnsi="Calibri"/>
                <w:sz w:val="18"/>
                <w:szCs w:val="18"/>
                <w:color w:val="auto"/>
              </w:rPr>
              <w:t>ASD</w:t>
            </w:r>
          </w:p>
        </w:tc>
        <w:tc>
          <w:tcPr>
            <w:tcW w:w="1400" w:type="dxa"/>
            <w:vAlign w:val="bottom"/>
            <w:tcBorders>
              <w:right w:val="single" w:sz="8" w:color="auto"/>
            </w:tcBorders>
          </w:tcPr>
          <w:p>
            <w:pPr>
              <w:ind w:left="20"/>
              <w:spacing w:after="0" w:line="191" w:lineRule="exact"/>
              <w:rPr>
                <w:sz w:val="20"/>
                <w:szCs w:val="20"/>
                <w:color w:val="auto"/>
              </w:rPr>
            </w:pPr>
            <w:r>
              <w:rPr>
                <w:rFonts w:ascii="Calibri" w:cs="Calibri" w:eastAsia="Calibri" w:hAnsi="Calibri"/>
                <w:sz w:val="18"/>
                <w:szCs w:val="18"/>
                <w:color w:val="auto"/>
              </w:rPr>
              <w:t>MRCT</w:t>
            </w:r>
          </w:p>
        </w:tc>
        <w:tc>
          <w:tcPr>
            <w:tcW w:w="1420" w:type="dxa"/>
            <w:vAlign w:val="bottom"/>
            <w:tcBorders>
              <w:right w:val="single" w:sz="8" w:color="auto"/>
            </w:tcBorders>
          </w:tcPr>
          <w:p>
            <w:pPr>
              <w:ind w:left="20"/>
              <w:spacing w:after="0" w:line="191" w:lineRule="exact"/>
              <w:rPr>
                <w:sz w:val="20"/>
                <w:szCs w:val="20"/>
                <w:color w:val="auto"/>
              </w:rPr>
            </w:pPr>
            <w:r>
              <w:rPr>
                <w:rFonts w:ascii="Calibri" w:cs="Calibri" w:eastAsia="Calibri" w:hAnsi="Calibri"/>
                <w:sz w:val="18"/>
                <w:szCs w:val="18"/>
                <w:color w:val="auto"/>
              </w:rPr>
              <w:t>220</w:t>
            </w:r>
          </w:p>
        </w:tc>
        <w:tc>
          <w:tcPr>
            <w:tcW w:w="1400" w:type="dxa"/>
            <w:vAlign w:val="bottom"/>
            <w:tcBorders>
              <w:right w:val="single" w:sz="8" w:color="auto"/>
            </w:tcBorders>
          </w:tcPr>
          <w:p>
            <w:pPr>
              <w:spacing w:after="0" w:line="191" w:lineRule="exact"/>
              <w:rPr>
                <w:sz w:val="20"/>
                <w:szCs w:val="20"/>
                <w:color w:val="auto"/>
              </w:rPr>
            </w:pPr>
            <w:r>
              <w:rPr>
                <w:rFonts w:ascii="Calibri" w:cs="Calibri" w:eastAsia="Calibri" w:hAnsi="Calibri"/>
                <w:sz w:val="18"/>
                <w:szCs w:val="18"/>
                <w:color w:val="auto"/>
              </w:rPr>
              <w:t>2 years</w:t>
            </w:r>
          </w:p>
        </w:tc>
        <w:tc>
          <w:tcPr>
            <w:tcW w:w="1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Complete;</w:t>
            </w:r>
          </w:p>
        </w:tc>
      </w:tr>
      <w:tr>
        <w:trPr>
          <w:trHeight w:val="189"/>
        </w:trPr>
        <w:tc>
          <w:tcPr>
            <w:tcW w:w="14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Publication</w:t>
            </w:r>
          </w:p>
        </w:tc>
      </w:tr>
      <w:tr>
        <w:trPr>
          <w:trHeight w:val="234"/>
        </w:trPr>
        <w:tc>
          <w:tcPr>
            <w:tcW w:w="1440" w:type="dxa"/>
            <w:vAlign w:val="bottom"/>
            <w:tcBorders>
              <w:left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Pending</w:t>
            </w: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r>
      <w:tr>
        <w:trPr>
          <w:trHeight w:val="191"/>
        </w:trPr>
        <w:tc>
          <w:tcPr>
            <w:tcW w:w="1440" w:type="dxa"/>
            <w:vAlign w:val="bottom"/>
            <w:tcBorders>
              <w:left w:val="single" w:sz="8" w:color="auto"/>
              <w:right w:val="single" w:sz="8" w:color="auto"/>
            </w:tcBorders>
          </w:tcPr>
          <w:p>
            <w:pPr>
              <w:ind w:left="40"/>
              <w:spacing w:after="0" w:line="191" w:lineRule="exact"/>
              <w:rPr>
                <w:sz w:val="20"/>
                <w:szCs w:val="20"/>
                <w:color w:val="auto"/>
              </w:rPr>
            </w:pPr>
            <w:r>
              <w:rPr>
                <w:rFonts w:ascii="Calibri" w:cs="Calibri" w:eastAsia="Calibri" w:hAnsi="Calibri"/>
                <w:sz w:val="18"/>
                <w:szCs w:val="18"/>
                <w:color w:val="auto"/>
              </w:rPr>
              <w:t>SAFFRON</w:t>
            </w:r>
          </w:p>
        </w:tc>
        <w:tc>
          <w:tcPr>
            <w:tcW w:w="1400" w:type="dxa"/>
            <w:vAlign w:val="bottom"/>
            <w:tcBorders>
              <w:right w:val="single" w:sz="8" w:color="auto"/>
            </w:tcBorders>
          </w:tcPr>
          <w:p>
            <w:pPr>
              <w:spacing w:after="0" w:line="191" w:lineRule="exact"/>
              <w:rPr>
                <w:sz w:val="20"/>
                <w:szCs w:val="20"/>
                <w:color w:val="auto"/>
              </w:rPr>
            </w:pPr>
            <w:r>
              <w:rPr>
                <w:rFonts w:ascii="Calibri" w:cs="Calibri" w:eastAsia="Calibri" w:hAnsi="Calibri"/>
                <w:sz w:val="18"/>
                <w:szCs w:val="18"/>
                <w:color w:val="auto"/>
              </w:rPr>
              <w:t>iFuse TORQ</w:t>
            </w:r>
          </w:p>
        </w:tc>
        <w:tc>
          <w:tcPr>
            <w:tcW w:w="1400" w:type="dxa"/>
            <w:vAlign w:val="bottom"/>
            <w:tcBorders>
              <w:right w:val="single" w:sz="8" w:color="auto"/>
            </w:tcBorders>
          </w:tcPr>
          <w:p>
            <w:pPr>
              <w:spacing w:after="0" w:line="191" w:lineRule="exact"/>
              <w:rPr>
                <w:sz w:val="20"/>
                <w:szCs w:val="20"/>
                <w:color w:val="auto"/>
              </w:rPr>
            </w:pPr>
            <w:r>
              <w:rPr>
                <w:rFonts w:ascii="Calibri" w:cs="Calibri" w:eastAsia="Calibri" w:hAnsi="Calibri"/>
                <w:sz w:val="18"/>
                <w:szCs w:val="18"/>
                <w:color w:val="auto"/>
              </w:rPr>
              <w:t>USA</w:t>
            </w:r>
          </w:p>
        </w:tc>
        <w:tc>
          <w:tcPr>
            <w:tcW w:w="1400" w:type="dxa"/>
            <w:vAlign w:val="bottom"/>
            <w:tcBorders>
              <w:right w:val="single" w:sz="8" w:color="auto"/>
            </w:tcBorders>
          </w:tcPr>
          <w:p>
            <w:pPr>
              <w:ind w:left="20"/>
              <w:spacing w:after="0" w:line="191" w:lineRule="exact"/>
              <w:rPr>
                <w:sz w:val="20"/>
                <w:szCs w:val="20"/>
                <w:color w:val="auto"/>
              </w:rPr>
            </w:pPr>
            <w:r>
              <w:rPr>
                <w:rFonts w:ascii="Calibri" w:cs="Calibri" w:eastAsia="Calibri" w:hAnsi="Calibri"/>
                <w:sz w:val="18"/>
                <w:szCs w:val="18"/>
                <w:color w:val="auto"/>
              </w:rPr>
              <w:t>FFP</w:t>
            </w:r>
          </w:p>
        </w:tc>
        <w:tc>
          <w:tcPr>
            <w:tcW w:w="1400" w:type="dxa"/>
            <w:vAlign w:val="bottom"/>
            <w:tcBorders>
              <w:right w:val="single" w:sz="8" w:color="auto"/>
            </w:tcBorders>
          </w:tcPr>
          <w:p>
            <w:pPr>
              <w:ind w:left="20"/>
              <w:spacing w:after="0" w:line="191" w:lineRule="exact"/>
              <w:rPr>
                <w:sz w:val="20"/>
                <w:szCs w:val="20"/>
                <w:color w:val="auto"/>
              </w:rPr>
            </w:pPr>
            <w:r>
              <w:rPr>
                <w:rFonts w:ascii="Calibri" w:cs="Calibri" w:eastAsia="Calibri" w:hAnsi="Calibri"/>
                <w:sz w:val="18"/>
                <w:szCs w:val="18"/>
                <w:color w:val="auto"/>
              </w:rPr>
              <w:t>MRCT</w:t>
            </w:r>
          </w:p>
        </w:tc>
        <w:tc>
          <w:tcPr>
            <w:tcW w:w="1420" w:type="dxa"/>
            <w:vAlign w:val="bottom"/>
            <w:tcBorders>
              <w:right w:val="single" w:sz="8" w:color="auto"/>
            </w:tcBorders>
          </w:tcPr>
          <w:p>
            <w:pPr>
              <w:ind w:left="20"/>
              <w:spacing w:after="0" w:line="191" w:lineRule="exact"/>
              <w:rPr>
                <w:sz w:val="20"/>
                <w:szCs w:val="20"/>
                <w:color w:val="auto"/>
              </w:rPr>
            </w:pPr>
            <w:r>
              <w:rPr>
                <w:rFonts w:ascii="Calibri" w:cs="Calibri" w:eastAsia="Calibri" w:hAnsi="Calibri"/>
                <w:sz w:val="18"/>
                <w:szCs w:val="18"/>
                <w:color w:val="auto"/>
              </w:rPr>
              <w:t>120</w:t>
            </w:r>
          </w:p>
        </w:tc>
        <w:tc>
          <w:tcPr>
            <w:tcW w:w="1400" w:type="dxa"/>
            <w:vAlign w:val="bottom"/>
            <w:tcBorders>
              <w:right w:val="single" w:sz="8" w:color="auto"/>
            </w:tcBorders>
          </w:tcPr>
          <w:p>
            <w:pPr>
              <w:spacing w:after="0" w:line="191" w:lineRule="exact"/>
              <w:rPr>
                <w:sz w:val="20"/>
                <w:szCs w:val="20"/>
                <w:color w:val="auto"/>
              </w:rPr>
            </w:pPr>
            <w:r>
              <w:rPr>
                <w:rFonts w:ascii="Calibri" w:cs="Calibri" w:eastAsia="Calibri" w:hAnsi="Calibri"/>
                <w:sz w:val="18"/>
                <w:szCs w:val="18"/>
                <w:color w:val="auto"/>
              </w:rPr>
              <w:t>1 year</w:t>
            </w:r>
          </w:p>
        </w:tc>
        <w:tc>
          <w:tcPr>
            <w:tcW w:w="1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Enrollment</w:t>
            </w:r>
          </w:p>
        </w:tc>
      </w:tr>
      <w:tr>
        <w:trPr>
          <w:trHeight w:val="189"/>
        </w:trPr>
        <w:tc>
          <w:tcPr>
            <w:tcW w:w="14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closed;</w:t>
            </w:r>
          </w:p>
        </w:tc>
      </w:tr>
      <w:tr>
        <w:trPr>
          <w:trHeight w:val="203"/>
        </w:trPr>
        <w:tc>
          <w:tcPr>
            <w:tcW w:w="144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Publication</w:t>
            </w:r>
          </w:p>
        </w:tc>
      </w:tr>
      <w:tr>
        <w:trPr>
          <w:trHeight w:val="234"/>
        </w:trPr>
        <w:tc>
          <w:tcPr>
            <w:tcW w:w="1440" w:type="dxa"/>
            <w:vAlign w:val="bottom"/>
            <w:tcBorders>
              <w:left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Pending</w:t>
            </w: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r>
      <w:tr>
        <w:trPr>
          <w:trHeight w:val="191"/>
        </w:trPr>
        <w:tc>
          <w:tcPr>
            <w:tcW w:w="144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PAULA</w:t>
            </w:r>
          </w:p>
        </w:tc>
        <w:tc>
          <w:tcPr>
            <w:tcW w:w="1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iFuse Bedrock</w:t>
            </w:r>
          </w:p>
        </w:tc>
        <w:tc>
          <w:tcPr>
            <w:tcW w:w="1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USA</w:t>
            </w:r>
          </w:p>
        </w:tc>
        <w:tc>
          <w:tcPr>
            <w:tcW w:w="14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ASD</w:t>
            </w:r>
          </w:p>
        </w:tc>
        <w:tc>
          <w:tcPr>
            <w:tcW w:w="14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PMSA</w:t>
            </w:r>
          </w:p>
        </w:tc>
        <w:tc>
          <w:tcPr>
            <w:tcW w:w="14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250</w:t>
            </w:r>
          </w:p>
        </w:tc>
        <w:tc>
          <w:tcPr>
            <w:tcW w:w="1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 years</w:t>
            </w:r>
          </w:p>
        </w:tc>
        <w:tc>
          <w:tcPr>
            <w:tcW w:w="1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Enrolling</w:t>
            </w:r>
          </w:p>
        </w:tc>
      </w:tr>
      <w:tr>
        <w:trPr>
          <w:trHeight w:val="234"/>
        </w:trPr>
        <w:tc>
          <w:tcPr>
            <w:tcW w:w="1440" w:type="dxa"/>
            <w:vAlign w:val="bottom"/>
            <w:tcBorders>
              <w:left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Granite</w:t>
            </w: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28"/>
        </w:trPr>
        <w:tc>
          <w:tcPr>
            <w:tcW w:w="1440" w:type="dxa"/>
            <w:vAlign w:val="bottom"/>
            <w:tcBorders>
              <w:left w:val="single" w:sz="8" w:color="auto"/>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STACI</w:t>
            </w:r>
          </w:p>
        </w:tc>
        <w:tc>
          <w:tcPr>
            <w:tcW w:w="140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iFuse TORQ</w:t>
            </w:r>
          </w:p>
        </w:tc>
        <w:tc>
          <w:tcPr>
            <w:tcW w:w="140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USA</w:t>
            </w:r>
          </w:p>
        </w:tc>
        <w:tc>
          <w:tcPr>
            <w:tcW w:w="1400" w:type="dxa"/>
            <w:vAlign w:val="bottom"/>
            <w:tcBorders>
              <w:right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SIJD</w:t>
            </w:r>
          </w:p>
        </w:tc>
        <w:tc>
          <w:tcPr>
            <w:tcW w:w="1400" w:type="dxa"/>
            <w:vAlign w:val="bottom"/>
            <w:tcBorders>
              <w:right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PMSA</w:t>
            </w:r>
          </w:p>
        </w:tc>
        <w:tc>
          <w:tcPr>
            <w:tcW w:w="1420" w:type="dxa"/>
            <w:vAlign w:val="bottom"/>
            <w:tcBorders>
              <w:right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110</w:t>
            </w:r>
          </w:p>
        </w:tc>
        <w:tc>
          <w:tcPr>
            <w:tcW w:w="140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2 years</w:t>
            </w:r>
          </w:p>
        </w:tc>
        <w:tc>
          <w:tcPr>
            <w:tcW w:w="1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Follow-up</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right="5200"/>
        <w:spacing w:after="0" w:line="282" w:lineRule="auto"/>
        <w:rPr>
          <w:sz w:val="20"/>
          <w:szCs w:val="20"/>
          <w:color w:val="auto"/>
        </w:rPr>
      </w:pPr>
      <w:r>
        <w:rPr>
          <w:rFonts w:ascii="Times New Roman" w:cs="Times New Roman" w:eastAsia="Times New Roman" w:hAnsi="Times New Roman"/>
          <w:sz w:val="14"/>
          <w:szCs w:val="14"/>
          <w:color w:val="auto"/>
        </w:rPr>
        <w:t>*MRCT = multi-center randomized controlled trial; PMSA = prospective, multi-center single-arm **SIJD = sacroiliac joint dysfunction; ASD = adult spine deformity; FFP = fragility fracture of the pelvis</w:t>
      </w:r>
    </w:p>
    <w:p>
      <w:pPr>
        <w:spacing w:after="0" w:line="200" w:lineRule="exact"/>
        <w:rPr>
          <w:sz w:val="20"/>
          <w:szCs w:val="20"/>
          <w:color w:val="auto"/>
        </w:rPr>
      </w:pPr>
    </w:p>
    <w:p>
      <w:pPr>
        <w:spacing w:after="0" w:line="223" w:lineRule="exact"/>
        <w:rPr>
          <w:sz w:val="20"/>
          <w:szCs w:val="20"/>
          <w:color w:val="auto"/>
        </w:rPr>
      </w:pPr>
    </w:p>
    <w:p>
      <w:pPr>
        <w:jc w:val="both"/>
        <w:ind w:right="20" w:firstLine="405"/>
        <w:spacing w:after="0" w:line="241" w:lineRule="auto"/>
        <w:rPr>
          <w:sz w:val="20"/>
          <w:szCs w:val="20"/>
          <w:color w:val="auto"/>
        </w:rPr>
      </w:pPr>
      <w:r>
        <w:rPr>
          <w:rFonts w:ascii="Times New Roman" w:cs="Times New Roman" w:eastAsia="Times New Roman" w:hAnsi="Times New Roman"/>
          <w:sz w:val="18"/>
          <w:szCs w:val="18"/>
          <w:color w:val="auto"/>
        </w:rPr>
        <w:t>Table 1 summarizes clinical trials sponsored by SI-BONE. Four studies of iFuse Implant System (INSITE, iMIA, SIFI and LOIS) have been completed. INSITE and iMIA were prospective multi-center, randomized controlled trials conducted in the US and Europe, respectively. In both trials, patients with chronic sacroiliac joint pain were assigned at random to either immediate sacroiliac joint fusion using iFuse implants or individually tailored non-surgical management. In both studies, subjects assigned to sacroiliac joint fusion reported large improvements in pain, disability related to pain and quality of life. In contrast, in subjects assigned to non-surgical management, only small, clinically unimportant improvements in these parameters were observed.</w:t>
      </w:r>
    </w:p>
    <w:p>
      <w:pPr>
        <w:spacing w:after="0" w:line="207" w:lineRule="exact"/>
        <w:rPr>
          <w:sz w:val="20"/>
          <w:szCs w:val="20"/>
          <w:color w:val="auto"/>
        </w:rPr>
      </w:pPr>
    </w:p>
    <w:p>
      <w:pPr>
        <w:jc w:val="both"/>
        <w:ind w:right="20" w:firstLine="405"/>
        <w:spacing w:after="0" w:line="239"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i w:val="1"/>
          <w:iCs w:val="1"/>
          <w:color w:val="auto"/>
        </w:rPr>
        <w:t>INSITE</w:t>
      </w:r>
      <w:r>
        <w:rPr>
          <w:rFonts w:ascii="Times New Roman" w:cs="Times New Roman" w:eastAsia="Times New Roman" w:hAnsi="Times New Roman"/>
          <w:sz w:val="18"/>
          <w:szCs w:val="18"/>
          <w:color w:val="auto"/>
        </w:rPr>
        <w:t xml:space="preserve"> (Investigation of Sacroiliac Fusion Treatment), more than 90% of subjects participating in the non-surgical group decided to cross over to sacroiliac joint fusion surgery, indicating that non-surgical treatment provided ineffective relief of pain and disability related to pain. At two years, patients undergoing sacroiliac joint fusion had sustained improvements in pain, disability and quality of life. Two-year results from INSITE were published in August 2016. Further, an embedded cost-effectiveness analysis within INSITE, published in December 2015, showed the procedure to be highly cost-effective for the treatment of chronic sacroiliac joint pain.</w:t>
      </w:r>
    </w:p>
    <w:p>
      <w:pPr>
        <w:sectPr>
          <w:pgSz w:w="11900" w:h="16838" w:orient="portrait"/>
          <w:cols w:equalWidth="0" w:num="1">
            <w:col w:w="11260"/>
          </w:cols>
          <w:pgMar w:left="320" w:top="769" w:right="319" w:bottom="1440" w:gutter="0" w:footer="0" w:header="0"/>
        </w:sectPr>
      </w:pPr>
    </w:p>
    <w:p>
      <w:pPr>
        <w:spacing w:after="0" w:line="21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9" w:right="319" w:bottom="1440" w:gutter="0" w:footer="0" w:header="0"/>
          <w:type w:val="continuous"/>
        </w:sectPr>
      </w:pPr>
    </w:p>
    <w:bookmarkStart w:id="11" w:name="page12"/>
    <w:bookmarkEnd w:id="11"/>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i w:val="1"/>
          <w:iCs w:val="1"/>
          <w:color w:val="auto"/>
        </w:rPr>
        <w:t>iMIA</w:t>
      </w:r>
      <w:r>
        <w:rPr>
          <w:rFonts w:ascii="Times New Roman" w:cs="Times New Roman" w:eastAsia="Times New Roman" w:hAnsi="Times New Roman"/>
          <w:sz w:val="18"/>
          <w:szCs w:val="18"/>
          <w:color w:val="auto"/>
        </w:rPr>
        <w:t xml:space="preserve"> (iFuse Implant System Minimally Invasive Arthrodesis), similar large differences were observed between subjects undergoing sacroiliac joint fusion vs. those undergoing non-surgical management. Improvements in pain, disability and quality of life after sacroiliac joint fusion were sustained at two years. Two-year results were published in March 2019.</w:t>
      </w:r>
    </w:p>
    <w:p>
      <w:pPr>
        <w:spacing w:after="0" w:line="19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i w:val="1"/>
          <w:iCs w:val="1"/>
          <w:color w:val="auto"/>
        </w:rPr>
        <w:t>SIFI</w:t>
      </w:r>
      <w:r>
        <w:rPr>
          <w:rFonts w:ascii="Times New Roman" w:cs="Times New Roman" w:eastAsia="Times New Roman" w:hAnsi="Times New Roman"/>
          <w:sz w:val="18"/>
          <w:szCs w:val="18"/>
          <w:color w:val="auto"/>
        </w:rPr>
        <w:t xml:space="preserve"> (Sacroiliac Joint Fusion with iFuse Implant System), patients with chronic sacroiliac joint pain seen at 26 US centers underwent sacroiliac joint fusion using iFuse Implant System. Eligibility criteria were identical to those of INSITE and very similar to those of iMIA. Similar improvement in pain, disability and quality of life were observed throughout study follow-up. Two-year results were published in April 2016.</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INSITE, iMIA and SIFI, the rate of procedure-related adverse events was low.</w:t>
      </w:r>
    </w:p>
    <w:p>
      <w:pPr>
        <w:spacing w:after="0" w:line="221"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i w:val="1"/>
          <w:iCs w:val="1"/>
          <w:color w:val="auto"/>
        </w:rPr>
        <w:t>LOIS</w:t>
      </w:r>
      <w:r>
        <w:rPr>
          <w:rFonts w:ascii="Times New Roman" w:cs="Times New Roman" w:eastAsia="Times New Roman" w:hAnsi="Times New Roman"/>
          <w:sz w:val="18"/>
          <w:szCs w:val="18"/>
          <w:color w:val="auto"/>
        </w:rPr>
        <w:t xml:space="preserve"> (Long-term Outcomes of INSITE and SIFI), subjects participating in INSITE and SIFI were enrolled in a long-term follow-up study. Five-year results, published in April 2018, showed sustained improvements in pain, disability and quality of life as well as a high satisfaction rate at five years. Moreover, independent radiographic analysis showed a high rate of bony apposition to implants on both the sacral and iliac sides (98%) as well as a high rate of sacroiliac joint fusion (88% bridging bone) at five years. There were no reported adverse events related to the study device or procedure at five years.</w:t>
      </w:r>
    </w:p>
    <w:p>
      <w:pPr>
        <w:spacing w:after="0" w:line="208"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SALLY </w:t>
      </w:r>
      <w:r>
        <w:rPr>
          <w:rFonts w:ascii="Times New Roman" w:cs="Times New Roman" w:eastAsia="Times New Roman" w:hAnsi="Times New Roman"/>
          <w:sz w:val="18"/>
          <w:szCs w:val="18"/>
          <w:color w:val="auto"/>
        </w:rPr>
        <w:t>(Study of Bone Growth in the Sacroiliac Joint After Minimally Invasive Surgery with Titanium Implants) is a prospective, multi-center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single-arm clinical study of the same patient population (i.e., sacroiliac joint dysfunction) who underwent sacroiliac joint fusion using iFuse-3D. The purpose of the study was to show that the 3D printed version of the device produces results similar to prior studies of iFuse. Two-year results, published in June 2021, and five-year results, published in September 2024, showed similar improvements in pain, disability and quality of life compared to prior studies of iFuse as well as CT evidence of earlier fusion of the sacroiliac joint. The study also showed marked reduction in opioid use and improvement in objective functional tests. Five year results were published in SPINE in 2024.</w:t>
      </w:r>
    </w:p>
    <w:p>
      <w:pPr>
        <w:spacing w:after="0" w:line="206"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SAFFRON </w:t>
      </w:r>
      <w:r>
        <w:rPr>
          <w:rFonts w:ascii="Times New Roman" w:cs="Times New Roman" w:eastAsia="Times New Roman" w:hAnsi="Times New Roman"/>
          <w:sz w:val="18"/>
          <w:szCs w:val="18"/>
          <w:color w:val="auto"/>
        </w:rPr>
        <w:t>(Sacral Fracture Fusion/Fixation for Rapid Rehabilitation) is a prospective randomized controlled trial comparing pelvic fracture fixation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sacroiliac joint fusion using iFuse TORQ with non-surgical management in patients with debilitating pelvic fragility fractures. We stopped recruiting patients in mid-2024 and expect to publish the results in 2025. The results are supportive to iFuse TORQ in the surgical treatment of pelvic fragility fractures.</w:t>
      </w:r>
    </w:p>
    <w:p>
      <w:pPr>
        <w:spacing w:after="0" w:line="208"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SILVIA </w:t>
      </w:r>
      <w:r>
        <w:rPr>
          <w:rFonts w:ascii="Times New Roman" w:cs="Times New Roman" w:eastAsia="Times New Roman" w:hAnsi="Times New Roman"/>
          <w:sz w:val="18"/>
          <w:szCs w:val="18"/>
          <w:color w:val="auto"/>
        </w:rPr>
        <w:t>(sacroiliac joint Stabilization in Long Fusion to the Pelvis: Randomized Controlled Trial) is a prospective randomized trial of iFuse-3D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placement during multilevel spine fusion with fixation to the pelvis. The target patient population of this trial is patients undergoing multilevel spine fusion surgery primarily for degenerative scoliosis of the spine. All participants undergo pelvic fixation. At random, approximately 50% of participants are assigned to additional placement of iFuse-3D in the sacro-alar iliac trajectory using the Bedrock technique. The primary endpoint of the study is the incidence of sacroiliac joint pain and/or distal junctional failures. The study aims to show that placement of iFuse-3D in the Bedrock configuration reduces the rate of these outcomes. Early study results, which focused on device placement feasibility and 90-day safety events, demonstrate the feasibility and safety of pelvic fixation utilizing a sacral-alar-iliac screw combined with iFuse-3D in the bedrock configuration. Additionally, the study reveals that sacroiliac joint pain is common among patients undergoing surgery for adult spine deformity, with a baseline prevalence of 16%. Enrollment in this trial was completed in 2022, and follow-up was completed in late 2024. We expect to publish main results from the study (2-year follow-up) in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Ongoing studies are as follows:</w:t>
      </w:r>
    </w:p>
    <w:p>
      <w:pPr>
        <w:spacing w:after="0" w:line="235"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STACI </w:t>
      </w:r>
      <w:r>
        <w:rPr>
          <w:rFonts w:ascii="Times New Roman" w:cs="Times New Roman" w:eastAsia="Times New Roman" w:hAnsi="Times New Roman"/>
          <w:sz w:val="18"/>
          <w:szCs w:val="18"/>
          <w:color w:val="auto"/>
        </w:rPr>
        <w:t>(iFuse TORQ for the treatment of Sacroiliac Joint Dysfunction) is an ongoing prospective, multi-center, single-arm study of iFuse TORQ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with SI joint dysfunction when performed by interventional spine physicians. STACI enrolled 110 subjects between July 2023 and November 2024. The study’s eligibility criteria are similar to those of prior U.S. studies (INSITE, SIFI and SALLY). Like previous studies, STACI endpoints include improvement in pain, disability and quality of life. Early results showed no device-related adverse events and improvements in pain and disability are similar to those of prior studies of iFuse and iFuse-3D implants in similar patient population. We expect to publish follow-up results in 2025.</w:t>
      </w:r>
    </w:p>
    <w:p>
      <w:pPr>
        <w:spacing w:after="0" w:line="225"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PAULA </w:t>
      </w:r>
      <w:r>
        <w:rPr>
          <w:rFonts w:ascii="Times New Roman" w:cs="Times New Roman" w:eastAsia="Times New Roman" w:hAnsi="Times New Roman"/>
          <w:sz w:val="18"/>
          <w:szCs w:val="18"/>
          <w:color w:val="auto"/>
        </w:rPr>
        <w:t>is an ongoing multi-center, single-arm study of iFuse Bedrock Granite in patients undergoing spinopelvic fixation for adult spinal deformity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degenerative spine conditions. This study has a prospective and retrospective arms, with 128 and 29 patients enrolled, respectively. The study is evaluating the performance of Granite in multiple construct configurations. To date, the failure rate has been extremely low with a single case reported of set screw dissociation. We expect to publish six-month results in late 2025.</w:t>
      </w:r>
    </w:p>
    <w:p>
      <w:pPr>
        <w:spacing w:after="0" w:line="200" w:lineRule="exact"/>
        <w:rPr>
          <w:sz w:val="20"/>
          <w:szCs w:val="20"/>
          <w:color w:val="auto"/>
        </w:rPr>
      </w:pPr>
    </w:p>
    <w:p>
      <w:pPr>
        <w:spacing w:after="0" w:line="23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Published Clinical Studies</w:t>
      </w:r>
    </w:p>
    <w:p>
      <w:pPr>
        <w:spacing w:after="0" w:line="216"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To date, several independent clinical studies have provided evidence to support the long-term safety and effectiveness of iFuse for sacroiliac joint fusion. These studies demonstrated pain reduction and/or ODI improvement that is statistically significant and clinically important and a safety file that was similar to that observed in prospective studies. One study showed marked reduction in opioid use after sacroiliac joint fusion compared to similar subjects who underwent non-surgical treatment, and in whom opioid use increased. An analysis of post-market surveillance data on the performance of iFuse Bedrock Granite was recently accepted for publication in the International Journal of Spine Surgery. Results show a low failure rate compared with conventional screws for pelvic fixation.</w:t>
      </w:r>
    </w:p>
    <w:p>
      <w:pPr>
        <w:spacing w:after="0" w:line="19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4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Coverage and reimbursement for procedures using our implants vary by setting of care, payor type and region. Outside the United States, reimbursement levels vary significantly by country and by region within some countries.</w:t>
      </w:r>
    </w:p>
    <w:p>
      <w:pPr>
        <w:spacing w:after="0" w:line="18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to coverage policies, third-party payors regularly update reimbursement amounts and sometimes revise the methodologies used to determine reimbursement amounts. This includes annual updates to payments to physicians, hospitals and ambulatory surgical centers for procedures requiring our products. To encourage innovation and to allow Medicare beneficiaries early access to new technologies, on October 1, 2022, CMS awarded the iFuse Bedrock Granite implant system a New Technology Add-on Payment (“NTAP”). NTAP provides incremental reimbursement to hospitals supporting eligible, inpatient procedures using iFuse Bedrock Granite technology, up to $9,828 in addition to the typical reimbursement they receive based on Medicare Severity Diagnosis-Related Groups (“MS-DRGs”). NTAP will expire on September 30, 2025. Effective January 1, 2025, hospital outpatient departments and ASCs are also eligible to receive Transitional Pass-Through (“TPT”) payment status for iFuse Bedrock Granite in outpatient settings, which allows the total facility-reported costs of iFuse Bedrock Granite to be “passed through” to the Medicare program, when performed as part of a separately reimbursed lumbar fusion procedure.</w:t>
      </w:r>
    </w:p>
    <w:p>
      <w:pPr>
        <w:spacing w:after="0" w:line="21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Substantially all U.S. payors reimburse for minimally invasive sacroiliac joint fusion when performed using a lateral transfixing device, and a significant number of U.S. payors have issued positive coverage policies exclusive to our patented design of triangular titanium implants for sacroiliac joint fusion because of the clinical evidence. We believe that the coverage and reimbursement for our lateral transfixing procedure under CPT code 27279 is generally adequate given the time and complexity of our procedures.</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Current Procedural Terminology ("CPT") code 27279, which is typically used to code for the iFuse procedure, effective January 1, 2024, the American Medical Association ("AMA") adopted a separate Category 1 CPT code 27278 to describe minimally invasive sacroiliac fusion when performed using an intra-articular implant, placed directly in the joint generally from a posterior approach. This technique, developed more recently, is more commonly used by interventional spine physicians.</w:t>
      </w:r>
    </w:p>
    <w:p>
      <w:pPr>
        <w:spacing w:after="0" w:line="200" w:lineRule="exact"/>
        <w:rPr>
          <w:sz w:val="20"/>
          <w:szCs w:val="20"/>
          <w:color w:val="auto"/>
        </w:rPr>
      </w:pPr>
    </w:p>
    <w:p>
      <w:pPr>
        <w:spacing w:after="0" w:line="39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Healthcare Professional Training and Education</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Since our inception, we have made considerable investments in teaching healthcare professionals to accurately diagnose sacroiliac joint disorders. Our physician training programs are for orthopedic spine surgeons, neurosurgeons, general orthopedic surgeons, interventional spine specialists and orthopedic trauma surgeons. Our medical affairs team works with leading physician and spine surgeons to educate other orthopedic and neurosurgeons on the differential diagnosis of sacroiliac joint disorders and the use of our implants. Our non-surgeon physician training programs focus on interventionalists, who are generally trained as anesthesiologists, interventional radiologists, or physical medicine and rehabilitation specialists. We also work closely with medical specialty societies to raise the awareness of and teach the appropriate diagnosis of sacroiliac joint dysfunction and the associated treatment options.</w:t>
      </w: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conduct many educational programs for the broader medical community including primary care physicians, pain management physicians and other healthcare practitioners that may manage a sacroiliac joint patient non-surgically, such as physical therapists and chiropractors. Our educational programs focus on helping healthcare professionals learn about the sacroiliac joint as a component of lower back pain, proper diagnosis of sacroiliac joint dysfunction, non-surgical treatment options and surgical treatment with our implants. In addition to these general educational programs, we provide continuing education programs focused on sacroiliac joint diagnosis and treatment. We can provide these programs worldwide including in all 50 states and the District of Columbia.</w:t>
      </w: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July 2020, we began using the SI-BONE SImulator; an innovative, fully portable surgery training simulator. The computer-based surgery training simulator provides quality haptics, or the realistic feel during the physician’s use of the implants and instruments, and the training is performed without need for an operating room or a fluoroscope. The simulator is used to train physicians to perform sacroiliac joint injections, sacroiliac joint fusions from multiple trajectories, as well as the iFuse Bedrock procedure using iFuse-3D and iFuse TORQ, procedures using iFuse Bedrock Granite, procedures using INTRA and procedures using iFuse TORQ TNT. We currently have 25 simulators used worldwide. We utilize the simulators and our existing programs to train new physicians, increase the knowledge and proficiency of existing iFuse physicians and re-engage inactive physicians.</w:t>
      </w:r>
    </w:p>
    <w:p>
      <w:pPr>
        <w:spacing w:after="0" w:line="201"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We are targeting over 12,000 U.S. physicians including over 8,000 orthopedic and neurological surgeons and approximately 4,500 interventional spine physicians, to perform our procedures. As of December 31, 2024 and 2023, in the United States, more than 3,200 physicians and 2,700 physicians, respectively, have been trained on our solutions and have treated at least one patient using our solutions. Outside the United States, as of December 31, 2024 and 2023, more than 1,100 physicians and 900 physicians, respectively, have been trained on iFuse and have treated at least one patient using iFuse.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market and sell our implants primarily through a direct sales force and third-party sales agents. Our target customer base includes over 12,000 physicians in the U.S. who perform advanced spinal procedures.</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direct sales organization in the United States covered 16 sales regions as of December 31, 2024. In each region, a number of territory sales managers act as the primary customer contact. Our territory sales managers have extensive training and experience selling medical devices for spinal surgery and pain management procedures, generally focusing on emerging technologies and markets. For large and/or high volume territories, we also employ territory representatives who cover cases and support revenue growth activities. As of December 31, 2024, our U.S. sales force consisted of 87 territory sales managers and 71 clinical specialists directly employed by us, and 252 third-party sales agents. As of December 31, 2024, we had 20 employees working in our European operations across multiple countries. As of December 31, 2024, our international sales force consisted of 9 sales representatives directly employed by us and 31 third-party sales agents, which together had sales in 38 countries through December 31, 2024. We intend to continue to grow our specialized sales force to foster physician engagement and support revenue growth.</w:t>
      </w:r>
    </w:p>
    <w:p>
      <w:pPr>
        <w:spacing w:after="0" w:line="1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believe it is essential to raise awareness among lower back pain sufferers that their symptoms may be the result of sacroiliac joint disorders and that minimally invasive surgical treatments are available. To raise patient awareness, we have implemented targeted marketing, education and direct outreach programs. We continually update our social media initiatives and post content to educate and engage patients who may be candidates for our procedures.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remain focused on the development of products and techniques to help physicians improve the treatment of their patients and anticipate</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continuing to build products and pursue additional indications. Our development team, in consultation with physicians, has a pipeline of products in various stages to provide solutions that respond to the needs of our physician customers and their patients. We plan to seek regulatory clearances for additional indications as required. We anticipate that research and development expenses will continue to increase in the future.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believe from market research data that we are an industry leader in solving musculoskeletal disorders of the sacropelvic anatomy with our proprietary minimally invasive surgical implant systems. Over the past several years, other companies have recognized the multi-billion dollar addressable market opportunity and have entered the minimally invasive sacroiliac joint fusion market. Some of our competitors are large, publicly traded companies that have wide product offerings for spine and orthopedic surgery, which allow them to bundle products to win large hospital group contracts. This can create a barrier to entry for us. Another advantage large companies have is integrated surgical navigation and robotics platforms. This allows them to create an ecosystem with their implant systems that can be difficult to penetrate. Other competitors have entered the market with allograft bone implants marketed as human tissue products and intended for sacroiliac stabilization and/or fusion. Many of these competitors are smaller private companies and target interventional pain and other physicians not trained as orthopedic and neurological surgeons.</w:t>
      </w:r>
    </w:p>
    <w:p>
      <w:pPr>
        <w:spacing w:after="0" w:line="1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believe that our largest competitors currently are Globus Medical, Inc. and Medtronic plc. However, these competitors sell products which we believe lack the features, evidence and advantages of our implants.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Based on our commercial experience and market research, we believe our implants are currently used in the majority of minimally invasive surgical fusions and/or fixation of the sacroiliac joint in the United States. We believe we have the most comprehensive set of solutions which are supported by clinical evidence including randomized controlled studies that demonstrate the safety, clinical effectiveness, durability, and economic utility. We have received exclusive reimbursement coverage in the United States by certain payors based upon our differentiated product and quality of our evidence as well as NTAP and TPT given the breakthrough designation of certain devices. We believe that we have the largest dedicated direct salesforce focused on sacropelvic solutions competing in our segment. We believe these factors provide competitive advantages to us in the market. The following are the primary competitive factors on which companies compete in our industry:</w:t>
      </w:r>
    </w:p>
    <w:p>
      <w:pPr>
        <w:spacing w:after="0" w:line="216" w:lineRule="exact"/>
        <w:rPr>
          <w:sz w:val="20"/>
          <w:szCs w:val="20"/>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clinical procedure effectiveness;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surgical technique and use of associated instruments;</w:t>
      </w:r>
    </w:p>
    <w:p>
      <w:pPr>
        <w:sectPr>
          <w:pgSz w:w="11900" w:h="16838" w:orient="portrait"/>
          <w:cols w:equalWidth="0" w:num="1">
            <w:col w:w="11240"/>
          </w:cols>
          <w:pgMar w:left="320" w:top="981" w:right="339" w:bottom="1440" w:gutter="0" w:footer="0" w:header="0"/>
        </w:sectPr>
      </w:pPr>
    </w:p>
    <w:p>
      <w:pPr>
        <w:spacing w:after="0" w:line="33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6" w:name="page17"/>
    <w:bookmarkEnd w:id="16"/>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clinical outcomes and evidence;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 effectiveness;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support and service, and customer service;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training, including disease, anatomy, diagnosis and treatment;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innovation and the speed of innovation;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and responsiveness to customers’ demands;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(biomechanics) data;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reimbursement.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protect our intellectual property through our pending patent applications and issued patents. As of December 31, 2024, we had been issued 68 issued U.S. patents and had 40 pending U.S. patent applications, and we owned 20 issued foreign patents and had 24 pending foreign patent applications. We have focused the majority of our foreign patent efforts in China, Europe, and Japan. Our current U.S. patents on the design of our first generation iFuse implant, including its triangular shape, expire in December 2025. Our current U.S. patents on iFuse-3D, including the fenestrated design, expire in September 2035. Our current U.S. patents on the triangular cutting tool used to place our implants expire in February 2034, and our current U.S. patents protecting the design of our iFuse Bedrock Granite implants expire in February 2039. Our foreign patents will expire between August 2025 and September 2035.</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2024, we have 22 registered trademarks in the United States and have filed for three more. We have sought protection for at least 14 of these trademarks in 60 countries including the 27 European Union member countries.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agreements.</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that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currently unknown to us, which may later result in issued patents that our existing or future products or proprietary technologies may be alleged and/or found to infringe.</w:t>
      </w:r>
    </w:p>
    <w:p>
      <w:pPr>
        <w:spacing w:after="0" w:line="19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20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Regulation of Our Products and Business</w:t>
      </w:r>
    </w:p>
    <w:p>
      <w:pPr>
        <w:spacing w:after="0" w:line="256"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(“FDCA”) as implemented and enforced by the FDA.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clearance or approval and marketing of our products. These include:</w:t>
      </w:r>
    </w:p>
    <w:p>
      <w:pPr>
        <w:spacing w:after="0" w:line="252"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listing and establishment registration, which helps facilitate FDA inspections and other regulatory action;</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device exemptions to conduct premarket clinical trials, which include extensive monitoring, recordkeeping, and reporting requirements in compliance with good clinical practices (“GCP”) and with institutional review board (“IRB”) oversight;</w:t>
      </w:r>
    </w:p>
    <w:p>
      <w:pPr>
        <w:spacing w:after="0" w:line="40" w:lineRule="exact"/>
        <w:rPr>
          <w:rFonts w:ascii="Times New Roman" w:cs="Times New Roman" w:eastAsia="Times New Roman" w:hAnsi="Times New Roman"/>
          <w:sz w:val="18"/>
          <w:szCs w:val="18"/>
          <w:color w:val="auto"/>
        </w:rPr>
      </w:pPr>
    </w:p>
    <w:p>
      <w:pPr>
        <w:ind w:left="820" w:right="100" w:hanging="326"/>
        <w:spacing w:after="0" w:line="24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System Regulation (“QSR”) and Quality Management System Regulation ("QMSR"), which requires manufacturers, including third-party manufacturers, to follow stringent design, testing, control, documentation and other quality assurance procedures during all aspects of the manufacturing process;</w:t>
      </w:r>
    </w:p>
    <w:p>
      <w:pPr>
        <w:spacing w:after="0" w:line="22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of product modifications that could significantly affect safety or effectiveness or that would constitute a major change in intended use of one of our cleared devices;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product modifications that affect the safety or effectiveness of one of our approved devices;</w:t>
      </w:r>
    </w:p>
    <w:p>
      <w:pPr>
        <w:spacing w:after="0" w:line="117"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it can ask, or under certain conditions order, device manufacturers to recall from the market a product that is in violation of governing laws and regulations;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pertaining to voluntary recalls;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corrections or removals.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Premarket Clearance and Approval Requirements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Unless an exemption applies, each medical device we wish to commercially distribute in the United States will require either premarket notification, or 510(k), clearance or approval of a pre-market approval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Class I devices are those for which safety and effectiveness can be assured by adherence to FDA’s “general controls” for medical devices, which include compliance with the applicable portions of the FDA’s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30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8" w:name="page19"/>
    <w:bookmarkEnd w:id="18"/>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may place the device, or the particular use of the device, into Class III, and the device sponsor must then fulfill much more rigorous premarketing requirements.</w:t>
      </w:r>
    </w:p>
    <w:p>
      <w:pPr>
        <w:spacing w:after="0" w:line="19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PMA application is required before marketing of a Class III device can proceed.</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510(k) Clearance</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9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After a device receives 510(k) marketing clearance, any modification that could significantly affect its safety or effectiveness, or that would constitute a major change or modification in its intended use, will require a new 510(k) marketing clearance or, if the modification changes the classification of the product to Class III,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manufacturer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is obtained. The manufacturer may also be subject to significant regulatory fines or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Human Cell and Tissue Based Products</w:t>
      </w:r>
    </w:p>
    <w:p>
      <w:pPr>
        <w:spacing w:after="0" w:line="216"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Our iFuse INTRA products are derived from human tissue (demineralized bone tissue). The FDA has specific regulations governing human cells, tissues, and cellular and tissue-based products ("HCT/Ps"). HCT/Ps regulated by the FDA under the authority of section 361 of the Public Health Service Act must be not more than minimally manipulated and be for homologous use. They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 Our bone tissue products are regulated as 361 HCT/Ps.</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American Association of Tissue Banks ("AATB") has issued operating standards for tissue banking. Accreditation is voluntary, but compliance with these standards is a requirement to become an AATB-accredited tissue establishment. In addition, some states have their own tissue banking regulations. As of December 31, 2024, we are licensed or have permits for tissue banking in California and Maryland.</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Procurement of certain human organs and tissue for transplantation is subject to the restrictions of the National Organ Transplant Act ("NOTA"), which prohibits the transfer of certain human organs, including bone tissue for valuable consideration, but</w:t>
      </w:r>
    </w:p>
    <w:p>
      <w:pPr>
        <w:spacing w:after="0" w:line="29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permits reasonable payments associated with removal, transportation, implantation, processing, preservation, quality control and storage.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Pervasive and Continuing Regulation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After a device is placed on the market, numerous regulatory requirements continue to apply.</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registered our facility with the FDA as a medical device manufacturer. The FDA has broad post-market and regulatory enforcement powers. We are subject to announced and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315" w:lineRule="exact"/>
        <w:rPr>
          <w:sz w:val="20"/>
          <w:szCs w:val="20"/>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Promotional Materials - “Off-Label” Promotion</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we could be subject to additional significant penalties, such as exclusion from participation in federal healthcare programs, and our reputation could be damaged and adoption of the products would be impaired.</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under the federal Lanham Act and similar state laws, competitors, and others can initiate litigation relating to advertising claims.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 of Our Products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research, development and clinical programs, as well as our manufacturing and marketing operations, are subject to extensive regulation in countries outside of the US.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European Economic Area (“EEA”) (comprised of the 27 EU Member States, plus Iceland, Lichtenstein and Norway), Regulation ("EU") 2017/745 on Medical Devices, or the Medical Device Regulation (“MDR”) and its associated guidance documents and harmonized standards govern many aspects of the regulation of medical devices. This includes device design and development, preclinical and clinical or performance testing, premarket conformity assessment, registration and listing, manufacturing, labeling, storage, claims, sales and distribution, export and import and post-market surveillance, vigilance, and market surveillance.</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Medical devices must comply with the General Safety and Performance Requirements (“GSPRs”), set out in Annex I to the Medical Device Regulation. Compliance with these requirements is a prerequisite to affixing the CE mark to devices, without which they cannot be marketed or sold in the EEA. To demonstrate compliance with the GSPRs provided in the Medical Device Regulation and obtain the right to affix the CE mark, medical devices manufacturers must conduct a conformity assessment procedure, which</w:t>
      </w:r>
    </w:p>
    <w:p>
      <w:pPr>
        <w:spacing w:after="0" w:line="31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t>varies according to the type of medical device and its classification. Apart from low-risk medical devices (Class I with no measuring function and which are not sterile), in relation to which the manufacturer may issue an EU Declaration of Conformity based on a self-assessment of the conformity of its products with the GSPRs, a conformity assessment procedure requires review by a Notified Body. A Notified Body is an organization designated by a Competent Authority of an EEA country to conduct conformity assessments. Depending on the relevant conformity assessment procedure, the Notified Body audits and examines the technical documentation and the quality system for the manufacture, design and final inspection of the medical device. Following a successful assessment process, the Notified Body issues a CE Certificate of Conformity. This Certificate and completion of the related conformity assessment process entitles the manufacturer to affix the CE mark to its medical devices after having prepared and signed a related EU Declaration of Conformity.</w:t>
      </w:r>
    </w:p>
    <w:p>
      <w:pPr>
        <w:spacing w:after="0" w:line="2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a general rule, demonstration of conformity of medical devices and their manufacturers with the GSPRs must include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w:t>
      </w:r>
    </w:p>
    <w:p>
      <w:pPr>
        <w:spacing w:after="0" w:line="3" w:lineRule="exact"/>
        <w:rPr>
          <w:sz w:val="20"/>
          <w:szCs w:val="20"/>
          <w:color w:val="auto"/>
        </w:rPr>
      </w:pPr>
    </w:p>
    <w:p>
      <w:pPr>
        <w:jc w:val="both"/>
        <w:ind w:firstLine="8"/>
        <w:spacing w:after="0" w:line="255"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investigations conducted on the devices being assessed, (2) scientific literature from similar devices whose equivalence with the assessed device can be demonstrated or (3) both clinical investigations and scientific literature. Moreover, after a device is placed on the market, it remains subject to significant regulatory requirements that must commonly be fulfilled by the manufacturer or on their behalf.</w:t>
      </w:r>
    </w:p>
    <w:p>
      <w:pPr>
        <w:spacing w:after="0" w:line="21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Medical Device Regulation includes a number of transitional provisions. Manufacturers of medical devices may only benefit from the transitional provisions if certain conditions are fulfilled.</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advertising and promotion of medical devices in the EEA is subject to the national laws of the individual EEA countries. Directive 2006/114/EC concerning misleading and comparative advertising, and Directive 2005/29/EC on unfair commercial practices, as well as other national legislation of individual EEA countries govern the advertisement and promotion of medical devices. The national legislation of individual EEA countries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spacing w:after="0" w:line="21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Moreover, outside the United States, interactions between medical device companies and healthcare professionals are also governed by strict laws, such as national anti-bribery laws of EEA countries, national sunshine rules, regulations, industry self-regulation codes of conduct and physicians’ codes of professional conduct.</w:t>
      </w:r>
    </w:p>
    <w:p>
      <w:pPr>
        <w:spacing w:after="0" w:line="203"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In Great Britain (i.e. England, Wales, and Scotland), medical devices are governed by the Medical Device Regulations ("UK MDR") 2002, as amended. In light of the fact that the CE Marking process discussed above is set out in EU law, which no longer applies in the United Kingdom (other than in Northern Ireland), the United Kingdom has devised a new route to market culminating in a UK Conformity Assessed ("UKCA") Mark to replace the CE Mark. The UK Government has established transitional provisions to recognize the acceptance of CE marked medical devices on the Great Britain market.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Status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November 2008, we received 510(k) clearance to market our first generation iFuse implant from the FDA. Since 2008, we have received additional FDA 510(k) clearances for new instruments, additional implant sizes and labeling changes. In the United States, our first-generation iFuse implants and our iFuse-3D implants are intended for sacroiliac fusion for the following conditions: sacroiliac joint dysfunction that is a direct result of sacroiliac joint disruptions and degenerative sacroiliitis, which includes conditions where symptoms began during pregnancy or in the peripartum period and have persisted postpartum for more than six months; to</w:t>
      </w:r>
    </w:p>
    <w:p>
      <w:pPr>
        <w:spacing w:after="0" w:line="200" w:lineRule="exact"/>
        <w:rPr>
          <w:sz w:val="20"/>
          <w:szCs w:val="20"/>
          <w:color w:val="auto"/>
        </w:rPr>
      </w:pPr>
    </w:p>
    <w:p>
      <w:pPr>
        <w:spacing w:after="0" w:line="33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augment immobilization and stabilization of the sacroiliac joint in skeletally mature patients undergoing sacropelvic fixation as part of a lumbar or thoracolumbar fusion; and acute, non-acute, and non-traumatic fractures involving the sacroiliac joint.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February 2021, we received 510(k) clearance to market our iFuse TORQ from the FDA.</w:t>
      </w:r>
    </w:p>
    <w:p>
      <w:pPr>
        <w:spacing w:after="0" w:line="2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June 2022, we received an additional 510(k) clearance from the FDA to extend the use of iFuse TORQ to include fragility fractures. This clearance opens a new population that can benefit from sacroiliac joint fusion and fracture fixation using iFuse TORQ.</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September 2022, we received 510(k) clearance from the FDA for use of iFuse TORQ using the Bedrock technique. This clearance allows us to promote the use of a threaded implant (iFuse TORQ) in a trajectory that is familiar to surgeons through a previous clearance for the same use for iFuse-3D. In the United States, the iFuse TORQ Implant System is indicated for sacroiliac joint fusion for:</w:t>
      </w:r>
    </w:p>
    <w:p>
      <w:pPr>
        <w:spacing w:after="0" w:line="176" w:lineRule="exact"/>
        <w:rPr>
          <w:sz w:val="20"/>
          <w:szCs w:val="20"/>
          <w:color w:val="auto"/>
        </w:rPr>
      </w:pPr>
    </w:p>
    <w:p>
      <w:pPr>
        <w:ind w:left="660" w:hanging="247"/>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Sacroiliac joint dysfunction including sacroiliac joint disruption and degenerative sacroiliitis.</w:t>
      </w:r>
    </w:p>
    <w:p>
      <w:pPr>
        <w:spacing w:after="0" w:line="21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Augmenting immobilization and stabilization of the sacroiliac joint in skeletally mature patients undergoing sacropelvic fixation as part of a lumbar or thoracolumbar fusion.</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iFuse TORQ Implant System is also indicated for fracture fixation of the pelvis, including acute, non-acute and non-traumatic fractures.</w:t>
      </w:r>
    </w:p>
    <w:p>
      <w:pPr>
        <w:spacing w:after="0" w:line="225" w:lineRule="exact"/>
        <w:rPr>
          <w:sz w:val="20"/>
          <w:szCs w:val="20"/>
          <w:color w:val="auto"/>
        </w:rPr>
      </w:pPr>
    </w:p>
    <w:p>
      <w:pPr>
        <w:jc w:val="both"/>
        <w:ind w:firstLine="405"/>
        <w:spacing w:after="0" w:line="232" w:lineRule="auto"/>
        <w:rPr>
          <w:sz w:val="20"/>
          <w:szCs w:val="20"/>
          <w:color w:val="auto"/>
        </w:rPr>
      </w:pPr>
      <w:r>
        <w:rPr>
          <w:rFonts w:ascii="Times New Roman" w:cs="Times New Roman" w:eastAsia="Times New Roman" w:hAnsi="Times New Roman"/>
          <w:sz w:val="18"/>
          <w:szCs w:val="18"/>
          <w:color w:val="auto"/>
        </w:rPr>
        <w:t>In May 2022, we received 510(k) clearance from the FDA for iFuse Bedrock Granite. This implant combines benefits of a pelvic fixation screw with attachment to posterior rods of pedicle screw systems and simultaneous fusion of the sacroiliac joint related to the device’s porous surface. This device previously received breakthrough device designation from the FDA in November 2021. The combination of breakthrough designation and FDA clearance allowed us to obtain an NTAP from Centers for Medicare &amp; Medicaid Service ("CMS"). NTAP provides an additional payment to hospitals for eligible cases that use iFuse Bedrock Granite.</w:t>
      </w:r>
    </w:p>
    <w:p>
      <w:pPr>
        <w:spacing w:after="0" w:line="201"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In June 2023, we received 510(k) clearance from the FDA for iFuse TORQ placement in the posterolateral or lateral oblique trajectory. The most recent FDA 510(k) premarket clearance was received in January 2024 for the iFuse Bedrock Granite® Implant System in a smaller (9.5 mm) diameter with both an expanded indication in pediatric patients, and an expanded application that includes use in the S1 trajectory.</w:t>
      </w:r>
    </w:p>
    <w:p>
      <w:pPr>
        <w:spacing w:after="0" w:line="194" w:lineRule="exact"/>
        <w:rPr>
          <w:sz w:val="20"/>
          <w:szCs w:val="20"/>
          <w:color w:val="auto"/>
        </w:rPr>
      </w:pPr>
    </w:p>
    <w:p>
      <w:pPr>
        <w:jc w:val="both"/>
        <w:ind w:firstLine="405"/>
        <w:spacing w:after="0" w:line="221" w:lineRule="auto"/>
        <w:rPr>
          <w:sz w:val="20"/>
          <w:szCs w:val="20"/>
          <w:color w:val="auto"/>
        </w:rPr>
      </w:pPr>
      <w:r>
        <w:rPr>
          <w:rFonts w:ascii="Times New Roman" w:cs="Times New Roman" w:eastAsia="Times New Roman" w:hAnsi="Times New Roman"/>
          <w:sz w:val="18"/>
          <w:szCs w:val="18"/>
          <w:color w:val="auto"/>
        </w:rPr>
        <w:t>In August 2024, we received 510(k) clearance from the FDA for the iFuse TORQ TNT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Implant System. The TNT implant system is designed to meet the specific anatomical and bone mineral density needs of the sacrum and ilium and will serve as the next generation technology for pelvic fragility fracture fixation and sacroiliac joint fusion. This implant includes a porous threaded implant with lengths capable of spanning the posterior pelvis, passing through the ipsilateral ilium, sacrum, and into the contralateral ilium. This implant received breakthrough device designation from the FDA.</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future, we plan to pursue additional 510(k) clearances for new products and changes to the current indication for iFuse.</w:t>
      </w:r>
    </w:p>
    <w:p>
      <w:pPr>
        <w:spacing w:after="0" w:line="21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November 2010, we obtained a CE Certificate of Conformity from our Notified Body (DEKRA) and affixed a CE mark to our iFuse Implant System in accordance with the Medical Device Directive ("MDD") to allow commercialization of our triangular iFuse implants in the EEA. In the EEA and Switzerland, iFuse is intended for sacroiliac joint fusion, including use in high and low energy fractures of the pelvic ring. Since 2010, we have renewed our Certificates, added additional instruments, implant sizes and labeling updates and iFuse-3D, our second generation iFuse implant, to our product offerings in the EEA. We plan to continue to work with our Notified Body to update our Technical Files and incorporate updates to our products in the EEA in accordance with applicable legislative requirements.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2021, a UK Responsible Person was appointed and we registered the iFuse Implant System with the Medicines and Healthcare products regulatory agency. We rely on our CE marks to continue to place our devices on the market in Great Britain until the requirement to obtain a UKCA mark applies to our devices.</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May 26, 2021, the European Union no longer applies the Mutual Recognition Agreement between the EEA and Switzerland. However, Switzerland continues to recognize marked medical devices CE marked in accordance with the relevant EU legislation. As a result, we rely on our CE mark to continue to place our devices on the market in Switzerland. Manufacturers based outside of Switzerland are required to appoint a Swiss authorized representative in compliance with the Swiss Medical Device Ordinance. As a consequence, we have appointed an authorized representative in Switzerland and continue to work to meet Swiss requirements for the import of medical devices.</w:t>
      </w:r>
    </w:p>
    <w:p>
      <w:pPr>
        <w:spacing w:after="0" w:line="170"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In 2022, we began the effort of obtaining approval for iFuse and iFuse-3D under EU MDR. As of December 2023, our quality system received MDR approval under ISO 13485:2016. Additionally, EU MDR Certificates of Conformity were issued by DEKRA</w:t>
      </w:r>
    </w:p>
    <w:p>
      <w:pPr>
        <w:spacing w:after="0" w:line="31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ind w:right="380"/>
        <w:spacing w:after="0" w:line="266" w:lineRule="auto"/>
        <w:rPr>
          <w:sz w:val="20"/>
          <w:szCs w:val="20"/>
          <w:color w:val="auto"/>
        </w:rPr>
      </w:pPr>
      <w:r>
        <w:rPr>
          <w:rFonts w:ascii="Times New Roman" w:cs="Times New Roman" w:eastAsia="Times New Roman" w:hAnsi="Times New Roman"/>
          <w:sz w:val="18"/>
          <w:szCs w:val="18"/>
          <w:color w:val="auto"/>
        </w:rPr>
        <w:t>for iFuse and iFuse 3D surgical instruments. We are awaiting issuance of our MDR Certificates of Conformity for iFuse-3D implants and iFuse TORQ instruments and implants.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maintain approval for iFuse in regions beyond the United States and the EEA, including Australia, New Zealand, and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outsource substantially all the manufacturing of our products, therefore we have not incurred significant expenses relating to our compliance with federal, state, or local environmental laws and do not expect to incur significant expenses in the foreseeable future. However, due to the nature of our operations and the frequently changing nature of environmental compliance standards and technology, we cannot predict with any certainty that future material capital or operating expenditures will not be required in order to comply with applicable environmental laws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Fraud and Abuse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purchasers and prescribers of our products. Federal healthcare fraud and abuse laws apply to our business when a customer submits a claim for an item or service that is reimbursable under Medicare, Medicaid, or other federally funded healthcare programs. The laws that may affect our ability to operate include:</w:t>
      </w:r>
    </w:p>
    <w:p>
      <w:pPr>
        <w:spacing w:after="0" w:line="183" w:lineRule="exact"/>
        <w:rPr>
          <w:sz w:val="20"/>
          <w:szCs w:val="20"/>
          <w:color w:val="auto"/>
        </w:rPr>
      </w:pPr>
    </w:p>
    <w:p>
      <w:pPr>
        <w:jc w:val="both"/>
        <w:ind w:left="660" w:hanging="328"/>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lease, order, arrangement for, or recommendation of, items or services for which payment may be made, in whole or in part, under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or a specific intent to violate, the law;</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Actions under the False Claims Act may be brought by the government or as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by a private individual in the name of the government and to share in any monetary recovery. There are also criminal penalties for making or presenting a false or fictitious or fraudulent claim to the federal government;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69"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implemented by the Centers for CMS as the Open Payments program, which requires manufacturers of drugs, devices, biologics and medical supplies for which payment is available under Medicare, Medicaid, or the Children’s Health Insurance Program to report annually to the CMS, information related to payments and other “transfers of value” made to physicians (currently defined to include doctors, dentists, optometrists, podiatrists and chiropractors), other healthcare professionals (including physician assistants and nurse practitioners), and teaching hospitals,</w:t>
      </w:r>
    </w:p>
    <w:p>
      <w:pPr>
        <w:spacing w:after="0" w:line="3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ind w:left="660"/>
        <w:spacing w:after="0" w:line="266" w:lineRule="auto"/>
        <w:rPr>
          <w:sz w:val="20"/>
          <w:szCs w:val="20"/>
          <w:color w:val="auto"/>
        </w:rPr>
      </w:pPr>
      <w:r>
        <w:rPr>
          <w:rFonts w:ascii="Times New Roman" w:cs="Times New Roman" w:eastAsia="Times New Roman" w:hAnsi="Times New Roman"/>
          <w:sz w:val="18"/>
          <w:szCs w:val="18"/>
          <w:color w:val="auto"/>
        </w:rPr>
        <w:t>and requires applicable manufacturers to report annually to CMS ownership and investment interests held by physicians and their immediate family members and payments or other “transfers of value” to such physician owners;</w:t>
      </w:r>
    </w:p>
    <w:p>
      <w:pPr>
        <w:spacing w:after="0" w:line="176" w:lineRule="exact"/>
        <w:rPr>
          <w:sz w:val="20"/>
          <w:szCs w:val="20"/>
          <w:color w:val="auto"/>
        </w:rPr>
      </w:pP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and patients; state and foreign laws that require device companies to comply with the industry’s voluntary compliance guidelines and the applicable compliance guidance promulgated by the government or otherwise restrict payments that may be made to healthcare providers and other potential referral sources; state and foreign beneficiary inducement laws, and state and foreign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we or our employees are found to have violated any of the above laws we may be subject to significant administrative, civil and criminal penalties, including imprisonment, exclusion from participation in federal health care programs, such as Medicare and Medicaid, and equivalents foreign penalties, significant fines, monetary penalties and damages, the restructuring or curtailment of our operations, imposition of compliance obligations and monitoring, and damage to our reputation. For a more detailed description of the federal and state health care fraud and abuse laws, see the risk factor “We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in the Risks Related to Our Legal and Regulatory Environment section of Item 1A of this Annual Report on Form 10-K.</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U.S. Foreign Corrupt Practices Act (“FCPA”) and similar anti-bribery laws in other countries, such as the United Kingdom Bribery Act (“UKBA”), generally prohibit companies and their intermediaries from making improper payments to government officials and/or other persons for the purpose of obtaining or retaining business. Our policies mandate compliance with these anti-bribery laws.</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 Laws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process personal or sensitive data.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European Union’s General Data Protection Regulation 2016/679 (“EU GDPR”), the EU GDPR as it forms part of United Kingdom (“UK”) law by virtue of section 3 of the European Union (Withdrawal) Act 2018 (“UK GDPR”), and the ePrivacy Directive. Several states within the United States have enacted or proposed data privacy laws. For example, California passed the California Consumer Privacy Act of 2018, as amended by the California Privacy Rights Act of 2020 (“CPRA”) (collectively, “CCPA”). Virginia passed the Consumer Data Protection Act, and Colorado passed the Colorado Privacy Act.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spacing w:after="0" w:line="21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CCPA and EU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In addition, the CPRA expanded the CCPA by giving California residents the ability to limit use of certain sensitive personal data, establishing restrictions on personal data retention, expanding the types of data breaches that are subject to the CCPA’s private right of action, and establishing a new California Privacy Protection Agency to implement and enforce the new law. Foreign data privacy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w:t>
      </w:r>
    </w:p>
    <w:p>
      <w:pPr>
        <w:spacing w:after="0" w:line="32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the Health Insurance Portability and Accountability Act, and its implementing regulations, as amended by Health Information Technology for Economic and Clinical Health Act enacted under the American Recovery and Reinvestment Act 2009 (collectively, “HIPAA”), in the United States.</w:t>
      </w:r>
    </w:p>
    <w:p>
      <w:pPr>
        <w:spacing w:after="0" w:line="180"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8"/>
          <w:szCs w:val="18"/>
          <w:color w:val="auto"/>
        </w:rPr>
        <w:t>HIPAA imposes obligations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HIPAA also requires the notification of patients, reporting to the U.S. Department of Health and Human Services (“HHS”), and other compliance actions, in the event of a breach of unsecured Protected Health Information (“PHI”). Required notification must be provided without unreasonable delay and in no event later than 60 calendar days after discovery of the breach, under HIPAA. In addition, if the PHI of 500 or more individuals is improperly used or disclosed, HHS would post the notification on its website, and we may be required to notify the media. Failure to comply with the HIPAA privacy and security standards can result in significant civil monetary penalties, and, in certain circumstances, criminal penalties, including imprisonment.</w:t>
      </w:r>
    </w:p>
    <w:p>
      <w:pPr>
        <w:spacing w:after="0" w:line="20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even when HIPAA does not apply other federal and state laws impose security obligations. For example, according to the Federal Trade Commission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8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 Risks Related to Our Business and Our Industry” for additional information about the laws and regulations to which we may become subject and about the risks to our business associated with such laws and regulation.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use third-party manufacturers to produce our implants and instruments. To mitigate supply risk, we use a rolling twelve month forecast and take into consideration production lead times to maintain adequate levels of inventory for our iFuse-3D, iFuse TORQ and iFuse Bedrock Granite implants. Most of our instruments have secondary manufacturing suppliers and we continually work with additional manufacturers as our secondary suppliers. Substantially all of our products, including all of our implants, are manufactured in the United States.</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only supplier for our iFuse-3D and iFuse TORQ and iFuse TORQ TNT implants is rms Company ("RMS"). We entered into an exclusive Manufacture and Supply Agreement with RMS in February 2024 (the "Manufacture and Supply Agreement") which supersedes and replaces our prior Manufacturing, Quality and Supply Agreement with RMS. Pursuant to the Manufacture and Supply Agreement, RMS manufactures certain of our implants in accordance with our specifications. The agreement provides us with the right to quality alternative sources from whom we may purchase products in the event of a supply failure by RMS. The prices we pay for products are fixed under the agreement through 2026. The agreement has a three-year initial term and automatically renews for successive one-year periods; provided, however, the agreement may be terminated early by either party, as specified in the agreement.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iFuse Bedrock Granite implant is manufactured and assembled by third-party suppliers, including RMS.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manufacturing operations, and those of our suppliers, comply with regulations mandated by the FDA and the EU. Manufacturing facilities that produce medical devices or component parts intended for distribution world-wide are subject to regulation and periodic planned and unannounced inspection by the FDA and other domestic and foreign regulatory authorities as well as Notified Bodies.</w:t>
      </w:r>
    </w:p>
    <w:p>
      <w:pPr>
        <w:spacing w:after="0" w:line="189"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In the United States, products we sell are required to be manufactured in compliance with the FDA's Quality System Regulation, codified at 21 CFR Part 820, which covers the methods used in, and the facilities used for, the design, testing, control, manufacturing, labeling, quality assurance, packaging, storage, and shipping. In international markets, we are required to comply with similar requirements. Our status in FDA’s Establishment Registration and Device Listing is active and we also maintain the Medical Device Manufacturing License issued by the State of California’s Department of Public Health Food and Drug Branch. In the EEA, we are required to comply with Quality Management System ("QMS") requirements established in EU medical device legislation. To demonstrate compliance with these requirements, we obtain and maintain ISO13485:2016 Quality Management System certification for our locations in Santa Clara, California, and Gallarate Italy, issued by DEKRA Certification, B.V.</w:t>
      </w:r>
    </w:p>
    <w:p>
      <w:pPr>
        <w:spacing w:after="0" w:line="21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obtain and maintain appropriate CE Certificates of Conformity delivered by our Notified Body, DEKRA, for any medical devices we placed on the EU market in accordance with applicable EU medical device legislation.</w:t>
      </w:r>
    </w:p>
    <w:p>
      <w:pPr>
        <w:spacing w:after="0" w:line="18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required to demonstrate continuing compliance with applicable requirements to maintain these certifications and CE Certificates of Conformity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EU regulatory requirements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or renewing regulatory approvals or CE Certificates of Conformity, recalls, enforcement actions, including injunctive relief or consent decrees, or other consequences, which could, in turn, have a material adverse effect on our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and Insurance</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17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3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well-being programs.</w:t>
      </w:r>
    </w:p>
    <w:p>
      <w:pPr>
        <w:spacing w:after="0" w:line="21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to ensuring equitable compensation for our employees, we maintain a strong focus on enhancing employee retention and job satisfaction and promoting workforce diversity.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w:t>
      </w:r>
    </w:p>
    <w:p>
      <w:pPr>
        <w:spacing w:after="0" w:line="20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seek to create a transparent and open culture that promotes lawful and ethical conduct. As part of our new hire orientation curriculum, each new employee undergoes training on our code of conduct, corporate compliance polices and the legal, regulatory and industry code frameworks governing our business as a manufacturer and distributor of medical devices. Based on their role, employees also participate in periodic refresher trainings and trainings around particular topics of current importance related to legal compliance. We have established clear expectations of our employees and take corrective action if a compliance issue arises. We have a standing Compliance Committee in which our most senior executives participate in quarterly meetings, and we report annually to our Board of Directors on risk management and legal compliance. We also report quarterly to our Nominating and Corporate Governance Committee on compliance, including a dashboard presentation. We view our employees as our most important partners in creating a culture of compliance, led by our senior leadership team but in which each employee is also an accountable participant.</w:t>
      </w:r>
    </w:p>
    <w:p>
      <w:pPr>
        <w:spacing w:after="0" w:line="2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we had 349 employees, including sales and marketing, product development, general administrative and accounting, both domestically and internationally. As of December 31, 2024, we had a direct field sales organization of 158 in the United States and nine in Europe. During 2024, our voluntary attrition rate was approximately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SI-BONE was founded in 2008 by the principal inventor of the iFuse triangle, orthopedist Mark A. Reiley, M.D., our current Chairman of the Board, Jeffrey W. Dunn, and orthopedic surgeon Leonard Rudolf, M.D.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43" w:lineRule="exact"/>
        <w:rPr>
          <w:sz w:val="20"/>
          <w:szCs w:val="20"/>
          <w:color w:val="auto"/>
        </w:rPr>
      </w:pPr>
    </w:p>
    <w:p>
      <w:pPr>
        <w:jc w:val="both"/>
        <w:ind w:firstLine="405"/>
        <w:spacing w:after="0" w:line="289" w:lineRule="auto"/>
        <w:rPr>
          <w:sz w:val="20"/>
          <w:szCs w:val="20"/>
          <w:color w:val="auto"/>
        </w:rPr>
      </w:pPr>
      <w:r>
        <w:rPr>
          <w:rFonts w:ascii="Times New Roman" w:cs="Times New Roman" w:eastAsia="Times New Roman" w:hAnsi="Times New Roman"/>
          <w:sz w:val="18"/>
          <w:szCs w:val="18"/>
          <w:color w:val="auto"/>
        </w:rPr>
        <w:t xml:space="preserve">We were incorporated in March 2008 in Delaware. Our principal executive offices are located at 471 El Camino Real, Suite 101, Santa Clara, California 95050 and our telephone number is (408) 207-0700. Our website address is </w:t>
      </w:r>
      <w:r>
        <w:rPr>
          <w:rFonts w:ascii="Times New Roman" w:cs="Times New Roman" w:eastAsia="Times New Roman" w:hAnsi="Times New Roman"/>
          <w:sz w:val="18"/>
          <w:szCs w:val="18"/>
          <w:u w:val="single" w:color="auto"/>
          <w:color w:val="auto"/>
        </w:rPr>
        <w:t>www.si-bone.com</w:t>
      </w:r>
      <w:r>
        <w:rPr>
          <w:rFonts w:ascii="Times New Roman" w:cs="Times New Roman" w:eastAsia="Times New Roman" w:hAnsi="Times New Roman"/>
          <w:sz w:val="18"/>
          <w:szCs w:val="18"/>
          <w:color w:val="auto"/>
        </w:rPr>
        <w:t>. We completed our initial public offering in October 2018, and our common stock is listed on the Nasdaq Global Market under the symbol “SIBN.”</w:t>
      </w:r>
    </w:p>
    <w:p>
      <w:pPr>
        <w:spacing w:after="0" w:line="170" w:lineRule="exact"/>
        <w:rPr>
          <w:sz w:val="20"/>
          <w:szCs w:val="20"/>
          <w:color w:val="auto"/>
        </w:rPr>
      </w:pPr>
    </w:p>
    <w:p>
      <w:pPr>
        <w:jc w:val="both"/>
        <w:ind w:firstLine="405"/>
        <w:spacing w:after="0" w:line="289"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risks described below, as well as the other information in this Annual Report on Form 10-K,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we may continue to incur operating losses in the future, and we may not be able to achieve or sustain future profitability.</w:t>
      </w:r>
    </w:p>
    <w:p>
      <w:pPr>
        <w:spacing w:after="0" w:line="159"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We have incurred net losses since our inception in 2008. For the years ended December 31, 2024, 2023, and 2022 we had net losses of $30.9 million, $43.3 million, and $61.3 million, respectively. As of December 31, 2024, we had an accumulated deficit of $431.4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We expect that our operating expenses will continue to increase as we continue to develop, enhance, and commercialize our existing and new products and grow our commercial infrastructure. As a result, we may continue to incur operating losses for some time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88" w:lineRule="exact"/>
        <w:rPr>
          <w:sz w:val="20"/>
          <w:szCs w:val="20"/>
          <w:color w:val="auto"/>
        </w:rPr>
      </w:pPr>
    </w:p>
    <w:p>
      <w:pPr>
        <w:jc w:val="both"/>
        <w:ind w:firstLine="445"/>
        <w:spacing w:after="0" w:line="236" w:lineRule="auto"/>
        <w:rPr>
          <w:sz w:val="20"/>
          <w:szCs w:val="20"/>
          <w:color w:val="auto"/>
        </w:rPr>
      </w:pPr>
      <w:r>
        <w:rPr>
          <w:rFonts w:ascii="Times New Roman" w:cs="Times New Roman" w:eastAsia="Times New Roman" w:hAnsi="Times New Roman"/>
          <w:sz w:val="18"/>
          <w:szCs w:val="18"/>
          <w:color w:val="auto"/>
        </w:rPr>
        <w:t>Our expected future capital requirements depend on many factors including expanding our physician base, the expansion of our sales force including through hybrid sales agencies, investment in implants and instruments,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The capital markets have deteriorated substantially since the beginning of 2022, especially with respect to securities issued by small- and mid-cap companies in the medical device sector. Equity and debt capital have become substantially more expensive and difficult to raise on attractive terms.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199"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convince physicians that our products are attractive alternatives to our competitors’ products and that our procedures are attractive alternatives to existing surgical and non-surgical treatments for their respective indications.</w:t>
      </w:r>
    </w:p>
    <w:p>
      <w:pPr>
        <w:spacing w:after="0" w:line="158"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Physicians, in consultation with their patients, play the primary role in determining the course of treatment and, ultimately, any product that will be used in treatment. For us to sell our products successfully, we must demonstrate to physicians through education and training that treatment with one or more of our iFuse family of implants is beneficial, safe, and cost-effective for patients as compared to our competitors’ products. If we are not successful in demonstrating the merits of our products to physicians, their use of our products may decline, adversely affecting our revenues and profitability.</w:t>
      </w:r>
    </w:p>
    <w:p>
      <w:pPr>
        <w:spacing w:after="0" w:line="191"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Historically, many physicians did not include an evaluation of the sacroiliac joint in their diagnostic work-up because they did not have an adequate surgical procedure to perform for patients diagnosed with sacroiliac joint dysfunction. We believe that educating physicians and other healthcare professionals about the clinical merits and patient benefits of our iFuse family of implants is an important element of building our business. If we fail to effectively educate physicians and other medical professionals, they may not</w:t>
      </w:r>
    </w:p>
    <w:p>
      <w:pPr>
        <w:spacing w:after="0" w:line="200" w:lineRule="exact"/>
        <w:rPr>
          <w:sz w:val="20"/>
          <w:szCs w:val="20"/>
          <w:color w:val="auto"/>
        </w:rPr>
      </w:pPr>
    </w:p>
    <w:p>
      <w:pPr>
        <w:spacing w:after="0" w:line="20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66" w:lineRule="auto"/>
        <w:rPr>
          <w:sz w:val="20"/>
          <w:szCs w:val="20"/>
          <w:color w:val="auto"/>
        </w:rPr>
      </w:pPr>
      <w:r>
        <w:rPr>
          <w:rFonts w:ascii="Times New Roman" w:cs="Times New Roman" w:eastAsia="Times New Roman" w:hAnsi="Times New Roman"/>
          <w:sz w:val="18"/>
          <w:szCs w:val="18"/>
          <w:color w:val="auto"/>
        </w:rPr>
        <w:t>include a sacroiliac joint evaluation as part of their diagnosis and, as a result, those patients may continue to receive unnecessary surgical procedures or only non-surgical treatment.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Physicians may also hesitate to change their medical treatment practices for other reasons, including the following:</w:t>
      </w:r>
    </w:p>
    <w:p>
      <w:pPr>
        <w:spacing w:after="0" w:line="212" w:lineRule="exact"/>
        <w:rPr>
          <w:sz w:val="20"/>
          <w:szCs w:val="20"/>
          <w:color w:val="auto"/>
        </w:rPr>
      </w:pPr>
    </w:p>
    <w:p>
      <w:pPr>
        <w:ind w:left="1300" w:hanging="523"/>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similar procedures;</w:t>
      </w:r>
    </w:p>
    <w:p>
      <w:pPr>
        <w:spacing w:after="0" w:line="211" w:lineRule="exact"/>
        <w:rPr>
          <w:rFonts w:ascii="Times New Roman" w:cs="Times New Roman" w:eastAsia="Times New Roman" w:hAnsi="Times New Roman"/>
          <w:sz w:val="18"/>
          <w:szCs w:val="18"/>
          <w:color w:val="auto"/>
        </w:rPr>
      </w:pPr>
    </w:p>
    <w:p>
      <w:pPr>
        <w:ind w:left="1300" w:hanging="523"/>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risks generally associated with the use of our products and procedures;</w:t>
      </w:r>
    </w:p>
    <w:p>
      <w:pPr>
        <w:spacing w:after="0" w:line="225" w:lineRule="exact"/>
        <w:rPr>
          <w:rFonts w:ascii="Times New Roman" w:cs="Times New Roman" w:eastAsia="Times New Roman" w:hAnsi="Times New Roman"/>
          <w:sz w:val="18"/>
          <w:szCs w:val="18"/>
          <w:color w:val="auto"/>
        </w:rPr>
      </w:pPr>
    </w:p>
    <w:p>
      <w:pPr>
        <w:ind w:left="1300" w:hanging="523"/>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purchase of our products; and</w:t>
      </w:r>
    </w:p>
    <w:p>
      <w:pPr>
        <w:spacing w:after="0" w:line="211" w:lineRule="exact"/>
        <w:rPr>
          <w:rFonts w:ascii="Times New Roman" w:cs="Times New Roman" w:eastAsia="Times New Roman" w:hAnsi="Times New Roman"/>
          <w:sz w:val="18"/>
          <w:szCs w:val="18"/>
          <w:color w:val="auto"/>
        </w:rPr>
      </w:pPr>
    </w:p>
    <w:p>
      <w:pPr>
        <w:ind w:left="1340" w:hanging="563"/>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commitment that may be required for training.</w:t>
      </w:r>
    </w:p>
    <w:p>
      <w:pPr>
        <w:spacing w:after="0" w:line="212"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Furthermore, we believe physicians will not widely use our products unless they determine, based on experience, clinical data, and published peer-reviewed publications, that our products offer an attractive alternative to non-surgical treatments of sacroiliac joint dysfunction. In addition, we believe support for our products relies heavily on long-term data showing their benefits. If we are unable to provide that data, physicians may not use our products. In such circumstances, we may not achieve expected sales and may be unable to achieve profitability.</w:t>
      </w:r>
    </w:p>
    <w:p>
      <w:pPr>
        <w:spacing w:after="0" w:line="191"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We believe that training is particularly important in instances of newly launched products or the introduction of a product into a new market. If physicians are not properly trained, they may misuse our products, which may result in unsatisfactory patient outcomes, patient injury, negative publicity, or lawsuits against us. In addition, a failure to educate the medical community regarding our products may impair our ability to achieve market acceptance of our products.</w:t>
      </w:r>
    </w:p>
    <w:p>
      <w:pPr>
        <w:spacing w:after="0" w:line="177"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Patients with sacroiliac joint dysfunction are cared for by a variety of health care providers, including spine surgeons and pain physicians and other interventionalist spine physicians, who are generally trained as anesthesiologists, interventional radiologists, or physical medicine and rehabilitation specialists. These interventionalists often offer a variety of non-surgical and surgical interventions to sacroiliac joint dysfunction patients, including, but not limited to, steroid injections, radiofrequency ablation of the nerves serving the sacroiliac joint, and implantation of neurostimulation devices, stabilization and fusion implants and other products intended to treat the sacroiliac joint or the pain it can cause. Our professional education program seeks to teach these physicians, and other health care providers, about the benefits of our iFuse products, with the intent of either having them adopt and perform our procedures or refer their patients with sacroiliac joint dysfunction to physicians who have been trained to perform our procedures. Providers who have not been educated on or adopted our procedures may prefer to continue to treat these patients with other interventions they offer because of physician preference or their view that these interventions are superior.</w:t>
      </w:r>
    </w:p>
    <w:p>
      <w:pPr>
        <w:spacing w:after="0" w:line="185"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The AMA CPT Editorial Panel introduced a new permanent Category 1 CPT Code, 27278, to describe minimally invasive sacroiliac fusion achieved with placement of an intra-articular implant without the use of a transfixing device. While we offer products that can be used in procedures described by both CPT Codes 27278 and 27279, historically our primary focus has been on products used in procedures described by CPT Code 27279. If more physicians elect to offer, or more patients elect to undergo, procedures described by CPT Code 27278, or if we are unable to demonstrate to physicians the comparative benefits of our products that are intended for use in CPT Code 27278 procedures, sales of our iFuse implants could decline or fail to grow, which could adversely affect our business, results of operations and financial condition.</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hospitals, physicians,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168"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physicians, and other healthcare providers that purchase or use medical devices generally rely on third-party payors to pay for all or part of the costs and fees associated with the procedures performed with these devices. When a procedure using our implants is performed, the reimbursement process depends on the site of service. For procedures performed in a hospital or ambulatory surgical center, both the physicians and the healthcare facility submit claims for reimbursement to the healthcare payor. When the procedure is performed in an office-based lab, a single claim covers both physician services and facility costs.</w:t>
      </w:r>
    </w:p>
    <w:p>
      <w:pPr>
        <w:spacing w:after="0" w:line="195"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The AMA develops and maintains CPT codes that are used by third-party payors to determine the amount of reimbursement that a healthcare provider and facility will receive for a particular service. As of January 1, 2025, the Medicare physician fee reimbursement for minimally invasive fusion with our laterally placed transfixing iFuse implants, described as CPT Code 27279, is $790. As of January 1, 2025, Medicare physician fee for procedures using intra-articular, non-transfixing implants, including our iFuse INTRA bone allograft products, is $465 when performed in the facility setting, and $11,805 when performed in the physician office</w:t>
      </w:r>
    </w:p>
    <w:p>
      <w:pPr>
        <w:spacing w:after="0" w:line="200" w:lineRule="exact"/>
        <w:rPr>
          <w:sz w:val="20"/>
          <w:szCs w:val="20"/>
          <w:color w:val="auto"/>
        </w:rPr>
      </w:pPr>
    </w:p>
    <w:p>
      <w:pPr>
        <w:spacing w:after="0" w:line="21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(e.g., office-based lab) setting. Minimally invasive sacroiliac fusion performed with a transfixing device is not eligible for payment in the office-based lab site-of-service and there is therefore no corresponding value for office-based reimbursement for CPT Code 27279.</w:t>
      </w:r>
    </w:p>
    <w:p>
      <w:pPr>
        <w:spacing w:after="0" w:line="176"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Even to the extent our products and procedures using our products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spacing w:after="0" w:line="190"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While all Medicare Administrative Contractors are regularly reimbursing for minimally invasive sacroiliac joint fusion utilizing laterally placed transfixing devices under CPT Code 27279, a small number of private payors still have policies that treat the procedure as experimental or investigational and do not regularly reimburse for the procedure.</w:t>
      </w:r>
    </w:p>
    <w:p>
      <w:pPr>
        <w:spacing w:after="0" w:line="190"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In contrast, the reimbursement environment for the procedure described by CPT Code 27278 (placement of intra-articular implant without the placement of a transfixing device) is less consistent. In 2024, three Medicare Administrative Contractors finalized Local Coverage Determinations precluding coverage for CPT Code 27278. The coverage decisions of the remaining Medicare Administrative Contractors remain uncertain. We believe this reimbursement environment has impacted demand for our iFuse INTRA products.</w:t>
      </w:r>
    </w:p>
    <w:p>
      <w:pPr>
        <w:spacing w:after="0" w:line="17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Commercial payors generally set their physician fee reimbursement with reference to Medicare reimbursement rates. Many have yet to set coverage decisions for CPT Code 27278, and may decide not to cover these procedures until more evidence is developed. There is a small number of commercial payers with positive coverage policies for CPT Code 27278 procedures, and many may allow coverage on a case-by-case basis.</w:t>
      </w:r>
    </w:p>
    <w:p>
      <w:pPr>
        <w:spacing w:after="0" w:line="169" w:lineRule="exact"/>
        <w:rPr>
          <w:sz w:val="20"/>
          <w:szCs w:val="20"/>
          <w:color w:val="auto"/>
        </w:rPr>
      </w:pPr>
    </w:p>
    <w:p>
      <w:pPr>
        <w:jc w:val="both"/>
        <w:ind w:right="20" w:firstLine="445"/>
        <w:spacing w:after="0" w:line="250" w:lineRule="auto"/>
        <w:rPr>
          <w:sz w:val="20"/>
          <w:szCs w:val="20"/>
          <w:color w:val="auto"/>
        </w:rPr>
      </w:pPr>
      <w:r>
        <w:rPr>
          <w:rFonts w:ascii="Times New Roman" w:cs="Times New Roman" w:eastAsia="Times New Roman" w:hAnsi="Times New Roman"/>
          <w:sz w:val="18"/>
          <w:szCs w:val="18"/>
          <w:color w:val="auto"/>
        </w:rPr>
        <w:t>We may be unable to sell our products on a profitable basis if third-party payors deny coverage, or if reimbursement levels are insufficient to support use of our products by healthcare facilities or to compensate physicians for their time spent diagnosing patients and performing procedures using our products. Even if favorable coverage and reimbursement status is attained for procedures using our implants, less favorable coverage policies and reimbursement rates may be implemented in the future.</w:t>
      </w:r>
    </w:p>
    <w:p>
      <w:pPr>
        <w:spacing w:after="0" w:line="17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Future action by the Centers for CMS or third-party payors may reduce the availability of payments to physicians, outpatient surgery centers, and/or hospitals for procedures using our products. Volatility in the payment rates that physicians and hospitals receive from CMS may have a material impact on their willingness to perform procedures including our products, as well as place additional pressure on pricing of our implants.</w:t>
      </w:r>
    </w:p>
    <w:p>
      <w:pPr>
        <w:spacing w:after="0" w:line="169"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in the coverage and reimbursement environment may decrease demand for our products and adversely affect our business.</w:t>
      </w:r>
    </w:p>
    <w:p>
      <w:pPr>
        <w:spacing w:after="0" w:line="21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Minimally invasive surgical sacroiliac joint fusion procedures are primarily separated into two main types: procedures where the devices transfix the joint, and newer procedures using intra-articular (in-line) devices that do not transfix the joint. The transfixing procedures are described by CPT Code 27279. The non-transfixing procedures are described by CPT Code 27278, which was adopted by the AMA CPT Editorial Panel on January 1, 2024.</w:t>
      </w:r>
    </w:p>
    <w:p>
      <w:pPr>
        <w:spacing w:after="0" w:line="169"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We believe that the favorable coverage and reimbursement profile of CPT Code 27279 as compared to CPT Code 27278 is a result of third-party payers’ review and assessment of peer-reviewed clinical literature supporting its use. Most procedures available to U.S. patients have a clear coding interpretation, reported as either CPT Code 27279 or 27278. Ambiguity exists, however, over the proper categorization of some sacroiliac joint devices which use an intra-articular (in-line) approach, but also have integrated fixation design features which “pierce” ilium and sacrum bones on either side of the implant. The AMA is currently receiving proposals to change some code definitions, including for CPT code 27278 and CPT code 27279, to allow for newer sacroiliac joint procedures via the CPT Editorial process, which would impact the reporting of procedures effective January 1, 2026. These changes could impact the code definitions of either or both of these codes.</w:t>
      </w:r>
    </w:p>
    <w:p>
      <w:pPr>
        <w:spacing w:after="0" w:line="181"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If procedures requiring lower work effort supported by lower-quality clinical evidence, and/or having less favorable patient outcomes are reported via CPT Code 27279 instead of CPT Code 27278 as a result of future changes to the code definitions, it may contribute to a loss of value for CPT Code 27279. This dynamic could also prompt reevaluations of third-party payers’ coverage policies, which could ultimately decrease demand for our products and negatively impact our business and prospects. Additionally, if physicians and facilities are confused about the proper coding for our products or our competitors’ products, physicians may choose</w:t>
      </w:r>
    </w:p>
    <w:p>
      <w:pPr>
        <w:spacing w:after="0" w:line="200" w:lineRule="exact"/>
        <w:rPr>
          <w:sz w:val="20"/>
          <w:szCs w:val="20"/>
          <w:color w:val="auto"/>
        </w:rPr>
      </w:pPr>
    </w:p>
    <w:p>
      <w:pPr>
        <w:spacing w:after="0" w:line="20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competitors’ products or choose not to perform sacroiliac joint procedures altogether, which would adversely affect demand for our products.</w:t>
      </w:r>
    </w:p>
    <w:p>
      <w:pPr>
        <w:spacing w:after="0" w:line="21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Any changes of, or uncertainty with respect to, future coverage or reimbursement rates could affect demand for our products, which in turn could impact our ability to successfully commercialize our products and could have an adverse material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reforms may have a material adverse effect on our operations.</w:t>
      </w:r>
    </w:p>
    <w:p>
      <w:pPr>
        <w:spacing w:after="0" w:line="229"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95"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18"/>
          <w:szCs w:val="18"/>
          <w:color w:val="auto"/>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Further, CMS budget neutrality requirements may impose cuts to the Medicare physician fee schedule, which may be mitigated by acts of Congress or other changes to regulations. Other federal laws, known as budget sequestration, further reduce Medicare’s payments to providers by 2%, which, due to subsequent legislative amendments, will stay in effect through 2032.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spacing w:after="0" w:line="19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Pricing pressure from our competitors, healthcare provider consolidation, the presence of physician-owned distributorships, and payor consolidation may impact our ability to sell our product at prices necessary to support our current business strategies.</w:t>
      </w:r>
    </w:p>
    <w:p>
      <w:pPr>
        <w:spacing w:after="0" w:line="158"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91"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18"/>
          <w:szCs w:val="18"/>
          <w:color w:val="auto"/>
        </w:rPr>
        <w:t>Consolidation in the healthcare industry, including both third-party payors and healthcare providers, could lead to demands for price concessions or to the exclusion of some suppliers from certain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w:t>
      </w:r>
    </w:p>
    <w:p>
      <w:pPr>
        <w:spacing w:after="0" w:line="200" w:lineRule="exact"/>
        <w:rPr>
          <w:sz w:val="20"/>
          <w:szCs w:val="20"/>
          <w:color w:val="auto"/>
        </w:rPr>
      </w:pPr>
    </w:p>
    <w:p>
      <w:pPr>
        <w:spacing w:after="0" w:line="21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Practice trends, market dynamics, and other factors, have caused, and may continue to cause, procedures to shift from the hospital environment to ambulatory surgical centers ("ASCs") or office-based labs ("OBLs") where pressure on the prices of our products is generally more acute.</w:t>
      </w:r>
    </w:p>
    <w:p>
      <w:pPr>
        <w:spacing w:after="0" w:line="15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anticipate that more outpatient eligible procedures will be performed in ASCs and OBLs to control costs and expand patient access to medical procedures. This shift accelerated during the COVID-19 pandemic, and we expect it to continue because ASCs and OBLs are generally a more economically favorable site of service, and physicians performing the procedures and their practices sometimes have ownership interests in the ASC and generally own the OBL. Because reimbursement for procedures in an ASC or OBL is typically less than the reimbursement in an in-patient setting and due to physicians’ economic interest in ASCs and OBLs, we typically experience more pressure on the pricing of our products by ASCs and OBLs than by hospitals, and the average price for which we sell our products to ASCs and OBLs can be less than the average prices we charge to hospitals. In addition, some physicians may choose to use fewer implants due to their interest in the profitability of the ASC or OBL. An accelerated shift of procedures using our products to ASCs and OBLs could adversely impact the average selling prices of our products and our revenues could suffer as a result.</w:t>
      </w:r>
    </w:p>
    <w:p>
      <w:pPr>
        <w:spacing w:after="0" w:line="2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2024, CMS announced a TPT payment status for the use of the iFuse Bedrock Granite implant system in hospital outpatient and ASC settings of care, for procedures effective January 1, 2025. TPT allows the hospital outpatient departments and ASCs supporting the case to “pass through” the costs of the iFuse Bedrock Granite technology to the Medicare program, to encourage innovation and early access of new technologies for Medicare beneficiaries. We anticipate this may reduce pricing pressure on our Granite family of implants in the outpatient sites of care, particularly where the Medicare population is heavier. However, we have less experience with our Granite implants being used in outpatient procedures and it remains to be seen whether surgeons will perform more of these procedures in the outpatient setting in the future.</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been highly dependent on revenue from the sale of a single family of products focused on procedures, the goal of which is to stabilize and fuse the sacroiliac joint. Continued reliance on a single family of products and single family of procedures could negatively affect our results of operations and financial condition.</w:t>
      </w:r>
    </w:p>
    <w:p>
      <w:pPr>
        <w:spacing w:after="0" w:line="155"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18"/>
          <w:szCs w:val="18"/>
          <w:color w:val="auto"/>
        </w:rPr>
        <w:t>The majority of our revenue comes from the sale of iFuse, iFuse-3D, iFuse TORQ, and iFuse Bedrock Granite implants, and related tools and instruments. Therefore, we are dependent on widespread market adoption of the iFuse family of products, and we will continue to be dependent on the success of this single product family for the foreseeable future. There can be no assurance that our solutions will maintain a substantial degree of market acceptance among physicians, patients or healthcare providers. Our failure to successfully grow the market for our solutions and increase our share within that market or any other event impeding our ability to sell iFuse, could adversely affect our results of operations, financial condition and continuing operations.</w:t>
      </w:r>
    </w:p>
    <w:p>
      <w:pPr>
        <w:spacing w:after="0" w:line="19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58"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Our currently marketed products are, and any future products we commercialize will likely be, subject to intense competition. Our field is subject to rapid change and is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viewed as safer, less invasive, and more effective than alternatives available for similar purposes as demonstrated in peer-reviewed clinical publications. Because of the size of the potential market, other companies have dedicated, and likely will continue to dedicate, significant resources to developing competing products.</w:t>
      </w:r>
    </w:p>
    <w:p>
      <w:pPr>
        <w:spacing w:after="0" w:line="180"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The number of competitors that we are aware of marketing sacroiliac joint fusion products in the United States has grown considerably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w:t>
      </w:r>
    </w:p>
    <w:p>
      <w:pPr>
        <w:spacing w:after="0" w:line="17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believe that our primary competitors marketing implantable devices currently are Globus Medical, Inc. and Medtronic plc. At any time, these or other industry participants may develop alternative treatments, products or procedures for the treatment of the</w:t>
      </w:r>
    </w:p>
    <w:p>
      <w:pPr>
        <w:spacing w:after="0" w:line="18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jc w:val="both"/>
        <w:spacing w:after="0" w:line="245" w:lineRule="auto"/>
        <w:rPr>
          <w:sz w:val="20"/>
          <w:szCs w:val="20"/>
          <w:color w:val="auto"/>
        </w:rPr>
      </w:pPr>
      <w:r>
        <w:rPr>
          <w:rFonts w:ascii="Times New Roman" w:cs="Times New Roman" w:eastAsia="Times New Roman" w:hAnsi="Times New Roman"/>
          <w:sz w:val="18"/>
          <w:szCs w:val="18"/>
          <w:color w:val="auto"/>
        </w:rPr>
        <w:t>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94"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8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68"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We rely on third-party suppliers to manufacture and supply substantially all of our products. For us to be successful, we need our suppliers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spacing w:after="0" w:line="17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addition, future growth could strain the ability of our suppliers to deliver products, materials, and components. Suppliers often experience difficulties in scaling up production, including financial issues, or problems with production yields and quality</w:t>
      </w:r>
    </w:p>
    <w:p>
      <w:pPr>
        <w:spacing w:after="0" w:line="39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control and assurance. For example, from time to time, we have experienced certain delays and may experience delays from our suppliers in the future.</w:t>
      </w:r>
    </w:p>
    <w:p>
      <w:pPr>
        <w:spacing w:after="0" w:line="21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generally use a small number of suppliers for our instruments and currently rely on RMS for iFuse-3D and iFuse TORQ implants and for several of the components, including the assembly and packaging, of our iFuse Bedrock Granite implants. Our dependence on such a limited number of suppliers exposes us to risks, including, among other things:</w:t>
      </w:r>
    </w:p>
    <w:p>
      <w:pPr>
        <w:spacing w:after="0" w:line="169" w:lineRule="exact"/>
        <w:rPr>
          <w:sz w:val="20"/>
          <w:szCs w:val="20"/>
          <w:color w:val="auto"/>
        </w:rPr>
      </w:pPr>
    </w:p>
    <w:p>
      <w:pPr>
        <w:ind w:left="900" w:right="20" w:hanging="406"/>
        <w:spacing w:after="0" w:line="282" w:lineRule="auto"/>
        <w:tabs>
          <w:tab w:leader="none" w:pos="8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80" w:lineRule="exact"/>
        <w:rPr>
          <w:rFonts w:ascii="Times New Roman" w:cs="Times New Roman" w:eastAsia="Times New Roman" w:hAnsi="Times New Roman"/>
          <w:sz w:val="18"/>
          <w:szCs w:val="18"/>
          <w:color w:val="auto"/>
        </w:rPr>
      </w:pPr>
    </w:p>
    <w:p>
      <w:pPr>
        <w:jc w:val="both"/>
        <w:ind w:left="900" w:hanging="406"/>
        <w:spacing w:after="0" w:line="250" w:lineRule="auto"/>
        <w:tabs>
          <w:tab w:leader="none" w:pos="8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manufacturers or suppliers may fail to maintain good manufacturing practices, leading to quality control problems or regulatory findings that could cause disruptions in their manufacturing processes and affect the safety or effectiveness of our products or cause or lead to delays in shipments of our products;</w:t>
      </w:r>
    </w:p>
    <w:p>
      <w:pPr>
        <w:spacing w:after="0" w:line="136" w:lineRule="exact"/>
        <w:rPr>
          <w:rFonts w:ascii="Times New Roman" w:cs="Times New Roman" w:eastAsia="Times New Roman" w:hAnsi="Times New Roman"/>
          <w:sz w:val="18"/>
          <w:szCs w:val="18"/>
          <w:color w:val="auto"/>
        </w:rPr>
      </w:pPr>
    </w:p>
    <w:p>
      <w:pPr>
        <w:ind w:left="900" w:hanging="406"/>
        <w:spacing w:after="0" w:line="266" w:lineRule="auto"/>
        <w:tabs>
          <w:tab w:leader="none" w:pos="7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08" w:lineRule="exact"/>
        <w:rPr>
          <w:rFonts w:ascii="Times New Roman" w:cs="Times New Roman" w:eastAsia="Times New Roman" w:hAnsi="Times New Roman"/>
          <w:sz w:val="18"/>
          <w:szCs w:val="18"/>
          <w:color w:val="auto"/>
        </w:rPr>
      </w:pPr>
    </w:p>
    <w:p>
      <w:pPr>
        <w:ind w:left="900" w:hanging="406"/>
        <w:spacing w:after="0" w:line="282" w:lineRule="auto"/>
        <w:tabs>
          <w:tab w:leader="none" w:pos="6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and suppliers may be subject to price fluctuations due to a lack of long-term supply arrangements for key components;</w:t>
      </w:r>
    </w:p>
    <w:p>
      <w:pPr>
        <w:spacing w:after="0" w:line="94" w:lineRule="exact"/>
        <w:rPr>
          <w:rFonts w:ascii="Times New Roman" w:cs="Times New Roman" w:eastAsia="Times New Roman" w:hAnsi="Times New Roman"/>
          <w:sz w:val="18"/>
          <w:szCs w:val="18"/>
          <w:color w:val="auto"/>
        </w:rPr>
      </w:pPr>
    </w:p>
    <w:p>
      <w:pPr>
        <w:ind w:left="900" w:hanging="406"/>
        <w:spacing w:after="0" w:line="266" w:lineRule="auto"/>
        <w:tabs>
          <w:tab w:leader="none" w:pos="6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and suppliers may lose access to critical services, raw materials and components, or experience significant delays in obtaining them, resulting in an interruption in the manufacture, assembly and shipment of our systems;</w:t>
      </w:r>
    </w:p>
    <w:p>
      <w:pPr>
        <w:spacing w:after="0" w:line="121" w:lineRule="exact"/>
        <w:rPr>
          <w:rFonts w:ascii="Times New Roman" w:cs="Times New Roman" w:eastAsia="Times New Roman" w:hAnsi="Times New Roman"/>
          <w:sz w:val="18"/>
          <w:szCs w:val="18"/>
          <w:color w:val="auto"/>
        </w:rPr>
      </w:pPr>
    </w:p>
    <w:p>
      <w:pPr>
        <w:ind w:left="900" w:hanging="406"/>
        <w:spacing w:after="0" w:line="266"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could experience plant closures due to local epidemics of communicable diseases or local outbreaks of such diseases among their workforce, thereby shuttering a plant in which our products are manufactured;</w:t>
      </w:r>
    </w:p>
    <w:p>
      <w:pPr>
        <w:spacing w:after="0" w:line="108"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delivery by our third-party manufacturers and suppliers due to significant changes in our ordering volumes;</w:t>
      </w:r>
    </w:p>
    <w:p>
      <w:pPr>
        <w:spacing w:after="0" w:line="171" w:lineRule="exact"/>
        <w:rPr>
          <w:rFonts w:ascii="Times New Roman" w:cs="Times New Roman" w:eastAsia="Times New Roman" w:hAnsi="Times New Roman"/>
          <w:sz w:val="18"/>
          <w:szCs w:val="18"/>
          <w:color w:val="auto"/>
        </w:rPr>
      </w:pPr>
    </w:p>
    <w:p>
      <w:pPr>
        <w:ind w:left="900" w:right="20" w:hanging="406"/>
        <w:spacing w:after="0" w:line="266"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108"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and suppliers may wish to discontinue supplying components or services to us for risk management reasons;</w:t>
      </w:r>
    </w:p>
    <w:p>
      <w:pPr>
        <w:spacing w:after="0" w:line="171" w:lineRule="exact"/>
        <w:rPr>
          <w:rFonts w:ascii="Times New Roman" w:cs="Times New Roman" w:eastAsia="Times New Roman" w:hAnsi="Times New Roman"/>
          <w:sz w:val="18"/>
          <w:szCs w:val="18"/>
          <w:color w:val="auto"/>
        </w:rPr>
      </w:pPr>
    </w:p>
    <w:p>
      <w:pPr>
        <w:ind w:left="900" w:hanging="406"/>
        <w:spacing w:after="0" w:line="266"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find new or alternative components or reconfigure our system and manufacturing processes in a timely manner if the necessary components become unavailable; and</w:t>
      </w:r>
    </w:p>
    <w:p>
      <w:pPr>
        <w:spacing w:after="0" w:line="108" w:lineRule="exact"/>
        <w:rPr>
          <w:rFonts w:ascii="Times New Roman" w:cs="Times New Roman" w:eastAsia="Times New Roman" w:hAnsi="Times New Roman"/>
          <w:sz w:val="18"/>
          <w:szCs w:val="18"/>
          <w:color w:val="auto"/>
        </w:rPr>
      </w:pPr>
    </w:p>
    <w:p>
      <w:pPr>
        <w:ind w:left="900" w:hanging="406"/>
        <w:spacing w:after="0" w:line="282"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and suppliers may encounter financial hardships unrelated to our demand, which could inhibit their ability to fulfill our orders and meet our requirements.</w:t>
      </w:r>
    </w:p>
    <w:p>
      <w:pPr>
        <w:spacing w:after="0" w:line="9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If any one or more of these risks materialize, it could significantly increase our costs and impact our ability to meet demand for our products and to launch new products. If we are unable to satisfy commercial demand for our system in a timely manner, our ability</w:t>
      </w:r>
    </w:p>
    <w:p>
      <w:pPr>
        <w:spacing w:after="0" w:line="17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generate revenue would be impaired, market acceptance of our products could be adversely affected, and customers may instead purchase or use our competitors’ products. Additionally, we could be forced to seek alternative sources of supply.</w:t>
      </w:r>
    </w:p>
    <w:p>
      <w:pPr>
        <w:spacing w:after="0" w:line="176"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to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88"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66"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are acceptable to the FDA, other foreign regulatory authorities, or applicable QMS requirements and the failure of our suppliers to comply with strictly enforced regulatory requirements could expose us to delays in obtaining marketing clearances, approvals or CE Certificates of Conformity, regulatory action including warning letters, product recalls, termination of distribution, operating restrictions, interruption of production, delays in the introduction of products into the market,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98"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In addition, each of our third-party suppliers operates at a facility in a single location and substantially all of our inventory of component supplies and finished goods is held at these locations.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Prolonged inflation and supply chain disruptions could result in delayed product launches, lost revenue, higher costs and decreased profit margins.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 majority of our products are manufactured and sold inside of the United States, which increases our exposure to domestic inflation and fuel price increases. Inflationary pressures may result in increased fuel, raw materials and other costs which, if they continue for a prolonged period, may adversely affect our results of operations. We continue to actively monitor the impact of various macroeconomic trends, such as tariffs, changes to international trade agreements, labor costs, interest rates, inflation rates, and geopolitical instability within the United States and abroad. The implementation of more restrictive trade policies, including the imposition of further tariffs in connection with the new presidential administration in the United States and retaliatory tariffs in response thereto, or the renegotiation of existing trade agreements with the United States or countries where we source supplies, could have a material adverse effect on our business, results of operations and financial condition. For example, much of the titanium used in our implants is sourced from Canada and any disruption to trade with Canada caused by tariffs could increase the cost or disrupt the supply of our implants, which could materially harm our business, financial condition and results of operation. Our efforts to mitigate supply chain weaknesses may not be successful or may have unfavorable effects. For example, efforts to purchase raw materials in advance for product manufacturing may result in increased storage costs or excess supply. If our costs rise due to significant inflationary pressures, tariffs,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w:t>
      </w:r>
    </w:p>
    <w:p>
      <w:pPr>
        <w:spacing w:after="0" w:line="20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could adversely impact our revenue and/or gross margin, and could thereby harm our business, financial condition, and results of operation.</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71"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cost-effective manner. A reduction or interruption in the supply of materials or components used in manufacturing our products, such as due to one or more suppliers experiencing reductions in operations and/or worker absences due to health epidemics, an inability to timely develop and validate alternative sources if required, or a significant increase in the price of such materials or components, such as that caused by inflation and rising interest rates,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These geopolitical events and related factors and results, including related sanctions, may negatively impact the ability of our suppliers’ third-party supply sources to timely supply titanium to our suppliers and may increase or result in additional costs to us.</w:t>
      </w:r>
    </w:p>
    <w:p>
      <w:pPr>
        <w:spacing w:after="0" w:line="18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health</w:t>
      </w:r>
    </w:p>
    <w:p>
      <w:pPr>
        <w:spacing w:after="0" w:line="39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epidemics, we may be unable to transition to other contract sterilizers, sterilizer locations or sterilization methods in a timely or cost effective manner or at all, which could have a material impact on our results of operations and financial condition.</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Physicians and payors may not find the clinical evidence supporting our more recent products to be compelling, which could limit our sales and revenue, and on-going and future research may prove our products to be less safe and effective than currently thought.</w:t>
      </w:r>
    </w:p>
    <w:p>
      <w:pPr>
        <w:spacing w:after="0" w:line="158"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The products we currently market in the United States have either received premarket clearance under Section 510(k) of the United States FDCA, or are exempt from premarket review. Those marketed in the EEA have been the subject of a CE Certificate of Conformity. The 510(k) clearance process of the FDA requires us to document that our product is “substantially equivalent” to another 510(k)-cleared product. The 510(k) process is shorter and typically requires the submission of less supporting documentation than other FDA approval processes, such as a PMA, and does not usually require pre-clinical or clinical studies. As a result, each of our products has been launched prior to gathering substantial prospective clinical trial evidence, and our post-market clinical studies may lack the size and scope of randomized controlled clinical trials required to support approval of a PMA. For these reasons, physicians may be slow to adopt our more recent products including iFuse TORQ, iFUse Bedrock Granite and iFuse INTRA, each of which are supported by smaller bodies of clinical evidence than iFuse and iFuse-3D, third-party payors may be slow to provide coverage for novel procedures and techniques using these products, and we may be subject to greater regulatory and product liability risks. Further, future patient studies or clinical experience may indicate that treatment with any of our products does not improve patient outcomes. Such results would slow the adoption of our products by physicians, significantly reduce our ability to achieve expected sales, and could prevent us from achieving profitability.</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clinical experience with our iFuse Bedrock technique or our iFuse Bedrock Granite, iFuse TORQ, or iFuse INTRA products do not result in positive outcomes for patients, or if clinical trials involving the use of iFuse Bedrock, iFuse Bedrock Granite, iFuse INTRA and/or iFuse TORQ fail to show meaningful patient benefit, sales of our iFuse, iFuse-3D, iFuse TORQ and/or iFuse Bedrock Granite implants could be adversely impacted.</w:t>
      </w:r>
    </w:p>
    <w:p>
      <w:pPr>
        <w:spacing w:after="0" w:line="1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November 2018, we introduced our iFuse Bedrock technique, in which spine surgeons place iFuse triangular implants across the sacroiliac joint using a different surgical approach to treat sacroiliac joint dysfunction at the same time they are fusing multiple levels of the spine above and affixing those</w:t>
      </w:r>
    </w:p>
    <w:p>
      <w:pPr>
        <w:jc w:val="both"/>
        <w:spacing w:after="0" w:line="245" w:lineRule="auto"/>
        <w:rPr>
          <w:sz w:val="20"/>
          <w:szCs w:val="20"/>
          <w:color w:val="auto"/>
        </w:rPr>
      </w:pPr>
      <w:r>
        <w:rPr>
          <w:rFonts w:ascii="Times New Roman" w:cs="Times New Roman" w:eastAsia="Times New Roman" w:hAnsi="Times New Roman"/>
          <w:sz w:val="18"/>
          <w:szCs w:val="18"/>
          <w:color w:val="auto"/>
        </w:rPr>
        <w:t>spinal fusion devices to the pelvis. In April 2019, the FDA cleared promotion of iFuse Bedrock for a broader and more general purpose, to provide additional stability and immobilization of the sacroiliac joint in connection with a thoracolumbar fusion procedure. In June 2022, we also obtained a similar marketing clearance for iFuse TORQ, which can be used in the same Bedrock approach, In May 2022, we introduced iFuse Bedrock Granite, an implant which fuses the sacroiliac joint and attaches to the rods placed in a multi-segment spinal fusion construct, and which is used in substantially similar procedures as the iFuse Bedrock technique. To date, clinical experience with the iFuse Bedrock technique and with iFuse Bedrock Granite is limited and we have yet to publish results from our SILVIA trial of the iFuse Bedrock technique or complete a clinical trial to evaluate the iFuse Bedrock Granite implant. Surgeons do not know if the addition of sacroiliac fusion devices to the implants used to fuse multiple levels of the lumbar spine will result in patient benefit. If surgeons'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209"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In February 2021, we launched iFuse TORQ, a line of 3D-printed threaded implants designed for applications in pelvic trauma and sacroliliac fusion. In June 2022, the FDA provided clearance for an expanded indication for iFuse TORQ to include acute, non-acute and non-traumatic fractures as well as for placement across the sacroiliac joint using our Bedrock technique. In August 2024, we received FDA clearance for the iFuse TORQ TNT with indication for fracture fixation of the pelvis and sacroiliac joint fusion. Clinical experience with iFuse TORQ is limited and we have yet to publish results from SAFFRON, our clinical trial to evaluate the use of iFuse TORQ in patients with sacral fragility or insufficiency fractures. Physicians do not yet know if pelvic fracture fixation and sacroiliac joint fusion using iFuse TORQ is superior to nonsurgical management in this class of patients. If physicians'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manage growth successfully, it could adversely affect our business, financial condition, and results of operations.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experienced considerable revenue growth as we have expanded into new markets. This growth has placed significant demands on our operational and administrative infrastructure, including our supply chain operations, quality control, customer service, salesforce, information technology, and general and financial administration. We anticipate that continued growth will continue to place significant demands on this infrastructure. We cannot be certain that our existing personnel, systems, and procedures and internal controls will be adequate to support our future operations and any expansion of our systems and infrastructure may require us</w:t>
      </w:r>
    </w:p>
    <w:p>
      <w:pPr>
        <w:spacing w:after="0" w:line="19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to commit significant additional financial, operational, and management resources. Expanding the capacity of these infrastructure systems may not be successfully implemented. If we cannot manage our growth effectively, our business will suffer.</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network of direct sales representatives, third-party sales agents, and resellers, we may not be able to generate anticipated sales.</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2024, our U.S. sales force consisted of 87 territory sales managers and 71 clinical support specialists directly employed by us and 252 third-party sales agents. As of December 31, 2024, our international sales force consisted of 9 sales representatives directly employed by us and a total of 31 third-party sales agents and resellers, which together have had sales in 38 countries through December 31, 2024. Our operating results are directly dependent upon the sales and marketing efforts of both our direct sales force and of our third-party sales agents and resellers.</w:t>
      </w:r>
    </w:p>
    <w:p>
      <w:pPr>
        <w:spacing w:after="0" w:line="180"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18"/>
          <w:szCs w:val="18"/>
          <w:color w:val="auto"/>
        </w:rPr>
        <w:t>As we launch new products, expand physician call points,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sales agents and resellers with significant technical knowledge in various areas, such as spine and pelvic health and treatment. New sales representatives and agents require training and take time to achieve full productivity. If we fail to train new sales representatives and agents adequately, or if we experience high turnover in our sales force in the future, we cannot be certain that new sales representatives and agents will become as productive as may be necessary to maintain or increase our sales. If a direct sales representative or third-party sales agent or reseller departs and is retained by one of our competitors, we may be unable to prevent them from helping competitors solicit business from our existing customers, which could further adversely affect our sales. The launch of new products or entrance into new markets could distract our sales representatives from existing customers and markets and redirect resources from existing to novel markets. Furthermore, any such change affects our ability to hire, contract with and retain members of our direct sales force and third-party sales agents and resellers. Because of the intense competition for their services, we may be unable to recruit or retain additional qualified third-party sales agents and resellers or to hire additional direct sales representatives to work with us. Furthermore, we may not be able to enter into agreements with them on favorable or commercially reasonable terms, if at all. Failure to hire or retain qualified direct sales representatives or third-party sales agents and resellers would prevent us from expanding our business and generating sales. If our direct sales representatives or third-party sales agents fail to adequately promote, market and sell our products or decide to leave or cease to do business with us, our sales could significantly decrease.</w:t>
      </w:r>
    </w:p>
    <w:p>
      <w:pPr>
        <w:spacing w:after="0" w:line="190"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we lose the services of key members of our senior management, key advisors or personnel.</w:t>
      </w:r>
    </w:p>
    <w:p>
      <w:pPr>
        <w:spacing w:after="0" w:line="216"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20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Our business is highly reliant on a base of skilled employees, including those serving in engineering, information technology, operational, strategic marketing and sales functions. Many of these employees have developed specialized skills which are valuable within the medical device and life sciences industry, and, in some cases, in a broader variety of industries. Competition for skilled employees remains significant. If we experience turnover among our employees at a higher rate than expected, managing our labor force could become difficult and more costly, adversely impacting our results of operation. Sustained pressure in these labor markets could also cause prevailing wages to rise, which could adversely impact our business, results of operation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use of our products results in adverse events, this may require them to be taken off the market, require them to include safety warnings or otherwise limit their sales.</w:t>
      </w:r>
    </w:p>
    <w:p>
      <w:pPr>
        <w:spacing w:after="0" w:line="132"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Unforeseen adverse events related to our products could arise either during clinical development or, if cleared, approved, or subject to CE Certificate of Conformity and CE marked,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and CE marked, after the product has been marketed.</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or others later identify adverse events caused by our products:</w:t>
      </w:r>
    </w:p>
    <w:p>
      <w:pPr>
        <w:spacing w:after="0" w:line="200" w:lineRule="exact"/>
        <w:rPr>
          <w:sz w:val="20"/>
          <w:szCs w:val="20"/>
          <w:color w:val="auto"/>
        </w:rPr>
      </w:pPr>
    </w:p>
    <w:p>
      <w:pPr>
        <w:spacing w:after="0" w:line="24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8" w:name="page39"/>
    <w:bookmarkEnd w:id="38"/>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and we may not achieve the anticipated market share;</w:t>
      </w:r>
    </w:p>
    <w:p>
      <w:pPr>
        <w:spacing w:after="0" w:line="157"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8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94"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instructions regarding the way the product is implanted or conduct additional clinical trials;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71" w:lineRule="exact"/>
        <w:rPr>
          <w:rFonts w:ascii="Times New Roman" w:cs="Times New Roman" w:eastAsia="Times New Roman" w:hAnsi="Times New Roman"/>
          <w:sz w:val="18"/>
          <w:szCs w:val="18"/>
          <w:color w:val="auto"/>
        </w:rPr>
      </w:pPr>
    </w:p>
    <w:p>
      <w:pPr>
        <w:ind w:left="900" w:hanging="406"/>
        <w:spacing w:after="0" w:line="266" w:lineRule="auto"/>
        <w:tabs>
          <w:tab w:leader="none" w:pos="7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temporarily or permanently take our approved product off the market or to conduct other field safety corrective actions;</w:t>
      </w:r>
    </w:p>
    <w:p>
      <w:pPr>
        <w:spacing w:after="0" w:line="108" w:lineRule="exact"/>
        <w:rPr>
          <w:rFonts w:ascii="Times New Roman" w:cs="Times New Roman" w:eastAsia="Times New Roman" w:hAnsi="Times New Roman"/>
          <w:sz w:val="18"/>
          <w:szCs w:val="18"/>
          <w:color w:val="auto"/>
        </w:rPr>
      </w:pPr>
    </w:p>
    <w:p>
      <w:pPr>
        <w:ind w:left="900" w:hanging="406"/>
        <w:spacing w:after="0" w:line="282" w:lineRule="auto"/>
        <w:tabs>
          <w:tab w:leader="none" w:pos="6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Notified Body may suspend, amend, or withdraw our CE Certificate of Conformity or refuse or delay any ongoing applications relating to the issuance or renewal of CE Certificates of Conformity;</w:t>
      </w:r>
    </w:p>
    <w:p>
      <w:pPr>
        <w:spacing w:after="0" w:line="94"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our product;</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fines or product liability claims;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5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media reports or other negative publicity concerning both alleged improper methods of tissue recovery from donors and disease transmission from donated tissue could limit widespread acceptance of some of our products.</w:t>
      </w:r>
    </w:p>
    <w:p>
      <w:pPr>
        <w:spacing w:after="0" w:line="15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iFuse INTRA family of implants are implantable bone products manufactured from sterilized recovered cadaveric bone tissue.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INTRA.</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Natural disasters and man-made business disruptions such as war and terrorism could seriously harm our future revenue and financial condition and increase our costs and expenses.</w:t>
      </w:r>
    </w:p>
    <w:p>
      <w:pPr>
        <w:spacing w:after="0" w:line="171"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18"/>
          <w:szCs w:val="18"/>
          <w:color w:val="auto"/>
        </w:rPr>
        <w:t>We operate our business in regions subject to natural and man-made disasters or business interruptions. Our corporate headquarters are located in Santa Clara, California, a region which has experienced and will continue to experience earthquakes, fires, power shortages, telecommunications failures, water shortages, floods, shifting climate patterns, and extreme weather conditions. We also rely on third-party manufacturers to produce our products and on third-party logistics companies to transport our products. A major earthquake, fire, tornado, blizzard or other disaster (such as a flood, storm, drought or terrorist attack) could significantly disrupt our operations, ranging from production and shipping delays to lost revenue and increased costs. The occurrence of any of these natural or man-made disasters or other business disruptions could seriously harm our operations and financial condition and increase our costs and expenses. Additionally, if our facilities or any of our customers' facilities are negatively impacted by a disaster, procedures using our products could be delayed or canceled. Even if we are able to quickly respond to a disaster, the ongoing effects of the disaster could create some uncertainty in the operations of our business. In addition, our facilities may be subject to a shortage of available electrical power and other energy supplies. Any shortages may increase our costs for power and energy supplies or could result in blackouts or brownouts, which could disrupt the operations of our affected facilities and harm our business. Further, concerns about terrorism, the effects of a terrorist attack, or political turmoil could have a negative effect on our operations, those of our suppliers and customers, and the ability to travel, which could harm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Various factors outside our direct control may adversely affect manufacturing, sterilization, and distribution of our products.</w:t>
      </w:r>
    </w:p>
    <w:p>
      <w:pPr>
        <w:spacing w:after="0" w:line="229"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136" w:lineRule="exact"/>
        <w:rPr>
          <w:sz w:val="20"/>
          <w:szCs w:val="20"/>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sterilization on time or in compliance with the required regulatory standards;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import and export risk;</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analytical results or failure of analytical techniques that we depend on for quality control and release of products;</w:t>
      </w:r>
    </w:p>
    <w:p>
      <w:pPr>
        <w:spacing w:after="0" w:line="38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ind w:left="740" w:hanging="246"/>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epidemics of communicable diseases;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including those caused by material and labor supply shortages and prolonged inflation;</w:t>
      </w:r>
    </w:p>
    <w:p>
      <w:pPr>
        <w:spacing w:after="0" w:line="171" w:lineRule="exact"/>
        <w:rPr>
          <w:rFonts w:ascii="Times New Roman" w:cs="Times New Roman" w:eastAsia="Times New Roman" w:hAnsi="Times New Roman"/>
          <w:sz w:val="18"/>
          <w:szCs w:val="18"/>
          <w:color w:val="auto"/>
        </w:rPr>
      </w:pPr>
    </w:p>
    <w:p>
      <w:pPr>
        <w:ind w:left="900" w:hanging="406"/>
        <w:spacing w:after="0" w:line="266" w:lineRule="auto"/>
        <w:tabs>
          <w:tab w:leader="none" w:pos="7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108" w:lineRule="exact"/>
        <w:rPr>
          <w:rFonts w:ascii="Times New Roman" w:cs="Times New Roman" w:eastAsia="Times New Roman" w:hAnsi="Times New Roman"/>
          <w:sz w:val="18"/>
          <w:szCs w:val="18"/>
          <w:color w:val="auto"/>
        </w:rPr>
      </w:pPr>
    </w:p>
    <w:p>
      <w:pPr>
        <w:ind w:left="900" w:right="340" w:hanging="406"/>
        <w:spacing w:after="0" w:line="282" w:lineRule="auto"/>
        <w:tabs>
          <w:tab w:leader="none" w:pos="7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latent defects that may become apparent after products have been released and that may result in a recall or field safety corrective action with respect to such products.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any of these risks were to materialize, our ability to provide our products to customers on a timely basis could be adversely impacted.</w:t>
      </w:r>
    </w:p>
    <w:p>
      <w:pPr>
        <w:spacing w:after="0" w:line="2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4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115" w:lineRule="exact"/>
        <w:rPr>
          <w:sz w:val="20"/>
          <w:szCs w:val="20"/>
          <w:color w:val="auto"/>
        </w:rPr>
      </w:pPr>
    </w:p>
    <w:p>
      <w:pPr>
        <w:ind w:left="740" w:hanging="246"/>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production yields;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control and assurance;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component and service availability;</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adequate control policies and procedures;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qualified personnel;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state, federal, and foreign regulations.</w:t>
      </w:r>
    </w:p>
    <w:p>
      <w:pPr>
        <w:spacing w:after="0" w:line="15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If we are unable to assemble and test our products at a sufficient rate to satisfy commercial demand, our ability to generate revenue would be impaired, market acceptance of our products could be adversely affected and customers may instead purchase or use our competitors’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enhance and broaden our product offerings through our research and development efforts, we may be unable to compete effectively.</w:t>
      </w:r>
    </w:p>
    <w:p>
      <w:pPr>
        <w:spacing w:after="0" w:line="216" w:lineRule="exact"/>
        <w:rPr>
          <w:sz w:val="20"/>
          <w:szCs w:val="20"/>
          <w:color w:val="auto"/>
        </w:rPr>
      </w:pPr>
    </w:p>
    <w:p>
      <w:pPr>
        <w:jc w:val="both"/>
        <w:ind w:right="20" w:firstLine="445"/>
        <w:spacing w:after="0" w:line="258" w:lineRule="auto"/>
        <w:rPr>
          <w:sz w:val="20"/>
          <w:szCs w:val="20"/>
          <w:color w:val="auto"/>
        </w:rPr>
      </w:pPr>
      <w:r>
        <w:rPr>
          <w:rFonts w:ascii="Times New Roman" w:cs="Times New Roman" w:eastAsia="Times New Roman" w:hAnsi="Times New Roman"/>
          <w:sz w:val="18"/>
          <w:szCs w:val="18"/>
          <w:color w:val="auto"/>
        </w:rPr>
        <w:t>In order to continue to grow revenue,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w:t>
      </w:r>
    </w:p>
    <w:p>
      <w:pPr>
        <w:spacing w:after="0" w:line="18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line="266" w:lineRule="auto"/>
        <w:rPr>
          <w:sz w:val="20"/>
          <w:szCs w:val="20"/>
          <w:color w:val="auto"/>
        </w:rPr>
      </w:pPr>
      <w:r>
        <w:rPr>
          <w:rFonts w:ascii="Times New Roman" w:cs="Times New Roman" w:eastAsia="Times New Roman" w:hAnsi="Times New Roman"/>
          <w:sz w:val="18"/>
          <w:szCs w:val="18"/>
          <w:color w:val="auto"/>
        </w:rPr>
        <w:t>by the physicians or the third-party payors who reimburse for many of the procedures performed with our products. The success of any new product offering or enhancement to an existing product will depend on numerous factors, including our ability to:</w:t>
      </w:r>
    </w:p>
    <w:p>
      <w:pPr>
        <w:spacing w:after="0" w:line="122" w:lineRule="exact"/>
        <w:rPr>
          <w:sz w:val="20"/>
          <w:szCs w:val="20"/>
          <w:color w:val="auto"/>
        </w:rPr>
      </w:pPr>
    </w:p>
    <w:p>
      <w:pPr>
        <w:ind w:left="740" w:hanging="246"/>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physician and patient needs;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or product enhancements in a timely manner;</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sufficient product differentiation to expand overall market share and minimize cannibalization of existing product markets;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adequate coverage from third-party payors for new products or procedures;</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downward pricing pressure on new and existing products;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safety and effectiveness of new products; and</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sufficient infrastructure needed for product commercialization.</w:t>
      </w:r>
    </w:p>
    <w:p>
      <w:pPr>
        <w:spacing w:after="0" w:line="21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maintain adequate levels of inventory, the failure of which could consume our resources and reduce our cash flows.</w:t>
      </w:r>
    </w:p>
    <w:p>
      <w:pPr>
        <w:spacing w:after="0" w:line="216"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As a result of the need to maintain adequate levels of inventory, we are subject to the risk of inventory obsolescence. Many of our products come in sets, which feature components and implants in a variety of sizes so that the implant or device may be chosen for size based on the patient’s needs. In order to market our products effectively, we often maintain and provide physicians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addition, market demand for our new products may be less than expected, resulting in excess inventory from the supply purchased for launch. For example, in the quarter ending December 31, 2023 we took a $1.7 million in reserves for excess inventory related to the "lag" configuration of our iFuse TORQ product, reflecting its below-expected market demand. In the event that a substantial portion of our inventory becomes obsolete, it could have a material adverse effect on our earnings and cash flows due to the resulting costs associated with the inventory impairment charges and costs that may be required to replace such inventory.</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size and future growth in the market for minimally invasive sacroiliac fusion performed with a lateral approach, such as the iFuse procedure, has not been established with precision and may be smaller than we estimate, possibly materially. In addition, we estimate cost savings to the economy and healthcare system as a result of the iFuse procedure based on our market research. If our</w:t>
      </w:r>
    </w:p>
    <w:p>
      <w:pPr>
        <w:spacing w:after="0" w:line="39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and projections overestimate the size of this market or these benefits and cost savings, our sales growth may be adversely affected.</w:t>
      </w:r>
    </w:p>
    <w:p>
      <w:pPr>
        <w:spacing w:after="0" w:line="202" w:lineRule="exact"/>
        <w:rPr>
          <w:sz w:val="20"/>
          <w:szCs w:val="20"/>
          <w:color w:val="auto"/>
        </w:rPr>
      </w:pPr>
    </w:p>
    <w:p>
      <w:pPr>
        <w:jc w:val="both"/>
        <w:ind w:firstLine="445"/>
        <w:spacing w:after="0" w:line="236" w:lineRule="auto"/>
        <w:rPr>
          <w:sz w:val="20"/>
          <w:szCs w:val="20"/>
          <w:color w:val="auto"/>
        </w:rPr>
      </w:pPr>
      <w:r>
        <w:rPr>
          <w:rFonts w:ascii="Times New Roman" w:cs="Times New Roman" w:eastAsia="Times New Roman" w:hAnsi="Times New Roman"/>
          <w:sz w:val="18"/>
          <w:szCs w:val="18"/>
          <w:color w:val="auto"/>
        </w:rPr>
        <w:t>We are not aware of an independent third-party study that reliably reports the potential market size for minimally invasive sacroiliac fusion or cost savings as a result of the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potential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are unable to manage our international business effectively.</w:t>
      </w:r>
    </w:p>
    <w:p>
      <w:pPr>
        <w:spacing w:after="0" w:line="229"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The sale of our products in select international markets is an element of our business strategy and involves risk. The sale and shipment of our products across international borders subject us to extensive U.S. and foreign governmental trade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w:t>
      </w:r>
    </w:p>
    <w:p>
      <w:pPr>
        <w:spacing w:after="0" w:line="20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activities. Also, the failure to comply with applicable legal and regulatory obligations could result in the disruption of our distribution and sales activities.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some of the countries in which we sell or plan to sell our products are, to some degree, subject to various risks, including:</w:t>
      </w:r>
    </w:p>
    <w:p>
      <w:pPr>
        <w:spacing w:after="0" w:line="225" w:lineRule="exact"/>
        <w:rPr>
          <w:sz w:val="20"/>
          <w:szCs w:val="20"/>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different legal and regulatory standards;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stringent protection of intellectual property;</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local healthcare system to absorb prices for our product that would enable our business to become profitable in those markets;</w:t>
      </w:r>
    </w:p>
    <w:p>
      <w:pPr>
        <w:spacing w:after="0" w:line="171" w:lineRule="exact"/>
        <w:rPr>
          <w:rFonts w:ascii="Times New Roman" w:cs="Times New Roman" w:eastAsia="Times New Roman" w:hAnsi="Times New Roman"/>
          <w:sz w:val="18"/>
          <w:szCs w:val="18"/>
          <w:color w:val="auto"/>
        </w:rPr>
      </w:pPr>
    </w:p>
    <w:p>
      <w:pPr>
        <w:ind w:left="900" w:hanging="406"/>
        <w:spacing w:after="0" w:line="266" w:lineRule="auto"/>
        <w:tabs>
          <w:tab w:leader="none" w:pos="7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obstacles to obtaining domestic and foreign export, import, and other governmental approvals, permits, and licenses and compliance with foreign laws;</w:t>
      </w:r>
    </w:p>
    <w:p>
      <w:pPr>
        <w:spacing w:after="0" w:line="108"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selling prices of our implants in most foreign markets;</w:t>
      </w:r>
    </w:p>
    <w:p>
      <w:pPr>
        <w:spacing w:after="0" w:line="252" w:lineRule="exact"/>
        <w:rPr>
          <w:rFonts w:ascii="Times New Roman" w:cs="Times New Roman" w:eastAsia="Times New Roman" w:hAnsi="Times New Roman"/>
          <w:sz w:val="18"/>
          <w:szCs w:val="18"/>
          <w:color w:val="auto"/>
        </w:rPr>
      </w:pPr>
    </w:p>
    <w:p>
      <w:pPr>
        <w:ind w:left="900" w:hanging="406"/>
        <w:spacing w:after="0" w:line="266" w:lineRule="auto"/>
        <w:tabs>
          <w:tab w:leader="none" w:pos="80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more concentrated surgeon base in international markets due to the surgeon acquisition costs relative to the selling price of our implants;</w:t>
      </w:r>
    </w:p>
    <w:p>
      <w:pPr>
        <w:spacing w:after="0" w:line="108"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and the complexities of foreign value-added tax systems;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tariffs and trade restrictions;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repatriation of earnings;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insufficient numbers of patients requiring procedures that use our products;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difficulties of managing international distribution channels;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periods and difficulties in collecting receivables from foreign entities;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financing costs;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risks; and</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and increased security concerns.</w:t>
      </w:r>
    </w:p>
    <w:p>
      <w:pPr>
        <w:spacing w:after="0" w:line="225"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49"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Further, U.S. government policies on international trade and investments such as import quotas, capital controls, punitive taxes or tariffs or similar trade barriers, whether imposed by individual governments or regional trade blocs, can affect our supply chain and ability to expand internationally. Our international sales and operations are also sensitive to changes in foreign nations’ priorities, including government budgets, as well as to political and economic instability. International transactions may involve increased financial and legal risks due to differing legal systems and customs in foreign countries.</w:t>
      </w:r>
    </w:p>
    <w:p>
      <w:pPr>
        <w:spacing w:after="0" w:line="198"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future our products may become obsolete, which would negatively affect operations and financial condition.</w:t>
      </w:r>
    </w:p>
    <w:p>
      <w:pPr>
        <w:spacing w:after="0" w:line="216"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w:t>
      </w:r>
    </w:p>
    <w:p>
      <w:pPr>
        <w:spacing w:after="0" w:line="19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development involves a high degree of risk and there can be no assurance that our new product development efforts will result in any commercially successful products.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impairment of our results of operations, reputational harm; loss of revenue or profits; loss of customers or sales; and other adverse consequences.</w:t>
      </w:r>
    </w:p>
    <w:p>
      <w:pPr>
        <w:spacing w:after="0" w:line="174"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In the ordinary course of business, we and the third parties with whom we work process sensitive information. We rely extensively on information technology systems, networks and services, some of which are managed, hosted, provided or used by third parties, to conduct business. If we or the third parties with whom we work do not sufficiently allocate and effectively manage the resources necessary to build, sustain, and secure the proper information technology infrastructure, we could be subject to transaction errors, processing inefficiencies, the loss of customers, business disruptions, or the loss, unavailability of or damage to data and intellectual property. Furthermore, regardless of the resources we allocate and the effectiveness with which we manage them, we face a risk of cyberattacks and other security breaches and incidents. We have experienced breaches of our information technology infrastructure in the past; if we or the third parties with whom we work experience significant disruptions in our information technology systems in the future, our business, results of operations, and financial condition could be adversely affected.</w:t>
      </w:r>
    </w:p>
    <w:p>
      <w:pPr>
        <w:spacing w:after="0" w:line="200"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7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w:t>
      </w:r>
    </w:p>
    <w:p>
      <w:pPr>
        <w:spacing w:after="0" w:line="169"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If our data management systems, or those of the third parties with whom we work, fail to collect, store, process, or report relevant business data due to issues like malfunctions, human error, natural disasters, or cyberattacks, our ability to operate, plan, and comply with laws could be significantly impaired. Any such impairment could negatively impact our financial condition, operations, and cash flow. Maintaining and enhancing our information technology systems requires significant resources to address evolving technologies, new threats, legal standards, and the need for data security. Despite our efforts to upgrade, secure, and develop these systems, we cannot guarantee success or prevent future disruptions or issues.</w:t>
      </w:r>
    </w:p>
    <w:p>
      <w:pPr>
        <w:spacing w:after="0" w:line="195"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Furthermore, our employees, third-party service providers, strategic partners, or other contractors or consultants may input sensitive information (including competitive, proprietary, personal or confidential information, or other business data) of ours, into a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Third-party service providers store and otherwise process certain personal data and other confidential or proprietary information of ourselves and third parties on our behalf, and these service providers face similar risks.</w:t>
      </w:r>
    </w:p>
    <w:p>
      <w:pPr>
        <w:spacing w:after="0" w:line="195"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The scope and breadth of cyberattacks are expanding. The techniques used to obtain unauthorized access, or to sabotage systems, are becoming more sophisticated, frequent and adaptive, and therefore we may be unable to anticipate these techniques or to implement adequate preventative measures. For example, AI technologies may be used for certain cyberattacks or to increase the frequency or intensity of certain cyberattacks, which may increase our risks presented by cyberattack activity.</w:t>
      </w:r>
    </w:p>
    <w:p>
      <w:pPr>
        <w:spacing w:after="0" w:line="194"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There can be no assurance that any efforts we make to prevent against such privacy or security breaches or incidents have been or will be able to prevent breakdowns or breaches or incidents in our systems that could adversely affect our business. The failure of our information technology systems to perform as we anticipate or our failure to effectively implement new systems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all of which could have a material adverse effect on</w:t>
      </w:r>
    </w:p>
    <w:p>
      <w:pPr>
        <w:spacing w:after="0" w:line="19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reputation, business, results of operations, and financial condition. In addition, the cost and operational consequences of implementing further data protection or data restoration measures could be significant.</w:t>
      </w:r>
    </w:p>
    <w:p>
      <w:pPr>
        <w:spacing w:after="0" w:line="176"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We cannot guarantee that our liability limitations in contracts will be enforceable or adequate to protect us from damages related to security breaches. While we have cyber insurance, it may be insufficient or not cover all liabilities. We cannot ensure that our coverage will be adequate, available at reasonable terms, or that an insurer won't deny future claims. Large claims exceeding our coverage or changes in insurance terms could significantly impact our business, financial condition, and reputation.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95"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spacing w:after="0" w:line="200" w:lineRule="exact"/>
        <w:rPr>
          <w:sz w:val="20"/>
          <w:szCs w:val="20"/>
          <w:color w:val="auto"/>
        </w:rPr>
      </w:pPr>
    </w:p>
    <w:p>
      <w:pPr>
        <w:spacing w:after="0" w:line="211"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have incorporated and continue to work to further incorporate artificial intelligence into our operations. Implementation of artificial intelligence and machine learning technologies may result in legal and regulatory risks, reputational harm, or other adverse consequences to our business.</w:t>
      </w:r>
    </w:p>
    <w:p>
      <w:pPr>
        <w:spacing w:after="0" w:line="162" w:lineRule="exact"/>
        <w:rPr>
          <w:sz w:val="20"/>
          <w:szCs w:val="20"/>
          <w:color w:val="auto"/>
        </w:rPr>
      </w:pPr>
    </w:p>
    <w:p>
      <w:pPr>
        <w:jc w:val="both"/>
        <w:ind w:firstLine="445"/>
        <w:spacing w:after="0" w:line="237" w:lineRule="auto"/>
        <w:rPr>
          <w:sz w:val="20"/>
          <w:szCs w:val="20"/>
          <w:color w:val="auto"/>
        </w:rPr>
      </w:pPr>
      <w:r>
        <w:rPr>
          <w:rFonts w:ascii="Times New Roman" w:cs="Times New Roman" w:eastAsia="Times New Roman" w:hAnsi="Times New Roman"/>
          <w:sz w:val="18"/>
          <w:szCs w:val="18"/>
          <w:color w:val="auto"/>
        </w:rPr>
        <w:t>We have integrated artificial intelligence ("AI"), including generative AI, and machine learning ("ML") technologies in our operations (collectively, “AI” technologies) in certain of our internal operations. Further, certain of our third-party vendors utilize AI and machine learning technologies in furnishing services to us. As with many technological innovations, AI presents risks and challenges that could affect its adoption, and therefore our business. AI tools may be incorrectly designed or provide inaccurate data, and business decisions could be made on the basis of AI-generated misinformation. Employees using publicly-available AI tools could leak our sensitive data.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patient data or product functionality.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(a so-called “hallucination”). Though we have taken steps to be thoughtful in our implementation of AI, and training on appropriate uses of AI, such risks could negatively affect the performance of our products, services, and business, and we could incur liability through the violation of laws or contracts to which we are a party or civil claims.</w:t>
      </w:r>
    </w:p>
    <w:p>
      <w:pPr>
        <w:spacing w:after="0" w:line="207"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Several jurisdictions around the globe, including Europe and certain U.S. states, have proposed enacted, or are considering laws governing AI, including the EU’s AI Act. We expect other jurisdictions will adopt similar laws. Additionally, certain privacy laws extend rights to consumers (such as the right to delete certain personal data) and regulate automated decision making, which may be incompatible with our use of AI. These obligations may make it harder for us to conduct our business using AI, lead to regulatory fines or penalties, require us to change our business practices, retrain our AI, or prevent or limit our use of AI. For example, the FTC has required other companies to turn over (or disgorge) valuable insights or trainings generated through the use of AI where they</w:t>
      </w:r>
    </w:p>
    <w:p>
      <w:pPr>
        <w:spacing w:after="0" w:line="200" w:lineRule="exact"/>
        <w:rPr>
          <w:sz w:val="20"/>
          <w:szCs w:val="20"/>
          <w:color w:val="auto"/>
        </w:rPr>
      </w:pPr>
    </w:p>
    <w:p>
      <w:pPr>
        <w:spacing w:after="0" w:line="21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allege the company has violated privacy and consumer protection laws. If we cannot use AI or that use is restricted, our business may be less efficient, or we may be at a competitive disadvantage.</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5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69" w:lineRule="exact"/>
        <w:rPr>
          <w:sz w:val="20"/>
          <w:szCs w:val="20"/>
          <w:color w:val="auto"/>
        </w:rPr>
      </w:pPr>
    </w:p>
    <w:p>
      <w:pPr>
        <w:ind w:left="740" w:hanging="246"/>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purchased technologies, products, or business operations;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liabilities associated with acquisitions;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w:t>
      </w:r>
    </w:p>
    <w:p>
      <w:pPr>
        <w:spacing w:after="0" w:line="158"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third-party sales agents and resellers.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w:t>
      </w:r>
    </w:p>
    <w:p>
      <w:pPr>
        <w:spacing w:after="0" w:line="19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operations. If we are unable to successfully integrate any acquired businesses, products, or technologies effectively, our business, results of operations, and financial condition will be materially adversely affected.</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58"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partnerships, or other arrangements to develop products and to pursue new markets. These collaborations may not result in the development of products that achieve commercial success or result in significant revenue and could be terminated prior to developing any products. 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In addition, we may have limited control over the amount and timing of resources that any future collaborators devote to our or their future products.</w:t>
      </w:r>
    </w:p>
    <w:p>
      <w:pPr>
        <w:spacing w:after="0" w:line="185"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Disputes between us and our collaborators may result in litigation or arbitration which would increase our expenses and divert the attention of our management.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market price of our common shares.</w:t>
      </w:r>
    </w:p>
    <w:p>
      <w:pPr>
        <w:spacing w:after="0" w:line="1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w:t>
      </w:r>
    </w:p>
    <w:p>
      <w:pPr>
        <w:spacing w:after="0" w:line="169"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We are also required to obtain an independent assessment of the effectiveness of our internal controls which could detect problems that our management’s assessment might not. Going forward, even if our management concludes that our internal control over financial reporting is effective, our independent registered public accounting firm may conclude that there are material weaknesses or significant deficiencies with respect to our internal controls or the level at which our internal controls are documented, designed, implemented or reviewed. If we or our independent registered public accounting firm identifies deficiencies in our internal control over financial reporting that are deemed to be material weaknesses or that may require prospective or retroactive changes to our financial statements, investors may lose confidence in our reported financial information, which could cause the market price of our common shares to decline and we could be subject to sanctions or investigations by the SEC or other regulatory authorities, which would require additional financial and management resources. Irrespective of compliance with Section 404, any failure of our internal control over financial reporting could have a material adverse effect on our stated operating results and harm our reputation.</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Epidemic diseases, or the perception of their effects, may continue to adversely affect our business, financial condition, results of operations, or cash flows.</w:t>
      </w:r>
    </w:p>
    <w:p>
      <w:pPr>
        <w:spacing w:after="0" w:line="171"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If an epidemic, like the COVID-19 pandemic, occurs, our business, financial condition, results of operations and cash flows could be adversely affected. Business disruptions have included, and could in the future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regional or global economic downturns that could affect demand for our products, as well as increase risk of customer defaults or delays in payments. Any of these events could negatively impact the number of procedures using our implants that are performed and have a material adverse effect on our business, financial condition, results of operations, cash flows, or ability to raise capital.</w:t>
      </w:r>
    </w:p>
    <w:p>
      <w:pPr>
        <w:spacing w:after="0" w:line="200" w:lineRule="exact"/>
        <w:rPr>
          <w:sz w:val="20"/>
          <w:szCs w:val="20"/>
          <w:color w:val="auto"/>
        </w:rPr>
      </w:pPr>
    </w:p>
    <w:p>
      <w:pPr>
        <w:spacing w:after="0" w:line="21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17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medical device industry is regulated extensively by governmental authorities, principally the FDA and corresponding state and foreign regulatory authorities. The FDA and other U.S. and foreign regulatory authorities regulate, among other things, with respect to medical devices:</w:t>
      </w:r>
    </w:p>
    <w:p>
      <w:pPr>
        <w:spacing w:after="0" w:line="162" w:lineRule="exact"/>
        <w:rPr>
          <w:sz w:val="20"/>
          <w:szCs w:val="20"/>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and approval;</w:t>
      </w:r>
    </w:p>
    <w:p>
      <w:pPr>
        <w:spacing w:after="0" w:line="144"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assessment procedures and the issue of related CE Certificates of Conformity;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good manufacturing practices requirements;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field safety corrective actions;</w:t>
      </w:r>
    </w:p>
    <w:p>
      <w:pPr>
        <w:spacing w:after="0" w:line="171" w:lineRule="exact"/>
        <w:rPr>
          <w:rFonts w:ascii="Times New Roman" w:cs="Times New Roman" w:eastAsia="Times New Roman" w:hAnsi="Times New Roman"/>
          <w:sz w:val="18"/>
          <w:szCs w:val="18"/>
          <w:color w:val="auto"/>
        </w:rPr>
      </w:pPr>
    </w:p>
    <w:p>
      <w:pPr>
        <w:ind w:left="900" w:hanging="406"/>
        <w:spacing w:after="0" w:line="266" w:lineRule="auto"/>
        <w:tabs>
          <w:tab w:leader="none" w:pos="8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including reporting of deaths or serious injuries and malfunctions that, if they were to recur, could lead to death or serious injury;</w:t>
      </w:r>
    </w:p>
    <w:p>
      <w:pPr>
        <w:spacing w:after="0" w:line="108"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12"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90"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Before we can market or sell a new regulated medical device or make a significant modification to an existing product in the United States, with limited exceptions, we must obtain either clearance under Section 510(k) of the FDCA for Class II devices or approval of a PMA application from the FDA for a Class III device.</w:t>
      </w:r>
    </w:p>
    <w:p>
      <w:pPr>
        <w:spacing w:after="0" w:line="177" w:lineRule="exact"/>
        <w:rPr>
          <w:sz w:val="20"/>
          <w:szCs w:val="20"/>
          <w:color w:val="auto"/>
        </w:rPr>
      </w:pPr>
    </w:p>
    <w:p>
      <w:pPr>
        <w:jc w:val="both"/>
        <w:ind w:firstLine="445"/>
        <w:spacing w:after="0" w:line="237" w:lineRule="auto"/>
        <w:rPr>
          <w:sz w:val="20"/>
          <w:szCs w:val="20"/>
          <w:color w:val="auto"/>
        </w:rPr>
      </w:pPr>
      <w:r>
        <w:rPr>
          <w:rFonts w:ascii="Times New Roman" w:cs="Times New Roman" w:eastAsia="Times New Roman" w:hAnsi="Times New Roman"/>
          <w:sz w:val="18"/>
          <w:szCs w:val="18"/>
          <w:color w:val="auto"/>
        </w:rPr>
        <w:t>If the FDA requires us to go through a lengthier, more rigorous examination for future products or modifications to existing products than we expect,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 If current or future products that we seek to commercialize are determined to require a PMA or</w:t>
      </w:r>
    </w:p>
    <w:p>
      <w:pPr>
        <w:spacing w:after="0" w:line="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 Novo 510(k) clearance, FDA may require evidence from clinical trials conducted under an investigational device exemption (“IDE”). Trials conducted under an IDE and a PMA or De Novo 510(k) submission to the FDA can be lengthy and costly processes, which could delay and add to the cost of commercializing our products, which could adversely affect our financial results.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212" w:lineRule="exact"/>
        <w:rPr>
          <w:sz w:val="20"/>
          <w:szCs w:val="20"/>
          <w:color w:val="auto"/>
        </w:rPr>
      </w:pPr>
    </w:p>
    <w:p>
      <w:pPr>
        <w:ind w:left="5760" w:right="1640" w:hanging="5266"/>
        <w:spacing w:after="0" w:line="720"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FDA’s satisfaction that our products are safe and effective for their intended uses;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ind w:left="740" w:hanging="246"/>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 and</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w:t>
      </w:r>
    </w:p>
    <w:p>
      <w:pPr>
        <w:spacing w:after="0" w:line="225"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9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Any delay in, or failure to receive or maintain, clearance or approval for our products under development could prevent us from generating revenue from these products or achieving profitability.</w:t>
      </w:r>
    </w:p>
    <w:p>
      <w:pPr>
        <w:spacing w:after="0" w:line="162"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191"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In the EU, the Medical Device Regulation became applicable on May 26, 2021, repealing and replacing the MDD. The Medical Device Regulation establishes transitional provisions. However, the changes to the regulatory system implemented in the EU by the Medical Device Regulation include stricter requirements for clinical evidence and pre-market assessment of safety and performance, new classifications to indicate risk levels, requirements for third party testing by Notified Bodies, tightened and streamlined QMS assessment procedures and additional requirements for the QMS, additional requirements for traceability of products and transparency as well a refined responsibility of economic operators. We are also required to provide clinical data in the form of a clinical evaluation report. Fulfillment of the obligations imposed by the Medical Device Regulation may cause us to incur substantial costs. We may be</w:t>
      </w:r>
    </w:p>
    <w:p>
      <w:pPr>
        <w:spacing w:after="0" w:line="200" w:lineRule="exact"/>
        <w:rPr>
          <w:sz w:val="20"/>
          <w:szCs w:val="20"/>
          <w:color w:val="auto"/>
        </w:rPr>
      </w:pPr>
    </w:p>
    <w:p>
      <w:pPr>
        <w:spacing w:after="0" w:line="21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unable to fulfil these obligations, or our Notified Body may consider that we have not adequately demonstrated compliance with our related obligations to merit a CE Certificate of Conformity on the basis of the Medical Device Regulation.</w:t>
      </w:r>
    </w:p>
    <w:p>
      <w:pPr>
        <w:spacing w:after="0" w:line="176"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The FDA and other regulatory authorities, including foreign authorities, have broad enforcement powers. Regulatory enforcement or inquiries, or other increased scrutiny on us, could dissuade some physicians from using our products and adversely affect our reputation and the perceived safety and effectiveness of our products.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Failure to comply with applicable regulations could jeopardize our ability to sell our products and result in enforcement actions such as:</w:t>
      </w:r>
    </w:p>
    <w:p>
      <w:pPr>
        <w:spacing w:after="0" w:line="212" w:lineRule="exact"/>
        <w:rPr>
          <w:sz w:val="20"/>
          <w:szCs w:val="20"/>
          <w:color w:val="auto"/>
        </w:rPr>
      </w:pPr>
    </w:p>
    <w:p>
      <w:pPr>
        <w:ind w:left="740" w:hanging="24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penalties;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distribution;</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or seizures of products;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introduction of products into the market;</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closures;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our Notified Body or other regulator to grant future clearances or approvals or to issue CE Certificates of Conformity;</w:t>
      </w:r>
    </w:p>
    <w:p>
      <w:pPr>
        <w:spacing w:after="0" w:line="157" w:lineRule="exact"/>
        <w:rPr>
          <w:rFonts w:ascii="Times New Roman" w:cs="Times New Roman" w:eastAsia="Times New Roman" w:hAnsi="Times New Roman"/>
          <w:sz w:val="18"/>
          <w:szCs w:val="18"/>
          <w:color w:val="auto"/>
        </w:rPr>
      </w:pPr>
    </w:p>
    <w:p>
      <w:pPr>
        <w:ind w:left="900" w:hanging="406"/>
        <w:spacing w:after="0" w:line="282" w:lineRule="auto"/>
        <w:tabs>
          <w:tab w:leader="none" w:pos="7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variation, or suspensions of current clearances or approvals and CE Certificates of Conformity, resulting in prohibitions on sales of our products; and</w:t>
      </w:r>
    </w:p>
    <w:p>
      <w:pPr>
        <w:spacing w:after="0" w:line="94"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most serious cases, criminal penalties.</w:t>
      </w:r>
    </w:p>
    <w:p>
      <w:pPr>
        <w:spacing w:after="0" w:line="15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Adverse action by an applicable regulatory authority,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68"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Healthcare providers, third-party sales agents and resellers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sales agents and resellers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coding of claims for reimbursement for medical procedures submitted to private and governmental payors and reporting of other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spacing w:after="0" w:line="212"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There are numerous U.S. federal and state laws pertaining to healthcare fraud and abuse, including anti-kickback and false claims laws. Our relationships and our third-party sales agents and resellers’ relationships with physicians, other healthcare professionals, and hospitals are subject to scrutiny under these laws. For example, we are subject to the federal health-care Anti-Kickback Statute, the federal civil False Claims Act, the Health Insurance Portability and Accountability Act (“HIPAA”) and the</w:t>
      </w:r>
    </w:p>
    <w:p>
      <w:pPr>
        <w:spacing w:after="0" w:line="19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federal Physician Payment Sunshine Act, each of which is described in detail in "Item 1. Business - Healthcare Fraud and Abuse” and “-Data Privacy and Security Laws”.</w:t>
      </w:r>
    </w:p>
    <w:p>
      <w:pPr>
        <w:spacing w:after="0" w:line="203"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Certain states and countries also have enacted analogous state and foreign law equivalents of each of the above federal laws and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and foreign laws differ from each other in significant ways and may not have the same effect, thus complicating compliance efforts.</w:t>
      </w:r>
    </w:p>
    <w:p>
      <w:pPr>
        <w:spacing w:after="0" w:line="208"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218"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We have entered into consulting agreements and royalty agreements with physicians and healthcare executives, including some who are customers. We also engage in co-marketing arrangements with certain physicians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physicians who order our products to be in violation of applicable laws and we were unable to comply with such laws, which could subject us to, among other things, monetary penalties for non-compliance, the cost of which could be substantial.</w:t>
      </w:r>
    </w:p>
    <w:p>
      <w:pPr>
        <w:spacing w:after="0" w:line="214" w:lineRule="exact"/>
        <w:rPr>
          <w:sz w:val="20"/>
          <w:szCs w:val="20"/>
          <w:color w:val="auto"/>
        </w:rPr>
      </w:pPr>
    </w:p>
    <w:p>
      <w:pPr>
        <w:jc w:val="both"/>
        <w:ind w:firstLine="445"/>
        <w:spacing w:after="0" w:line="236" w:lineRule="auto"/>
        <w:rPr>
          <w:sz w:val="20"/>
          <w:szCs w:val="20"/>
          <w:color w:val="auto"/>
        </w:rPr>
      </w:pPr>
      <w:r>
        <w:rPr>
          <w:rFonts w:ascii="Times New Roman" w:cs="Times New Roman" w:eastAsia="Times New Roman" w:hAnsi="Times New Roman"/>
          <w:sz w:val="18"/>
          <w:szCs w:val="18"/>
          <w:color w:val="auto"/>
        </w:rPr>
        <w:t>Various state and federal regulatory and enforcement agencies, and foreign equivalents, continue actively to investigate violations of health-care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For example, in October 2024, we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health-care professionals. Responding to this Investigation and other investigations may be time- and resource-consuming and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 Additionally, if we settle the current Investigation, or any potential future investigation with the Department of Justice or other law enforcement agencies, we may need to agree to additional onerous compliance and reporting requirements as part of a consent decree, deferred or non-prosecution agreement, or corporate integrity agreement. The current Investigation and any new investigation or settlement could increase our costs or otherwise have an adverse effect on our business.</w:t>
      </w:r>
    </w:p>
    <w:p>
      <w:pPr>
        <w:spacing w:after="0" w:line="230"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w:t>
      </w:r>
    </w:p>
    <w:p>
      <w:pPr>
        <w:spacing w:after="0" w:line="19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or state regulatory authorities might challenge our current or future activities under these laws. Additionally, we cannot predict the impact of any changes in these laws, whether or not retroactive.</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(and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201"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In the ordinary course of our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data we collect about trial participants in connection with clinical trials, and health/medical data (collectively, "sensitive information"). We process data of our employees, consultants, certain individuals who may be affiliated with our customers, including physician users of our products and, in the context of clinical investigations, patients. We collect this kind of information for several purposes, such as billing, reimbursement support, marketing purposes, post-marketing safety vigilance, servicing potential warranty claims and during the course of clinical trials.</w:t>
      </w:r>
    </w:p>
    <w:p>
      <w:pPr>
        <w:spacing w:after="0" w:line="21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Such obligations include laws that protect the confidentiality of certain sensitive information including patient health information, such as patient medical records, and restrict the use and disclosure of patient health information by healthcare providers, such as HIPAA in the United States and regulations in the European Union (“EU”), which are described in detail in "Item 1. Business - Data Privacy and Security Laws.”</w:t>
      </w:r>
    </w:p>
    <w:p>
      <w:pPr>
        <w:spacing w:after="0" w:line="21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Many U.S. states have enacted laws regulating the collection, use and disclosure of sensitive information and requiring that companies implement reasonable data security measures. Applicable data privacy and security obligations require us, or we may voluntarily choose, to notify affected individuals, customers, governmental entities and/or credit reporting agencies of certain security breaches affecting personal data or to take other actions, such as providing credit monitoring and identity theft protection services. These laws are not consistent, and increase our compliance costs and potential liability in the event of a data breach.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imposes specific requirements relating to the privacy, security, and transmission of individually identifiable protected health information.</w:t>
      </w:r>
    </w:p>
    <w:p>
      <w:pPr>
        <w:spacing w:after="0" w:line="192"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spacing w:after="0" w:line="199"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Although the CCPA and other comprehensive U.S. state privacy laws include exemptions for certain clinical trials data, and protected health information governed by HIPAA, the law may increase our compliance costs and potential liability with respect to other personal data we collect about California and other applicable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further complicate compliance efforts, and increase legal risk and compliance costs for us, the third parties with whom we work, and our customers.</w:t>
      </w:r>
    </w:p>
    <w:p>
      <w:pPr>
        <w:spacing w:after="0" w:line="182" w:lineRule="exact"/>
        <w:rPr>
          <w:sz w:val="20"/>
          <w:szCs w:val="20"/>
          <w:color w:val="auto"/>
        </w:rPr>
      </w:pPr>
    </w:p>
    <w:p>
      <w:pPr>
        <w:jc w:val="both"/>
        <w:ind w:firstLine="445"/>
        <w:spacing w:after="0" w:line="237"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(“EU GDPR”) and the United Kingdom’s GDPR (“UK GDPR” and together with the EU GDPR, the "GDPR") impose strict requirements for processing personal data. 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 The EU GDPR is directly applicable in each EU Member State. This should, in principle, result in a more uniform application of data privacy laws across the EU. The GDPR imposes onerous accountability obligations requiring data controllers and processors to maintain a record of their data processing and policies.</w:t>
      </w:r>
    </w:p>
    <w:p>
      <w:pPr>
        <w:spacing w:after="0" w:line="2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jc w:val="both"/>
        <w:spacing w:after="0" w:line="237" w:lineRule="auto"/>
        <w:rPr>
          <w:sz w:val="20"/>
          <w:szCs w:val="20"/>
          <w:color w:val="auto"/>
        </w:rPr>
      </w:pPr>
      <w:r>
        <w:rPr>
          <w:rFonts w:ascii="Times New Roman" w:cs="Times New Roman" w:eastAsia="Times New Roman" w:hAnsi="Times New Roman"/>
          <w:sz w:val="18"/>
          <w:szCs w:val="18"/>
          <w:color w:val="auto"/>
        </w:rPr>
        <w:t>It requires data controllers to, among others, be transparent and to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EU GDPR will be significant — the greater of € 20 million or 4% of global turnover. The EU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Each EU Member State may also adopt additional related legislation and guidance in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99"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5"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206"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are, and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also rely on vendors to process payment card data, who may be subject to PCI DSS, and our business may be negatively affected if our vendors are fined or suffer other consequences as a result of PCI DSS noncompliance.</w:t>
      </w:r>
    </w:p>
    <w:p>
      <w:pPr>
        <w:spacing w:after="0" w:line="2"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We depend on a number of third parties in relation to the provision of our services, a number of which process personal data on our behalf. These third party service providers may breach their contractual or legal obligations, which could negatively affect our business and/or our reputation.</w:t>
      </w:r>
    </w:p>
    <w:p>
      <w:pPr>
        <w:spacing w:after="0" w:line="209"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such as statements related to compliance with certain certifications or self-regulatory principles, concerning data privacy and security, and artificial intelligence.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208"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211"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We have in the past, and could be in the future, subject to data breaches. Our failure (or perceived failure) to comply with applicable data privacy and security obligations, or to protect sensitive information, could result in significant consequences to us, including government enforcement actions (e.g., investigations, fines, penalties, audits, inspections, and similar), additional reporting requirements and/or oversight; bans or restrictions on processing personal data; orders to destroy or not use personal data, imprisonment of company officials and public censure, claims for damages by end-customers, and other affected individuals, and the</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imposition of integrity obligations and agency oversight, damage to our reputation, and loss of goodwill, any of which could harm our operations, financial performance, and business. Moreover, despite our efforts, our personnel or third parties with whom we work may fail to comply with such obligations.</w:t>
      </w:r>
    </w:p>
    <w:p>
      <w:pPr>
        <w:spacing w:after="0" w:line="189" w:lineRule="exact"/>
        <w:rPr>
          <w:sz w:val="20"/>
          <w:szCs w:val="20"/>
          <w:color w:val="auto"/>
        </w:rPr>
      </w:pPr>
    </w:p>
    <w:p>
      <w:pPr>
        <w:jc w:val="both"/>
        <w:ind w:firstLine="445"/>
        <w:spacing w:after="0" w:line="237" w:lineRule="auto"/>
        <w:rPr>
          <w:sz w:val="20"/>
          <w:szCs w:val="20"/>
          <w:color w:val="auto"/>
        </w:rPr>
      </w:pPr>
      <w:r>
        <w:rPr>
          <w:rFonts w:ascii="Times New Roman" w:cs="Times New Roman" w:eastAsia="Times New Roman" w:hAnsi="Times New Roman"/>
          <w:sz w:val="18"/>
          <w:szCs w:val="18"/>
          <w:color w:val="auto"/>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Evolving and changing definitions of personal data,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non-U.S. operations.</w:t>
      </w:r>
    </w:p>
    <w:p>
      <w:pPr>
        <w:spacing w:after="0" w:line="229"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88"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55" w:lineRule="exact"/>
        <w:rPr>
          <w:sz w:val="20"/>
          <w:szCs w:val="20"/>
          <w:color w:val="auto"/>
        </w:rPr>
      </w:pPr>
    </w:p>
    <w:p>
      <w:pPr>
        <w:jc w:val="both"/>
        <w:ind w:firstLine="445"/>
        <w:spacing w:after="0" w:line="232" w:lineRule="auto"/>
        <w:rPr>
          <w:sz w:val="20"/>
          <w:szCs w:val="20"/>
          <w:color w:val="auto"/>
        </w:rPr>
      </w:pPr>
      <w:r>
        <w:rPr>
          <w:rFonts w:ascii="Times New Roman" w:cs="Times New Roman" w:eastAsia="Times New Roman" w:hAnsi="Times New Roman"/>
          <w:sz w:val="18"/>
          <w:szCs w:val="18"/>
          <w:color w:val="auto"/>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EU QMS requirements applicable to medical device</w:t>
      </w:r>
      <w:r>
        <w:rPr>
          <w:rFonts w:ascii="Calibri" w:cs="Calibri" w:eastAsia="Calibri" w:hAnsi="Calibri"/>
          <w:sz w:val="18"/>
          <w:szCs w:val="18"/>
          <w:color w:val="auto"/>
        </w:rPr>
        <w:t>s</w:t>
      </w:r>
      <w:r>
        <w:rPr>
          <w:rFonts w:ascii="Times New Roman" w:cs="Times New Roman" w:eastAsia="Times New Roman" w:hAnsi="Times New Roman"/>
          <w:sz w:val="18"/>
          <w:szCs w:val="18"/>
          <w:color w:val="auto"/>
        </w:rPr>
        <w:t xml:space="preserve"> for the manufacture of our products and other</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8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76" w:lineRule="exact"/>
        <w:rPr>
          <w:sz w:val="20"/>
          <w:szCs w:val="20"/>
          <w:color w:val="auto"/>
        </w:rPr>
      </w:pPr>
    </w:p>
    <w:p>
      <w:pPr>
        <w:ind w:left="740" w:hanging="246"/>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and civil penalties;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38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4" w:name="page55"/>
    <w:bookmarkEnd w:id="54"/>
    <w:p>
      <w:pPr>
        <w:ind w:left="900" w:hanging="406"/>
        <w:spacing w:after="0" w:line="266" w:lineRule="auto"/>
        <w:tabs>
          <w:tab w:leader="none" w:pos="7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premarket approval and applications for or conduct of conformity assessments of new products or modified products;</w:t>
      </w:r>
    </w:p>
    <w:p>
      <w:pPr>
        <w:spacing w:after="0" w:line="12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intended uses for which the product may be marketed;</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variation or withdrawal of CE Certificates of Conformity;</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and</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or QMS,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manufacturers, and third-party sales agents and resellers may engage in misconduct or other improper activities, relating to regulatory standards and requirements.</w:t>
      </w:r>
    </w:p>
    <w:p>
      <w:pPr>
        <w:spacing w:after="0" w:line="145"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manufacturers, and third-party sales agents and resellers may engage in fraudulent conduct or other illegal activity. Misconduct by these parties could include intentional, reckless and/or negligent conduct that violates applicable laws and regulations, such as FDA reporting requirements, manufacturing standards, federal, state and foreign healthcare laws and regulations including those related to fraud and abuse,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145"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w:t>
      </w:r>
    </w:p>
    <w:p>
      <w:pPr>
        <w:spacing w:after="0" w:line="190"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We believe that the specific surgical procedures for which our products are marketed fall within the scope of the surgical applications that have been cleared by the FDA and our Notified Body. However, if the FDA or an equivalent foreign regulatory authority determines that our promotional materials or training constitutes promotion of an off-label use, it could request that we modify our training or promotional materials, require us to stop promoting our products for those specific procedures until we obtain FDA or foreign regulatory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authority could disagree and conclude that we have engaged in off-label promotion. In addition, the off-label use of our products may increase the risk of injury to patients, and, in turn, the risk of product liability claims.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5" w:name="page56"/>
    <w:bookmarkEnd w:id="5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Product liability claims are expensive to defend and could divert our management’s attention, result in substantial damage awards against us and harm our reputation.</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58"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Under the FDA’s medical device reporting, regulations, and equivalent rules of other countries we are required to report to the FDA and comparable foreign regulatory authorities, any information that our product may have caused or contributed to a death or serious injury or in which our product malfunctioned and, if the malfunction were to recur, would likely cause or contribute to death or serious injury. In the EEA, we must report serious incidents, field safety corrective actions and trend reports through the European Database on Medical Devices ("EUDAMED") module on vigilance and post-market surveillance. However, EUDAMED is not yet fully functional and the related module on vigilance and post-market surveillance is not available yet. Until the entire EUDAMED system is fully functional, serious incidents and field safety corrective actions must be reported to the national competent authorities through national systems.</w:t>
      </w:r>
    </w:p>
    <w:p>
      <w:pPr>
        <w:spacing w:after="0" w:line="195"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If we fail to report these events to the FDA or comparable foreign regulatory authorities within the required timeframes, or at all, FDA, or the competent foreign regulatory authority could take enforcement action against us. Any such adverse event involving our products or repeated product malfunctions may result in voluntary or involuntary corrective actions, such as recalls or customer notifications, or action by competent regulatory authorities,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95"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Any adverse event involving our products, whether in the United States or abroad could result in future voluntary corrective actions, such as recalls, including corrections, or customer notifications, or action by competent regulatory authorities,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 recall of our products, either voluntarily or at the direction of the FDA or another regulatory authority, including foreign regulatory authorities, or the discovery of serious safety issues or malfunctions with our products, can result in voluntary corrective actions or regulatory enforcement actions, which could have a significant adverse impact on us.</w:t>
      </w:r>
    </w:p>
    <w:p>
      <w:pPr>
        <w:spacing w:after="0" w:line="189"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The FDA and similar foreign regulatory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90"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sales agents or resellers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200"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have in the past, and may in the future,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w:t>
      </w:r>
    </w:p>
    <w:p>
      <w:pPr>
        <w:spacing w:after="0" w:line="200" w:lineRule="exact"/>
        <w:rPr>
          <w:sz w:val="20"/>
          <w:szCs w:val="20"/>
          <w:color w:val="auto"/>
        </w:rPr>
      </w:pPr>
    </w:p>
    <w:p>
      <w:pPr>
        <w:spacing w:after="0" w:line="21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failing to report the recalls when they were conducted. Equivalent procedures and penalties have been established in other countries including EU Member States.</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58"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180"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177"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6" w:lineRule="exact"/>
        <w:rPr>
          <w:sz w:val="20"/>
          <w:szCs w:val="20"/>
          <w:color w:val="auto"/>
        </w:rPr>
      </w:pPr>
    </w:p>
    <w:p>
      <w:pPr>
        <w:jc w:val="both"/>
        <w:ind w:firstLine="445"/>
        <w:spacing w:after="0" w:line="237" w:lineRule="auto"/>
        <w:rPr>
          <w:sz w:val="20"/>
          <w:szCs w:val="20"/>
          <w:color w:val="auto"/>
        </w:rPr>
      </w:pPr>
      <w:r>
        <w:rPr>
          <w:rFonts w:ascii="Times New Roman" w:cs="Times New Roman" w:eastAsia="Times New Roman" w:hAnsi="Times New Roman"/>
          <w:sz w:val="18"/>
          <w:szCs w:val="18"/>
          <w:color w:val="auto"/>
        </w:rPr>
        <w:t>In the EEA, we must inform the Notified Body that carried out the conformity assessment of the medical devices we market or sell in the EEA of any planned significant changes are made to the products or if there are substantial changes to our quality assurance systems affecting those products. The Notified Body will then assess the changes and determine whether additional audits or actions are required prior to their implementation.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 Moreover, any substantial changes that take place in the coming years may impact the continuing validity of our CE Certificates of Conformity that were issued on the basis of the Medical Device Directive.</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168"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We are in the process of developing our regulatory strategies for obtaining clearance approval or CE Certificates of Conformity for future products. Some of them may require 510(k) clearance by the FDA or a new CE Certificate of Conformity by a Notified Body.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 Certificates of Conformity for our new products would have an adverse effect on our ability to expand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obtain or maintain foreign regulatory approvals to market our products in other countries.</w:t>
      </w:r>
    </w:p>
    <w:p>
      <w:pPr>
        <w:spacing w:after="0" w:line="21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currently market our products internationally and intend to expand our international marketing. International jurisdictions require separate regulatory approvals and compliance with numerous and varying regulatory requirements. The approval procedures</w:t>
      </w:r>
    </w:p>
    <w:p>
      <w:pPr>
        <w:spacing w:after="0" w:line="39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6"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occurrence of adverse events.</w:t>
      </w:r>
    </w:p>
    <w:p>
      <w:pPr>
        <w:spacing w:after="0" w:line="229"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or a work slowdown or stoppage at those agencies as part of a broader federal government shutdown, or comparable scenarios with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61"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The ability of the FDA to review and approve or clear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Disruptions at FDA and other agencies may also slow the time necessary for new product applications to be reviewed and/or approved by necessary government agencies, which could adversely affect our business. For example, in recent years, including for 35 days beginning on December 22, 2018, the U.S. government shut down several times and certain regulatory agencies, such as the FDA, had to furlough critical employees and stop critical activities. Average review times at FDA have fluctuated in recent years as a result. In addition, government funding of other government agencies on which our operations may rely is subject to the political process, which is inherently fluid and unpredictable.</w:t>
      </w:r>
    </w:p>
    <w:p>
      <w:pPr>
        <w:spacing w:after="0" w:line="214"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or other political or world events prevent the FDA or other regulatory authorities from conducting their regular reviews or other regulatory activities, it could significantly impact the ability of the FDA to timely review and process our regulatory submissions, which could have a material adverse effect on our business. Future government shutdowns or delays could also impact our ability to access the public markets and obtain capital to fund the growth of our operations. Similar considerations and concerns apply to foreign regulatory authorities.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product liability losses, and insurance coverage may be inadequate or unavailable to cover these losses.</w:t>
      </w:r>
    </w:p>
    <w:p>
      <w:pPr>
        <w:spacing w:after="0" w:line="229"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Physicians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86"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w:t>
      </w:r>
    </w:p>
    <w:p>
      <w:pPr>
        <w:spacing w:after="0" w:line="39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76"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environmental laws and regulations that can impose significant costs and expose us to potential financial liabilities.</w:t>
      </w:r>
    </w:p>
    <w:p>
      <w:pPr>
        <w:spacing w:after="0" w:line="216"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color w:val="auto"/>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 requires adoption of a radiation safety plan. Our failure to follow such safety plan or otherwise use this equipment properly could be hazardous to</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products are derived from human tissue and are or could be subject to additional regulations and requirements.</w:t>
      </w:r>
    </w:p>
    <w:p>
      <w:pPr>
        <w:spacing w:after="0" w:line="216"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Our iFuse INTRA implants are derived from human bone tissue, and as a result are subject to FDA and certain state regulations regarding human cells, tissues and cellular or tissue-based products, or HCT/Ps. Currently, our iFuse INTRA implants are marketed as HCT/P products, and are regulated under Section 361 of the Public Health Service Act; as such, we have not been required to file a 510(k) with respect to these products.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spacing w:after="0" w:line="207"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In addition, procurement of certain human organs and tissue for transplantation is subject to the National Organ Transplant Act ("NOTA"), which prohibits the transfer of certain human organs, including skin and related tissue, for valuable consideration, but permits the reasonable payment for costs associated with the removal, transportation, implantation, processing, preservation, quality control, and storage of human tissue and skin. We reimburse tissue banks for their expenses associated with the recovery, storage, and transportation of donated human tissue they provide to use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w:t>
      </w:r>
    </w:p>
    <w:p>
      <w:pPr>
        <w:spacing w:after="0" w:line="19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5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rely primarily on patent, copyright, trademark and trade secret laws, as well as confidentiality and nondisclosure agreements and other methods, to protect our proprietary technologies and know-how. As of December 31, 2024, we owned 68 issued U.S. patents and had 40 pending U.S. patent applications, and we owned 20 issued foreign patents and had 24 pending foreign patent applications. We have focused the majority of our foreign patent efforts in China, Europe, and Japan. Our current U.S. patents on iFuse, including the triangular shape, expire in December 2025. Competitors may market similar triangular shaped devices upon the expiration of the patents in late 2025. Our current U.S. patents on iFuse-3D, including the fenestrated design, expire in September 2035. Our foreign patents will expire between August 2025 and September 2035.</w:t>
      </w:r>
    </w:p>
    <w:p>
      <w:pPr>
        <w:spacing w:after="0" w:line="187" w:lineRule="exact"/>
        <w:rPr>
          <w:sz w:val="20"/>
          <w:szCs w:val="20"/>
          <w:color w:val="auto"/>
        </w:rPr>
      </w:pPr>
    </w:p>
    <w:p>
      <w:pPr>
        <w:jc w:val="both"/>
        <w:ind w:firstLine="208"/>
        <w:spacing w:after="0" w:line="282" w:lineRule="auto"/>
        <w:rPr>
          <w:sz w:val="20"/>
          <w:szCs w:val="20"/>
          <w:color w:val="auto"/>
        </w:rPr>
      </w:pPr>
      <w:r>
        <w:rPr>
          <w:rFonts w:ascii="Times New Roman" w:cs="Times New Roman" w:eastAsia="Times New Roman" w:hAnsi="Times New Roman"/>
          <w:sz w:val="18"/>
          <w:szCs w:val="18"/>
          <w:color w:val="auto"/>
        </w:rPr>
        <w:t>As of December 31, 2024, we have 22 registered trademarks in the United States and have filed for three more. We have sought protection for at least fourteen of these trademarks in 60 countries including the 27 European member countries of the Madrid Protocol.</w:t>
      </w:r>
    </w:p>
    <w:p>
      <w:pPr>
        <w:spacing w:after="0" w:line="162"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89"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80"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200" w:lineRule="exact"/>
        <w:rPr>
          <w:sz w:val="20"/>
          <w:szCs w:val="20"/>
          <w:color w:val="auto"/>
        </w:rPr>
      </w:pPr>
    </w:p>
    <w:p>
      <w:pPr>
        <w:spacing w:after="0" w:line="20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our employees, or our third-party sales agents or resellers have wrongfully used or disclosed alleged trade secrets of our competitors or are in breach of non-competition or non-solicitation agreements with our competitors.</w:t>
      </w:r>
    </w:p>
    <w:p>
      <w:pPr>
        <w:spacing w:after="0" w:line="171"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Many of our employees were previously employed at other medical device companies, including our competitors or potential competitors, in some cases until recently. Some of our third-party sales agents or resellers sell, or in the past have sold, products of our competitors. We may be subject to claims that we, our employees, or our third-party sales agents or resellers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71"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18"/>
          <w:szCs w:val="18"/>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w:t>
      </w:r>
    </w:p>
    <w:p>
      <w:pPr>
        <w:spacing w:after="0" w:line="198"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In addition, we generally indemnify our customers and third-party sales agents and resellers with respect to infringement by our products of the proprietary rights of third parties. Third parties may assert infringement claims against our customers or third-party sales agents and resellers. These claims may require us to initiate or defend protracted and costly litigation on behalf of our customers or third-party sales agents and resellers, regardless of the merits of these claims. Such claims may in some instances require us to advance or indemnify the customer, sales agent or reseller for the cost of the defense, regardless of the plaintiff's ultimate success in the matter. If any of these claims succeed, we may be forced to pay damages on behalf of our customers or third-party sales agents and resellers or may be required to obtain licenses to intellectual property owned by such third parties. If we cannot obtain all necessary licenses on commercially reasonable terms, our customers and third-party sales agents and resellers may be forced to stop using or selling our products.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the value of an investment in our common stock could decline.</w:t>
      </w:r>
    </w:p>
    <w:p>
      <w:pPr>
        <w:spacing w:after="0" w:line="22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169" w:lineRule="exact"/>
        <w:rPr>
          <w:sz w:val="20"/>
          <w:szCs w:val="20"/>
          <w:color w:val="auto"/>
        </w:rPr>
      </w:pPr>
    </w:p>
    <w:p>
      <w:pPr>
        <w:ind w:left="900" w:right="180" w:hanging="406"/>
        <w:spacing w:after="0" w:line="266"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investor risk appetite and other macroeconomic factors impacting the market for securities issued by medical device companies;</w:t>
      </w:r>
    </w:p>
    <w:p>
      <w:pPr>
        <w:spacing w:after="0" w:line="121" w:lineRule="exact"/>
        <w:rPr>
          <w:rFonts w:ascii="Times New Roman" w:cs="Times New Roman" w:eastAsia="Times New Roman" w:hAnsi="Times New Roman"/>
          <w:sz w:val="18"/>
          <w:szCs w:val="18"/>
          <w:color w:val="auto"/>
        </w:rPr>
      </w:pPr>
    </w:p>
    <w:p>
      <w:pPr>
        <w:ind w:left="900" w:right="60" w:hanging="406"/>
        <w:spacing w:after="0" w:line="266"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inflation, interest rate increases and other macroeconomic factors impacting patients’ economic ability and likelihood of undergoing elective procedures, whether real or as perceived by investors;</w:t>
      </w:r>
    </w:p>
    <w:p>
      <w:pPr>
        <w:spacing w:after="0" w:line="108"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infectious diseases, and measures taken to combat them, on our business;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that of our competitors’ products;</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57" w:lineRule="exact"/>
        <w:rPr>
          <w:rFonts w:ascii="Times New Roman" w:cs="Times New Roman" w:eastAsia="Times New Roman" w:hAnsi="Times New Roman"/>
          <w:sz w:val="18"/>
          <w:szCs w:val="18"/>
          <w:color w:val="auto"/>
        </w:rPr>
      </w:pPr>
    </w:p>
    <w:p>
      <w:pPr>
        <w:ind w:left="900" w:hanging="406"/>
        <w:spacing w:after="0" w:line="282" w:lineRule="auto"/>
        <w:tabs>
          <w:tab w:leader="none" w:pos="8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products, services or technologies, commercial relationships, acquisitions, or other events by us or our competitors;</w:t>
      </w:r>
    </w:p>
    <w:p>
      <w:pPr>
        <w:spacing w:after="0" w:line="94"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57" w:lineRule="exact"/>
        <w:rPr>
          <w:rFonts w:ascii="Times New Roman" w:cs="Times New Roman" w:eastAsia="Times New Roman" w:hAnsi="Times New Roman"/>
          <w:sz w:val="18"/>
          <w:szCs w:val="18"/>
          <w:color w:val="auto"/>
        </w:rPr>
      </w:pPr>
    </w:p>
    <w:p>
      <w:pPr>
        <w:ind w:left="900" w:hanging="406"/>
        <w:spacing w:after="0" w:line="282" w:lineRule="auto"/>
        <w:tabs>
          <w:tab w:leader="none" w:pos="7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healthcare companies, in general, and of companies in the medical device industry in particular;</w:t>
      </w:r>
    </w:p>
    <w:p>
      <w:pPr>
        <w:spacing w:after="0" w:line="94"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results of operations meet the expectations of securities analysts or investors or those expectations change;</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lock-up releases and sales of large blocks of our common stock;</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employees or scientific personnel; and</w:t>
      </w:r>
    </w:p>
    <w:p>
      <w:pPr>
        <w:spacing w:after="0" w:line="15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212"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w:t>
      </w:r>
    </w:p>
    <w:p>
      <w:pPr>
        <w:spacing w:after="0" w:line="200" w:lineRule="exact"/>
        <w:rPr>
          <w:sz w:val="20"/>
          <w:szCs w:val="20"/>
          <w:color w:val="auto"/>
        </w:rPr>
      </w:pPr>
    </w:p>
    <w:p>
      <w:pPr>
        <w:spacing w:after="0" w:line="20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2" w:name="page63"/>
    <w:bookmarkEnd w:id="62"/>
    <w:p>
      <w:pPr>
        <w:spacing w:after="0" w:line="266" w:lineRule="auto"/>
        <w:rPr>
          <w:sz w:val="20"/>
          <w:szCs w:val="20"/>
          <w:color w:val="auto"/>
        </w:rPr>
      </w:pPr>
      <w:r>
        <w:rPr>
          <w:rFonts w:ascii="Times New Roman" w:cs="Times New Roman" w:eastAsia="Times New Roman" w:hAnsi="Times New Roman"/>
          <w:sz w:val="18"/>
          <w:szCs w:val="18"/>
          <w:color w:val="auto"/>
        </w:rPr>
        <w:t>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volumes and our operating results may fluctuate over the course of the year, which could affect the price of our common stock.</w:t>
      </w:r>
    </w:p>
    <w:p>
      <w:pPr>
        <w:spacing w:after="0" w:line="216"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76" w:lineRule="exact"/>
        <w:rPr>
          <w:sz w:val="20"/>
          <w:szCs w:val="20"/>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coverage and reimbursement;</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products sold in the quarter and our ability to drive increased sales of our products;</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and dedicated sales force;</w:t>
      </w:r>
    </w:p>
    <w:p>
      <w:pPr>
        <w:spacing w:after="0" w:line="171"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applicable to our products, including adverse third-party coverage and reimbursement outcomes;</w:t>
      </w:r>
    </w:p>
    <w:p>
      <w:pPr>
        <w:spacing w:after="0" w:line="144"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infectious disease outbreaks on our business;</w:t>
      </w:r>
    </w:p>
    <w:p>
      <w:pPr>
        <w:spacing w:after="0" w:line="171"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trials on our existing products and products in development;</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our products sold because profit margins differ amongst our products;</w:t>
      </w:r>
    </w:p>
    <w:p>
      <w:pPr>
        <w:spacing w:after="0" w:line="171"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product offerings, acquisitions, licenses or other significant events by us or our competitors;</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materials and components;</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product offerings of our competitors;</w:t>
      </w:r>
    </w:p>
    <w:p>
      <w:pPr>
        <w:spacing w:after="0" w:line="171"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pricing of, our products and the products of our competitors;</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may affect the sale of our products, including seasonality and budgets of our customers;</w:t>
      </w:r>
    </w:p>
    <w:p>
      <w:pPr>
        <w:spacing w:after="0" w:line="157"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regulatory clearances or approvals, or CE Certificates of Conformity, and legislative changes affecting the products we may offer or those of our competitors;</w:t>
      </w:r>
    </w:p>
    <w:p>
      <w:pPr>
        <w:spacing w:after="0" w:line="94"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products;</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industry and market developments;</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geographic reach of our sales and marketing efforts;</w:t>
      </w:r>
    </w:p>
    <w:p>
      <w:pPr>
        <w:spacing w:after="0" w:line="171"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adequate insurance coverage, including product liability insurance;</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components and materials;</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selling days in the quarter;</w:t>
      </w:r>
    </w:p>
    <w:p>
      <w:pPr>
        <w:spacing w:after="0" w:line="171"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foreign currency exchange rates; and</w:t>
      </w:r>
    </w:p>
    <w:p>
      <w:pPr>
        <w:spacing w:after="0" w:line="15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and other special charges.</w:t>
      </w:r>
    </w:p>
    <w:p>
      <w:pPr>
        <w:spacing w:after="0" w:line="212" w:lineRule="exact"/>
        <w:rPr>
          <w:sz w:val="20"/>
          <w:szCs w:val="20"/>
          <w:color w:val="auto"/>
        </w:rPr>
      </w:pPr>
    </w:p>
    <w:p>
      <w:pPr>
        <w:jc w:val="both"/>
        <w:ind w:firstLine="450"/>
        <w:spacing w:after="0" w:line="247" w:lineRule="auto"/>
        <w:rPr>
          <w:sz w:val="20"/>
          <w:szCs w:val="20"/>
          <w:color w:val="auto"/>
        </w:rPr>
      </w:pPr>
      <w:r>
        <w:rPr>
          <w:rFonts w:ascii="Times New Roman" w:cs="Times New Roman" w:eastAsia="Times New Roman" w:hAnsi="Times New Roman"/>
          <w:sz w:val="18"/>
          <w:szCs w:val="18"/>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w:t>
      </w:r>
    </w:p>
    <w:p>
      <w:pPr>
        <w:spacing w:after="0" w:line="200" w:lineRule="exact"/>
        <w:rPr>
          <w:sz w:val="20"/>
          <w:szCs w:val="20"/>
          <w:color w:val="auto"/>
        </w:rPr>
      </w:pPr>
    </w:p>
    <w:p>
      <w:pPr>
        <w:spacing w:after="0" w:line="20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Quarterly comparisons of our financial results may not always be meaningful and should not be relied upon as an indication of our future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utilize our federal and state net operating loss carryforwards to reduce our income taxes.</w:t>
      </w:r>
    </w:p>
    <w:p>
      <w:pPr>
        <w:spacing w:after="0" w:line="25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As of December 31, 2024, we had net operating loss (“NOL”) carryforwards of $350.5 million and $271.6 million available to reduce future taxable income, if any, for U.S. federal income tax and state income tax purposes, respectively. If not utilized, our federal and state NOL carryforwards begin to expire in 2030 and 2024, respectively. Portions of these NOL carryforwards could expire unused and be unavailable to offset future income tax liabilities. Unused U.S. federal NOLs generated in tax years beginning after December 31, 2017, will not expire and may be carried forward indefinitely, but the deductibility of such federal NOL is limited to 80% of taxable income. At the state level, there may be periods during which the use of NOL is suspended or otherwise limited. For example, California imposed limits on the usability of California state net operating losses to offset taxable income in tax years beginning after 2023 and before 2027.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lead to management entrenchment.</w:t>
      </w:r>
    </w:p>
    <w:p>
      <w:pPr>
        <w:spacing w:after="0" w:line="21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69" w:lineRule="exact"/>
        <w:rPr>
          <w:sz w:val="20"/>
          <w:szCs w:val="20"/>
          <w:color w:val="auto"/>
        </w:rPr>
      </w:pPr>
    </w:p>
    <w:p>
      <w:pPr>
        <w:ind w:left="900" w:right="20" w:hanging="406"/>
        <w:spacing w:after="0" w:line="266" w:lineRule="auto"/>
        <w:tabs>
          <w:tab w:leader="none" w:pos="8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75" w:lineRule="exact"/>
        <w:rPr>
          <w:rFonts w:ascii="Times New Roman" w:cs="Times New Roman" w:eastAsia="Times New Roman" w:hAnsi="Times New Roman"/>
          <w:sz w:val="18"/>
          <w:szCs w:val="18"/>
          <w:color w:val="auto"/>
        </w:rPr>
      </w:pPr>
    </w:p>
    <w:p>
      <w:pPr>
        <w:ind w:left="900" w:hanging="406"/>
        <w:spacing w:after="0" w:line="266" w:lineRule="auto"/>
        <w:tabs>
          <w:tab w:leader="none" w:pos="8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0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8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94" w:lineRule="exact"/>
        <w:rPr>
          <w:rFonts w:ascii="Times New Roman" w:cs="Times New Roman" w:eastAsia="Times New Roman" w:hAnsi="Times New Roman"/>
          <w:sz w:val="18"/>
          <w:szCs w:val="18"/>
          <w:color w:val="auto"/>
        </w:rPr>
      </w:pPr>
    </w:p>
    <w:p>
      <w:pPr>
        <w:ind w:left="900" w:hanging="406"/>
        <w:spacing w:after="0" w:line="266" w:lineRule="auto"/>
        <w:tabs>
          <w:tab w:leader="none" w:pos="8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21" w:lineRule="exact"/>
        <w:rPr>
          <w:rFonts w:ascii="Times New Roman" w:cs="Times New Roman" w:eastAsia="Times New Roman" w:hAnsi="Times New Roman"/>
          <w:sz w:val="18"/>
          <w:szCs w:val="18"/>
          <w:color w:val="auto"/>
        </w:rPr>
      </w:pPr>
    </w:p>
    <w:p>
      <w:pPr>
        <w:ind w:left="900" w:right="20" w:hanging="406"/>
        <w:spacing w:after="0" w:line="250" w:lineRule="auto"/>
        <w:tabs>
          <w:tab w:leader="none" w:pos="7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36" w:lineRule="exact"/>
        <w:rPr>
          <w:rFonts w:ascii="Times New Roman" w:cs="Times New Roman" w:eastAsia="Times New Roman" w:hAnsi="Times New Roman"/>
          <w:sz w:val="18"/>
          <w:szCs w:val="18"/>
          <w:color w:val="auto"/>
        </w:rPr>
      </w:pPr>
    </w:p>
    <w:p>
      <w:pPr>
        <w:ind w:left="900" w:hanging="406"/>
        <w:spacing w:after="0" w:line="250" w:lineRule="auto"/>
        <w:tabs>
          <w:tab w:leader="none" w:pos="7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123" w:lineRule="exact"/>
        <w:rPr>
          <w:rFonts w:ascii="Times New Roman" w:cs="Times New Roman" w:eastAsia="Times New Roman" w:hAnsi="Times New Roman"/>
          <w:sz w:val="18"/>
          <w:szCs w:val="18"/>
          <w:color w:val="auto"/>
        </w:rPr>
      </w:pPr>
    </w:p>
    <w:p>
      <w:pPr>
        <w:ind w:left="900" w:hanging="406"/>
        <w:spacing w:after="0" w:line="266" w:lineRule="auto"/>
        <w:tabs>
          <w:tab w:leader="none" w:pos="7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acquiror from</w:t>
      </w:r>
    </w:p>
    <w:p>
      <w:pPr>
        <w:spacing w:after="0" w:line="33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ind w:left="900"/>
        <w:spacing w:after="0"/>
        <w:rPr>
          <w:sz w:val="20"/>
          <w:szCs w:val="20"/>
          <w:color w:val="auto"/>
        </w:rPr>
      </w:pPr>
      <w:r>
        <w:rPr>
          <w:rFonts w:ascii="Times New Roman" w:cs="Times New Roman" w:eastAsia="Times New Roman" w:hAnsi="Times New Roman"/>
          <w:sz w:val="18"/>
          <w:szCs w:val="18"/>
          <w:color w:val="auto"/>
        </w:rPr>
        <w:t>conducting a solicitation of proxies to elect the acquiror’s own slate of directors or otherwise attempting to obtain control of us.</w:t>
      </w:r>
    </w:p>
    <w:p>
      <w:pPr>
        <w:spacing w:after="0" w:line="21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4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56"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We regularly review these defensive provisions with our Board of Directors and our larger stockholders but have thus far elected not to remove any of these provisions as we believe they enable our Board of Directors to plan and manage the business with a longer time horizon in mind. The existence of these provisions could negatively affect the price of our common stock and limit opportunities for our stockholders to realize value in a corporate transaction.</w:t>
      </w:r>
    </w:p>
    <w:p>
      <w:pPr>
        <w:spacing w:after="0" w:line="200" w:lineRule="exact"/>
        <w:rPr>
          <w:sz w:val="20"/>
          <w:szCs w:val="20"/>
          <w:color w:val="auto"/>
        </w:rPr>
      </w:pP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76"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180"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the U.S. federal district courts are the exclusive forum for resolving any complaint asserting a cause of action arising under the Securities Act.</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banking industry or the broader financial services industry, such as actual events or concerns involving liquidity, defaults or non-performance, could adversely affect our operations and liquidity</w:t>
      </w:r>
      <w:r>
        <w:rPr>
          <w:rFonts w:ascii="Times New Roman" w:cs="Times New Roman" w:eastAsia="Times New Roman" w:hAnsi="Times New Roman"/>
          <w:sz w:val="21"/>
          <w:szCs w:val="21"/>
          <w:b w:val="1"/>
          <w:bCs w:val="1"/>
          <w:i w:val="1"/>
          <w:iCs w:val="1"/>
          <w:color w:val="008080"/>
        </w:rPr>
        <w:t>.</w:t>
      </w:r>
    </w:p>
    <w:p>
      <w:pPr>
        <w:spacing w:after="0" w:line="20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a California corporation ("SVB"), was closed by the California Department of Financial Protection and Innovation, which appointed the Federal Deposit Insurance Corporation ("FDIC"), as receiver.</w:t>
      </w:r>
    </w:p>
    <w:p>
      <w:pPr>
        <w:spacing w:after="0" w:line="21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Although a statement by the U.S. Department of the Treasury, the Federal Reserve and the FDIC stated that all depositors of SVB would have access to all of their money after only one business day following the date of closure and we and other depositors with SVB received such access on March 13, 2023,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spacing w:after="0" w:line="21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w:t>
      </w:r>
    </w:p>
    <w:p>
      <w:pPr>
        <w:spacing w:after="0" w:line="19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if any parties with whom we conduct business are unable to access funds held in uninsured deposit accounts or pursuant to lending arrangements with a financial institution that is placed in receivership by the FDIC, such parties’ ability to pay their obligations to us or to enter into new commercial arrangements requiring additional payments to us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and security agreement contains covenants that may restrict our business and financing activities.</w:t>
      </w:r>
    </w:p>
    <w:p>
      <w:pPr>
        <w:spacing w:after="0" w:line="256"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Our Loan and Security Agreement (as amended, the "Amended Loan Agreement") with Silicon Valley Bank, a division of First-Citizens Bank &amp; Trust Company (“First-Citizens”) contains customary events of default, including bankruptcy, the failure to make payments when due, the occurrence of a material impairment on First-Citizens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spacing w:after="0" w:line="208" w:lineRule="exact"/>
        <w:rPr>
          <w:sz w:val="20"/>
          <w:szCs w:val="20"/>
          <w:color w:val="auto"/>
        </w:rPr>
      </w:pPr>
    </w:p>
    <w:p>
      <w:pPr>
        <w:jc w:val="both"/>
        <w:ind w:firstLine="445"/>
        <w:spacing w:after="0" w:line="237" w:lineRule="auto"/>
        <w:rPr>
          <w:sz w:val="20"/>
          <w:szCs w:val="20"/>
          <w:color w:val="auto"/>
        </w:rPr>
      </w:pPr>
      <w:r>
        <w:rPr>
          <w:rFonts w:ascii="Times New Roman" w:cs="Times New Roman" w:eastAsia="Times New Roman" w:hAnsi="Times New Roman"/>
          <w:sz w:val="18"/>
          <w:szCs w:val="18"/>
          <w:color w:val="auto"/>
        </w:rPr>
        <w:t>The Amended Loan Agreement is secured by substantially all our assets other than our intellectual property, which intellectual property is subject to a negative pledge under the terms of the Amended Loan Agreement. The Amended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spacing w:after="0" w:line="230"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The covenants in the Amended Loan Agreement,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the Amended Loan Agreement to become immediately due and payable.</w:t>
      </w:r>
    </w:p>
    <w:p>
      <w:pPr>
        <w:spacing w:after="0" w:line="20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access credit on favorable terms, if necessary, for the funding of our operations and capital projects may be limited due to changes in credit markets.</w:t>
      </w:r>
    </w:p>
    <w:p>
      <w:pPr>
        <w:spacing w:after="0" w:line="186"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On November 8, 2024, we entered into a Third Amendment to Loan and Security Agreement (the “Third Amendment”) with Silicon Valley Bank, a division of First-Citizens Bank &amp; Trust Company (“First-Citizen”), which amends the Company’s Loan and Security Agreement, dated as of August 12, 2021 (the “Original Loan Agreement”), as amended by that certain First Amendment to Loan and Security Agreement, dated as of January 6, 2023 (the “First Amendment”) and that certain Second Amendment to Loan and Security Agreement, dated as of January 25, 2024 (the “Second Amendment” and collectively with the Original Loan Agreement, as amended by the First Amendment, Second Amendment and Third Amendment, the “Third Amended Loan Agreement”). The Third Amendment Term Loan extended by First-Citizens to us pursuant to the current Third Amended Loan Agreement terminates and matures on September 1, 2029, and if we cannot renew or refinance this Third Amendment Term Loan, if needed at such time, or obtain funding when needed, in each case on acceptable terms, such conditions may have an adverse effect on our ability to operate our business. See “Note 7. Borrowings” to the “Notes to Consolidated Financial Statements” included in this report for additional information.</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41"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8"/>
          <w:szCs w:val="18"/>
          <w:color w:val="auto"/>
        </w:rPr>
        <w:t>We recognize the importance of protecting our critical information technology (“IT”) systems and data from material risks from cybersecurity threats. Risk management for cybersecurity threats is integrated into our overall enterprise risk management system. We consider cybersecurity risks alongside other business risks. Our risk management framework includes risk assessments, internal controls, and systems monitoring mechanisms. We have implemented and maintain various processes designed to assess, identify, and manage material risks from cybersecurity threats to our IT systems and critical data, including intellectual property, confidential information, that is proprietary, strategic or competitive in nature, health and medical data, clinical trial data, and personal data (“Information Systems and Data”). Third parties also play a role in our cybersecurity efforts. We engage third-party services to assist us from time to time to identify, assess, and manage material risks from cybersecurity threats, including for example through penetration testing, independent audits or consulting on practices to address new challenges. We conduct audits and evaluations of our IT infrastructure, network architecture, and software applications to help us identify vulnerabilities, potential entry points, and areas for improvement. We perform assessments considering principles from the National Institute of Standards and Technology Cybersecurity Framework and by using an external third-party security assessor from time to time.</w:t>
      </w:r>
    </w:p>
    <w:p>
      <w:pPr>
        <w:spacing w:after="0" w:line="210" w:lineRule="exact"/>
        <w:rPr>
          <w:sz w:val="20"/>
          <w:szCs w:val="20"/>
          <w:color w:val="auto"/>
        </w:rPr>
      </w:pPr>
    </w:p>
    <w:p>
      <w:pPr>
        <w:jc w:val="both"/>
        <w:ind w:right="20" w:firstLine="486"/>
        <w:spacing w:after="0" w:line="257" w:lineRule="auto"/>
        <w:rPr>
          <w:sz w:val="20"/>
          <w:szCs w:val="20"/>
          <w:color w:val="auto"/>
        </w:rPr>
      </w:pPr>
      <w:r>
        <w:rPr>
          <w:rFonts w:ascii="Times New Roman" w:cs="Times New Roman" w:eastAsia="Times New Roman" w:hAnsi="Times New Roman"/>
          <w:sz w:val="18"/>
          <w:szCs w:val="18"/>
          <w:color w:val="auto"/>
        </w:rPr>
        <w:t>Depending on the environment, systems, and data, we employ strategies and practices designed to protect and mitigate cybersecurity material risks to our Information Systems and Data, including but not limited to:</w:t>
      </w:r>
    </w:p>
    <w:p>
      <w:pPr>
        <w:spacing w:after="0" w:line="16" w:lineRule="exact"/>
        <w:rPr>
          <w:sz w:val="20"/>
          <w:szCs w:val="20"/>
          <w:color w:val="auto"/>
        </w:rPr>
      </w:pPr>
    </w:p>
    <w:p>
      <w:pPr>
        <w:ind w:left="660" w:hanging="328"/>
        <w:spacing w:after="0" w:line="234"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Utilizing third-party tools to monitor threats and cybersecurity vulnerabilities, reduce risk, and enhance governance, risk, and compliance management.</w:t>
      </w:r>
    </w:p>
    <w:p>
      <w:pPr>
        <w:spacing w:after="0" w:line="1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Engaging a managed cybersecurity service provider to monitor and assess cybersecurity threats, serve as a point of contact for incident notification, and collaborate with our in-house IT team.</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Maintaining security policies, procedures, and standards considering evolving threats and industry standards.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Engaging external subject matter experts and advisors to inform us of current cyber practices, policies, and programs.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Conducting tabletop exercises focused on scenarios such as ransomware, disaster recovery, and business continuity.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Providing mandatory annual security and privacy awareness training to all employees who have access to company email and connected devices.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Conducting phishing simulations and cyber hygiene training sessions to educate employees and promote responsible cybersecurity practices.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Maintaining an incident response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established an incident response team, which is led by our IT, legal, and compliance leaders and is comprised of stakeholders from various</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departments in the Company. A designated member from our IT team is responsible for conducting incident assessments, determining severity levels, informing relevant stakeholder, such as the incident response team and senior management, and maintaining documentation of the remediation activity.</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event of a security incident, our incident response processes are designed to escalate certain cybersecurity incidents to senior leadership, the audit committee and the board of directors, as deemed appropriate.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95"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8"/>
          <w:szCs w:val="18"/>
          <w:color w:val="auto"/>
        </w:rPr>
        <w:t>Our audit committee is responsible for overseeing our cybersecurity risk management processes, including regarding cybersecurity threats. Our CFO, Anshul Maheshwari, and Vice President of Information Technology, Michael Vedda, provide briefings to our audit committee on the effectiveness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progress of our cybersecurity risk management program on regular basis. Mr. Vedda has more than 20 years of experience and engages with trusted third-party experts for support and guidance when additional guidance is required. Prior to joining SI-BONE, he managed cybersecurity functions, where he was responsible for overseeing cybersecurity strategy and operations, including incident response, threat intelligence, security awareness training programs, risk assessments and remediation, and regulatory and compliance matters. Our board of directors receives regular reports from our audit committee chair regarding our cyber risk management programs, potential cybersecurity risks, efforts to mitigate such risks, and the audit committee’s oversight of these activities.</w:t>
      </w:r>
    </w:p>
    <w:p>
      <w:pPr>
        <w:spacing w:after="0" w:line="20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Item 1A. “Risk Factors”, including “If we experience significant disruptions in our information technology systems, our business, results of operations, and financial condition could be adversely affected".</w:t>
      </w:r>
    </w:p>
    <w:p>
      <w:pPr>
        <w:spacing w:after="0" w:line="20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leased headquarters in Santa Clara, California, comprises approximately 21,848 square feet, and the lease for this space expires in July 2026. Our headquarters houses our product development, marketing, finance, education, and administration functions. We also lease research and development and warehouse space in another building in Santa Clara, California under a lease that will expire in October 2026, and office spaces in Gallarate, Italy which expires in August 2027 to accommodate our European sales and marketing team. We believe our facilities are adequate and suitable for our current needs but in the future we may need additional space.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be subject to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Common Stock</w:t>
      </w:r>
    </w:p>
    <w:p>
      <w:pPr>
        <w:spacing w:after="0" w:line="2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“SIBN”.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56"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8"/>
          <w:szCs w:val="18"/>
          <w:color w:val="auto"/>
        </w:rPr>
        <w:t>As of February 20, 2025, we had 116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43" w:lineRule="exact"/>
        <w:rPr>
          <w:sz w:val="20"/>
          <w:szCs w:val="20"/>
          <w:color w:val="auto"/>
        </w:rPr>
      </w:pPr>
    </w:p>
    <w:p>
      <w:pPr>
        <w:jc w:val="both"/>
        <w:ind w:firstLine="405"/>
        <w:spacing w:after="0" w:line="297"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49" w:lineRule="exact"/>
        <w:rPr>
          <w:sz w:val="20"/>
          <w:szCs w:val="20"/>
          <w:color w:val="auto"/>
        </w:rPr>
      </w:pPr>
    </w:p>
    <w:p>
      <w:pPr>
        <w:jc w:val="both"/>
        <w:ind w:firstLine="22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financial statements and the related notes to those statements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important factors, including those set forth in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of this Annual Report on Form 10-K, our actual results could differ materially from the results described in, or implied, by these forward-looking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w:t>
      </w:r>
    </w:p>
    <w:p>
      <w:pPr>
        <w:spacing w:after="0" w:line="177"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Our products include a series of patented titanium implants and the instruments used to implant them, as well as implantable bone products. Since launching our first generation iFuse in 2009, we have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w:t>
      </w:r>
    </w:p>
    <w:p>
      <w:pPr>
        <w:spacing w:after="0" w:line="19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market our products primarily with a direct sales force as well as a number of third-party sales agents in the United States, and with a combination of a direct sales force and sales agents in other countries. As of December 31, 2024, more than 115,000 procedures have been performed by over 4,300 physicians in the United States and 38 other countries since we introduced iFuse in 2009.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Results of Operations and Key Performance Indicators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Expand Access to Solutions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physician engagement and deliver revenue growth.</w:t>
      </w:r>
    </w:p>
    <w:p>
      <w:pPr>
        <w:spacing w:after="0" w:line="17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2024, our U.S. sales force consisted of 87 territory sales managers and 71 clinical support specialists directly employed by us and 252 third-party sales agents, compared to 82 territory sales managers and 69 clinical support specialists directly employed by us and 175 third-party sales agent as of December 31, 2023. As of December 31, 2024, our international sales force consisted of 9 sales representatives directly employed by us and 31 third-party sales agents and resellers, compared to 14 sales representatives directly employed by us and 31 third-party sales agents and resellers as of December 31, 2023.</w:t>
      </w:r>
    </w:p>
    <w:p>
      <w:pPr>
        <w:spacing w:after="0" w:line="19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fiscal year ended December 31, 2024, over 25 percent of our procedures for sacroiliac joint dysfunction were performed at ASCs and OBLs. With the steady increase in the numbers of minimally invasive procedures, including sacroiliac joint fusion procedures, being performed at ASCs, we continue to actively engage with these facilities to educate their management groups on our clinical evidence, exclusive commercial payor coverage and focus on driving improved education and pathways between pain physicians and surgeons.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Physician Engagement</w:t>
      </w:r>
    </w:p>
    <w:p>
      <w:pPr>
        <w:spacing w:after="0" w:line="21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Engaging and educating physician and other healthcare professionals about the clinical merits and patient benefits of our solutions will be important to grow physician adoption. Our medical affairs team works closely with our sales team to increase physician engagement and activation. Physician activity includes both the number of physicians performing our procedures as well as the number of procedures performed per physician. In addition to training new physicians, we have several initiatives to re-engage inactive physicians.</w:t>
      </w:r>
    </w:p>
    <w:p>
      <w:pPr>
        <w:spacing w:after="0" w:line="18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utilize a combination of hands-on cadaveric and dry-lab training, as well as SI-BONE SImulator - a portable, radiation-free, haptics and computer-based simulator - for training purposes, and optimize our programs to improve adoption rate, time to first case and ultimately physician productivity.</w:t>
      </w:r>
    </w:p>
    <w:p>
      <w:pPr>
        <w:spacing w:after="0" w:line="162"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We are targeting over 12,000 U.S. physicians including over 8,000 orthopedic and neurological surgeons and approximately 4,500 interventional spine physicians, to perform our procedures. As of December 31, 2024 and 2023, in the United States more than 3,200 physicians and 2,700 physicians, respectively, have been trained on our solutions and have treated at least one patient. Outside the United States, as of December 31, 2024 and 2023, more than 1,100 and 900 physicians, respectively, have been trained on our solutions and have treated at least one patient. Since launching our academic training program in August 2018, we have trained residents and fellows in over 240 academic programs in the United States, resulting in the training of approximately 1,600 surgical residents and fellows.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Expand Addressable Markets</w:t>
      </w:r>
    </w:p>
    <w:p>
      <w:pPr>
        <w:spacing w:after="0" w:line="21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Expanding our platform of sacropelvic solutions to address sacroiliac joint dysfunction, pelvic fixation and pelvic trauma has been a key tenet of our strategy, and we have made substantial progress on this mission. With iFuse-3D, iFuse TORQ, iFuse Bedrock Granite, iFuse INTRA and iFuse TORQ TNT, we believe that the value of our innovative, versatile, and complementary product portfolio provides physicians with a comprehensive set of alternatives, and positions us as the top choice for physicians for sacropelvic solutions. We also offer an allograft bone implants for physicians who believe that this kind of implant can be important to obtaining stabilization and /or fusion.</w:t>
      </w:r>
    </w:p>
    <w:p>
      <w:pPr>
        <w:spacing w:after="0" w:line="18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June 2022, we completed enrollment in SILVIA, a two-year prospective international multi-center randomized controlled trial of two different methods for pelvic fixation in adult patients undergoing multi-segmental, or long-construct, spinal fusion. We anticipate the results for the primary endpoint in 2025. In September 2022 we enrolled the first of the targeted 120 patients in our SAFFRON study, a prospective randomized controlled trial of surgery using our iFuse TORQ device vs. non-surgical management in patients with debilitating sacral fragility or insufficiency fractures. We are no longer actively recruiting patients in our SAFFRON study and anticipate publishing follow-up results in 2025. We are working with a select group of physicians on STACI, a prospective study on the use of iFuse TORQ in patients with sacroiliac joint dysfunction. The purpose of STACI is to provide post-market information on the safety and effectiveness of minimally invasive sacroiliac joint fusion procedures performed with iFuse TORQ.</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continue to invest in research and development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In 2024, we spent $16.6 million on research and development, equating to 10% of our 2024 revenue.</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Enhance Employee Experience and Engagement</w:t>
      </w:r>
    </w:p>
    <w:p>
      <w:pPr>
        <w:spacing w:after="0" w:line="21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well-being programs.</w:t>
      </w:r>
    </w:p>
    <w:p>
      <w:pPr>
        <w:spacing w:after="0" w:line="18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to ensuring workforce diversity and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w:t>
      </w:r>
    </w:p>
    <w:p>
      <w:pPr>
        <w:spacing w:after="0" w:line="18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2024,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operational efficiency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 support our growing portfolio of solutions, we continue to evolve our business processes to identify, measure and improve operational efficiency.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developed will allow us to optimize processes, increase sales force productivity and improve asset utilization.</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selective sites of service. Our average revenue per territory sales manager has increased to approximately $1.8 million in fiscal year 2024, from $1.6 million in fiscal year 2023.</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made significant investments in instrument trays used to perform surgeries. Our goal is to deploy instrument trays to the market where the demand exists to increase our asset utilization rates over time and use capital more effectively by having our instrument trays used in more surgeries in any given time period. Given supply chain disruptions impacting the industry, we are working closely with our suppliers to reduce lead time for our implants to ensure we can support our expanding physician footprint and over time build the resilience in our supply chain to reduce our cash investment in inventory. Additionally, we are partnering with our suppliers around design for manufacturing, specifically for newer products, to reduce the overall cost of the</w:t>
      </w:r>
    </w:p>
    <w:p>
      <w:pPr>
        <w:spacing w:after="0" w:line="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implants as we scale, and reduce waste and rework. Lastly, we are integrating our demand planning and manufacturing systems, to ensure we leverage actual usage trends as we build surgical capacity to support our growth.</w:t>
      </w:r>
    </w:p>
    <w:p>
      <w:pPr>
        <w:spacing w:after="0" w:line="200" w:lineRule="exact"/>
        <w:rPr>
          <w:sz w:val="20"/>
          <w:szCs w:val="20"/>
          <w:color w:val="auto"/>
        </w:rPr>
      </w:pPr>
    </w:p>
    <w:p>
      <w:pPr>
        <w:spacing w:after="0" w:line="21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ind w:firstLine="445"/>
        <w:spacing w:after="0" w:line="273" w:lineRule="auto"/>
        <w:rPr>
          <w:sz w:val="20"/>
          <w:szCs w:val="20"/>
          <w:color w:val="auto"/>
        </w:rPr>
      </w:pPr>
      <w:r>
        <w:rPr>
          <w:rFonts w:ascii="Times New Roman" w:cs="Times New Roman" w:eastAsia="Times New Roman" w:hAnsi="Times New Roman"/>
          <w:sz w:val="18"/>
          <w:szCs w:val="18"/>
          <w:color w:val="auto"/>
        </w:rPr>
        <w:t>Our revenue from sales of implants fluctuate based on volume of cases (procedures performed), discounts, mix of international and U.S. sales, different implant pricing and the number of implants used for a particular patient. Similar to other orthopedic companies, our case volume can vary from</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quarter to quarter due to a variety of factors including reimbursement, sales force changes, physician activities, product launches, and seasonality. In addition, our revenue is impacted by changes in average selling price as we respond to the competitive landscape and price differences at different medical facilities, such as hospitals, ASCs and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spacing w:after="0" w:line="21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Gross Profit, and Gross Margin</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stock-based compensation expense, and other costs for finance, accounting, legal, insurance, compliance, and administrative matters.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is primarily related to our investments of excess cash in money market funds and marketable securities.</w:t>
      </w:r>
    </w:p>
    <w:p>
      <w:pPr>
        <w:sectPr>
          <w:pgSz w:w="11900" w:h="16838" w:orient="portrait"/>
          <w:cols w:equalWidth="0" w:num="1">
            <w:col w:w="11240"/>
          </w:cols>
          <w:pgMar w:left="320" w:top="981" w:right="339" w:bottom="1440" w:gutter="0" w:footer="0" w:header="0"/>
        </w:sectPr>
      </w:pP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3" w:name="page74"/>
    <w:bookmarkEnd w:id="73"/>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is primarily related to borrowings, amortization of debt issuance costs, and accretion of final fees on the First-Citizens Third Amended Loan Agreement.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consists primarily of net foreign exchange gains and losses on foreign transactions.</w:t>
      </w:r>
    </w:p>
    <w:p>
      <w:pPr>
        <w:spacing w:after="0" w:line="200" w:lineRule="exact"/>
        <w:rPr>
          <w:sz w:val="20"/>
          <w:szCs w:val="20"/>
          <w:color w:val="auto"/>
        </w:rPr>
      </w:pPr>
    </w:p>
    <w:p>
      <w:pPr>
        <w:spacing w:after="0" w:line="2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manage and operate as one reportable segment. The table below summarizes our results of operations for the periods presented (percentages are amounts as a percentage of revenue), which we derived from the consolidated financial statements:</w:t>
      </w:r>
    </w:p>
    <w:p>
      <w:pPr>
        <w:spacing w:after="0" w:line="245"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200" w:type="dxa"/>
            <w:vAlign w:val="bottom"/>
          </w:tcPr>
          <w:p>
            <w:pPr>
              <w:spacing w:after="0"/>
              <w:rPr>
                <w:sz w:val="18"/>
                <w:szCs w:val="18"/>
                <w:color w:val="auto"/>
              </w:rPr>
            </w:pPr>
          </w:p>
        </w:tc>
        <w:tc>
          <w:tcPr>
            <w:tcW w:w="2520" w:type="dxa"/>
            <w:vAlign w:val="bottom"/>
            <w:gridSpan w:val="3"/>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0" w:type="dxa"/>
            <w:vAlign w:val="bottom"/>
          </w:tcPr>
          <w:p>
            <w:pPr>
              <w:spacing w:after="0"/>
              <w:rPr>
                <w:sz w:val="1"/>
                <w:szCs w:val="1"/>
                <w:color w:val="auto"/>
              </w:rPr>
            </w:pPr>
          </w:p>
        </w:tc>
      </w:tr>
      <w:tr>
        <w:trPr>
          <w:trHeight w:val="211"/>
        </w:trPr>
        <w:tc>
          <w:tcPr>
            <w:tcW w:w="4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167,178</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132,121</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109,420</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33,755</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167,369</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156,351</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(35,248)</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derive the majority of our revenue from sales to customers in the United States. Revenue by geography is based on billing address of the customer. The table below summarizes our revenue by geography: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0" w:type="dxa"/>
            <w:vAlign w:val="bottom"/>
            <w:tcBorders>
              <w:right w:val="single" w:sz="8" w:color="CCEEFF"/>
            </w:tcBorders>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130,621</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420" w:type="dxa"/>
            <w:vAlign w:val="bottom"/>
            <w:tcBorders>
              <w:right w:val="single" w:sz="8" w:color="CCEEFF"/>
            </w:tcBorders>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167,178</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138,886</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0" w:type="dxa"/>
            <w:vAlign w:val="bottom"/>
            <w:tcBorders>
              <w:right w:val="single" w:sz="8" w:color="CCEEFF"/>
            </w:tcBorders>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Goods Sold, Gross Profit, and Gross Margin</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0" w:type="dxa"/>
            <w:vAlign w:val="bottom"/>
          </w:tcPr>
          <w:p>
            <w:pPr>
              <w:spacing w:after="0"/>
              <w:rPr>
                <w:sz w:val="20"/>
                <w:szCs w:val="20"/>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167,178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138,886</w:t>
            </w:r>
          </w:p>
        </w:tc>
        <w:tc>
          <w:tcPr>
            <w:tcW w:w="3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35,057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29,466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132,121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109,420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ind w:right="140" w:firstLine="44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The increase in revenue for the year ended December 31, 2024 compared to the year ended December 31, 2023 comprised a $27.8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our U.S. revenue from increased case volumes due to our expanded portfolio and growing base of active physicians and an increase of $0.5 million in our international revenue due to the increase in case volumes.</w:t>
      </w:r>
    </w:p>
    <w:p>
      <w:pPr>
        <w:spacing w:after="0" w:line="200" w:lineRule="exact"/>
        <w:rPr>
          <w:sz w:val="20"/>
          <w:szCs w:val="20"/>
          <w:color w:val="auto"/>
        </w:rPr>
      </w:pPr>
    </w:p>
    <w:p>
      <w:pPr>
        <w:spacing w:after="0" w:line="23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5" w:name="page76"/>
    <w:bookmarkEnd w:id="75"/>
    <w:p>
      <w:pPr>
        <w:ind w:right="60" w:firstLine="44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increased $22.7 million for the year ended December 31, 2024 compared to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driven by higher revenue. Gross margin was 79% for the years ended December 31, 2024 and December 31, 2023. Gross margin was consistent with prior year due to higher total costs related to iFuse TORQ and iFuse Bedrock Granite implants including royalties, offset by a decrease in depreciation costs and inventory reserves.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w:t>
      </w:r>
    </w:p>
    <w:p>
      <w:pPr>
        <w:spacing w:after="0" w:line="164"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4"/>
        </w:trPr>
        <w:tc>
          <w:tcPr>
            <w:tcW w:w="49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240" w:type="dxa"/>
            <w:vAlign w:val="bottom"/>
          </w:tcPr>
          <w:p>
            <w:pPr>
              <w:spacing w:after="0"/>
              <w:rPr>
                <w:sz w:val="18"/>
                <w:szCs w:val="18"/>
                <w:color w:val="auto"/>
              </w:rPr>
            </w:pPr>
          </w:p>
        </w:tc>
      </w:tr>
      <w:tr>
        <w:trPr>
          <w:trHeight w:val="231"/>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3"/>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The increase in sales and marketing expenses for the year ended December 31, 2024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was primarily due to a $6.4 million increase in commissions and employee related costs driven by higher revenues, an increase of $1.1 million in physician training and engagement expenses, and an increase in travel expenses of $0.4 million, partially offset by a $1.1 million decrease in certain advertising and marketing activities and consulting.</w:t>
      </w:r>
    </w:p>
    <w:p>
      <w:pPr>
        <w:spacing w:after="0" w:line="180"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The increase in research and development expenses for the year ended December 31,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was primarily due to a $0.9 million increase in employee related costs and stock-based compensation due to higher headcount and a $0.6 million increase in product development costs.</w:t>
      </w:r>
    </w:p>
    <w:p>
      <w:pPr>
        <w:spacing w:after="0" w:line="173"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increase in general and administrative expenses for the year ended December 31,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was primarily due to a $1.8 million increase in employee related costs and stock-based compensation, and a $0.9 million increase in consulting, accounting, audit, and legal expenses.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r>
        <w:rPr>
          <w:rFonts w:ascii="Times New Roman" w:cs="Times New Roman" w:eastAsia="Times New Roman" w:hAnsi="Times New Roman"/>
          <w:sz w:val="18"/>
          <w:szCs w:val="18"/>
          <w:color w:val="auto"/>
        </w:rPr>
        <w:t>:</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7"/>
        </w:trPr>
        <w:tc>
          <w:tcPr>
            <w:tcW w:w="50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240" w:type="dxa"/>
            <w:vAlign w:val="bottom"/>
          </w:tcPr>
          <w:p>
            <w:pPr>
              <w:spacing w:after="0"/>
              <w:rPr>
                <w:sz w:val="18"/>
                <w:szCs w:val="18"/>
                <w:color w:val="auto"/>
              </w:rPr>
            </w:pPr>
          </w:p>
        </w:tc>
      </w:tr>
      <w:tr>
        <w:trPr>
          <w:trHeight w:val="231"/>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23"/>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increase in interest income for the year ended December 31, 2024 as compared to the year ended December 31,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higher interest earned on our investments in marketable securities, primarily as a result of higher interest rates earned on higher cash and investment balances.</w:t>
      </w:r>
    </w:p>
    <w:p>
      <w:pPr>
        <w:spacing w:after="0" w:line="173"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The decrease in interest expense for the year ended December 31, 2024 as compared to the year ended December 31,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interest rates associated with the First-Citizens Third Amended Loan Agreement.</w:t>
      </w:r>
    </w:p>
    <w:p>
      <w:pPr>
        <w:spacing w:after="0" w:line="158"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changed from income to expense for the year ended December 31,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due to foreign currency fluctuations.</w:t>
      </w:r>
    </w:p>
    <w:p>
      <w:pPr>
        <w:spacing w:after="0" w:line="17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we had cash and marketable securities of $150.0 million compared to $166.0 million as of December 31, 2023. We have financed our operations primarily through our public offerings and debt financing arrangements. As of December 31, 2024 and 2023 we had $35.5 million and $36.1 million outstanding debt, respectively.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we had an accumulated deficit of $431.4 million. During the years ended December 31, 2024 and 2023, we incurred a net loss of $30.9 million and $43.3 million, respectively, and expect to incur additional losses in the future. We have not achieved positive cash flow from operations to date.</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May 2023, we received a total of $83.7 million of net proceeds after deducting the underwriting discounts and commissions from the public offering of our common stock.</w:t>
      </w:r>
    </w:p>
    <w:p>
      <w:pPr>
        <w:spacing w:after="0" w:line="17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and marketable securities will enable us to fund our operating expenses and capital expenditure requirements over the next 12 months and beyond. However, the financial impact of a potential economic downturn or capital market disruptions pose risks and uncertainties in our future available capital resources. We may face challenges and uncertainties and, as a result, may need to raise additional capital as our available capital resources may be consumed more rapidly than currently expected due to, but not limited to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 In addition, as we seek to deploy new product offerings, the need for additional capital to fund the purchase of inventories of implants and instrument trays</w:t>
      </w:r>
    </w:p>
    <w:p>
      <w:pPr>
        <w:spacing w:after="0" w:line="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may become more acute and may limit the number of revenue opportunities that we pursue. Each new product family introduced typically requires the purchase of consumable implant inventory as well as investment in a fleet of instrument trays required to support procedures nationwide.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56"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Our outstanding debt is related to a Loan and Security Agreement (the “Original Loan Agreement”) dated August 12, 2021 (the “Effective Date”), entered into by us and Silicon Valley Bank, a California corporation (“SVB”). Pursuant to the Original Loan Agreement, SVB provided us with a term loan in the aggregate principal amount of $35.0 million (the “Original Term Loan”).</w:t>
      </w:r>
    </w:p>
    <w:p>
      <w:pPr>
        <w:spacing w:after="0" w:line="20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January 6, 2023, we entered into a First Amendment to Loan and Security Agreement with SVB (the “First Amendment”, and together with the Original Loan Agreement, collectively the “Amended Loan Agreement”). Upon entry into the Amended Loan Agreement, we borrowed $36.0 million pursuant to a new term loan (the “First Amendment Term Loan”), which was substantially used to repay in full the $35.0 million Original Term Loan outstanding under the Original Loan Agreement, and we also obtained a secured a revolving credit facility in an aggregate principal amount of up to $15.0 million (the “Revolving Line").</w:t>
      </w:r>
    </w:p>
    <w:p>
      <w:pPr>
        <w:spacing w:after="0" w:line="21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January 25, 2024, we entered into a Second Amendment to Loan and Security Agreement with Silicon Valley Bank, a division of First-Citizens Bank &amp; Trust Company, as successor in interest to SVB (“First-Citizens”) which further amended our Amended Loan Agreement (the “Second Amendment” and together with the Amended Loan Agreement, collectively, the “Second Amended Loan Agreement”). The Second Amendment revised certain provisions related to financial covenants and the periods in which such covenants applied.</w:t>
      </w:r>
    </w:p>
    <w:p>
      <w:pPr>
        <w:spacing w:after="0" w:line="207"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On November 8, 2024, we entered into a Third Amendment to Loan and Security Agreement with First-Citizens (the “Third Amendment” and together with the Second Amended Loan Agreement, collectively, the “Third Amended Loan Agreement”), relative to a new term loan in the original aggregate principal amount of $36.0 million extended by First-Citizens to the Company (the “Third Amendment Term Loan”), which was substantially used to refinance and repay in full the then-outstanding $36.0 million existing First Amendment Term Loan. We also paid a certain final payment fee due relative to such prior First Amendment Term Loan. The Third Amendment set the maturity date for the Third Amendment Term Loan to September 1, 2029 (the "Third Amendment Term Loan Maturity Date"), and set the first principal repayment due date relative to the Third Amendment Term Loan to October 1, 2027; provided that upon the achievement of the Performance Milestone (as defined in the Third Amendment), the first principal payment shall become due on October 1, 2028. Interest on the outstanding principal balance of the Third Amendment Term Loan is payable monthly at a floating rate per annum equal to the greater of 4.25% and the WSJ prime rate minus 0.5%. The Company may elect to prepay the Third Amendment Term Loan in whole prior to the Third Amendment Term Loan Maturity Date, subject to a prepayment fee equal to 1.5% of the original principal amount of the Third Amendment Term Loan if the loan is prepaid within 18 months following the closing of the Third Amendment. The Third Amendment further revised certain provisions related to financial covenants</w:t>
      </w:r>
    </w:p>
    <w:p>
      <w:pPr>
        <w:spacing w:after="0" w:line="20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ind w:right="20"/>
        <w:spacing w:after="0" w:line="282" w:lineRule="auto"/>
        <w:rPr>
          <w:sz w:val="20"/>
          <w:szCs w:val="20"/>
          <w:color w:val="auto"/>
        </w:rPr>
      </w:pPr>
      <w:r>
        <w:rPr>
          <w:rFonts w:ascii="Times New Roman" w:cs="Times New Roman" w:eastAsia="Times New Roman" w:hAnsi="Times New Roman"/>
          <w:sz w:val="18"/>
          <w:szCs w:val="18"/>
          <w:color w:val="auto"/>
        </w:rPr>
        <w:t>and the periods in which such covenants apply, and First-Citizens and the Company also agreed to terminate the Revolving Line and an uncommitted accordion term loan provision.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1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Our material cash requirements include various contractual and other obligations consisting of long-term debt obligations with First-Citizens, operating lease obligations and purchase obligations with some of our suppliers. Expected timing of those payments are as follows:</w:t>
      </w:r>
    </w:p>
    <w:p>
      <w:pPr>
        <w:spacing w:after="0" w:line="191"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0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4-5 years</w:t>
            </w:r>
          </w:p>
        </w:tc>
        <w:tc>
          <w:tcPr>
            <w:tcW w:w="120" w:type="dxa"/>
            <w:vAlign w:val="bottom"/>
          </w:tcPr>
          <w:p>
            <w:pPr>
              <w:spacing w:after="0"/>
              <w:rPr>
                <w:sz w:val="13"/>
                <w:szCs w:val="13"/>
                <w:color w:val="auto"/>
              </w:rPr>
            </w:pPr>
          </w:p>
        </w:tc>
        <w:tc>
          <w:tcPr>
            <w:tcW w:w="1040" w:type="dxa"/>
            <w:vAlign w:val="bottom"/>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More than 5</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Principal obligations on long-term debt </w:t>
            </w:r>
            <w:r>
              <w:rPr>
                <w:rFonts w:ascii="Times New Roman" w:cs="Times New Roman" w:eastAsia="Times New Roman" w:hAnsi="Times New Roman"/>
                <w:sz w:val="14"/>
                <w:szCs w:val="14"/>
                <w:color w:val="auto"/>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obligations </w:t>
            </w:r>
            <w:r>
              <w:rPr>
                <w:rFonts w:ascii="Times New Roman" w:cs="Times New Roman" w:eastAsia="Times New Roman" w:hAnsi="Times New Roman"/>
                <w:sz w:val="14"/>
                <w:szCs w:val="14"/>
                <w:color w:val="auto"/>
              </w:rPr>
              <w:t>(2)</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obligations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188595</wp:posOffset>
            </wp:positionV>
            <wp:extent cx="1731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89" w:lineRule="exact"/>
        <w:rPr>
          <w:sz w:val="20"/>
          <w:szCs w:val="20"/>
          <w:color w:val="auto"/>
        </w:rPr>
      </w:pPr>
    </w:p>
    <w:p>
      <w:pPr>
        <w:ind w:left="480" w:hanging="310"/>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obligations at maturities of our First-Citizens Third Amended Loan Agreement.</w:t>
      </w:r>
    </w:p>
    <w:p>
      <w:pPr>
        <w:spacing w:after="0" w:line="55"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future interest obligations on our First-Citizens Third Amended Loan Agreement estimated using an interest rate of 7.0% as of December 31,</w:t>
      </w:r>
    </w:p>
    <w:p>
      <w:pPr>
        <w:spacing w:after="0" w:line="24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ind w:left="500"/>
        <w:spacing w:after="0"/>
        <w:rPr>
          <w:sz w:val="20"/>
          <w:szCs w:val="20"/>
          <w:color w:val="auto"/>
        </w:rPr>
      </w:pPr>
      <w:r>
        <w:rPr>
          <w:rFonts w:ascii="Times New Roman" w:cs="Times New Roman" w:eastAsia="Times New Roman" w:hAnsi="Times New Roman"/>
          <w:sz w:val="14"/>
          <w:szCs w:val="14"/>
          <w:color w:val="auto"/>
        </w:rPr>
        <w:t>2024.</w:t>
      </w:r>
    </w:p>
    <w:p>
      <w:pPr>
        <w:spacing w:after="0" w:line="200" w:lineRule="exact"/>
        <w:rPr>
          <w:sz w:val="20"/>
          <w:szCs w:val="20"/>
          <w:color w:val="auto"/>
        </w:rPr>
      </w:pPr>
    </w:p>
    <w:p>
      <w:pPr>
        <w:spacing w:after="0" w:line="3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compared to $49.2 million of contractual obligations as of December 31, 2023.</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 below:</w:t>
      </w:r>
    </w:p>
    <w:p>
      <w:pPr>
        <w:spacing w:after="0" w:line="268"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8"/>
        </w:trPr>
        <w:tc>
          <w:tcPr>
            <w:tcW w:w="55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0" w:type="dxa"/>
            <w:vAlign w:val="bottom"/>
          </w:tcPr>
          <w:p>
            <w:pPr>
              <w:spacing w:after="0"/>
              <w:rPr>
                <w:sz w:val="1"/>
                <w:szCs w:val="1"/>
                <w:color w:val="auto"/>
              </w:rPr>
            </w:pPr>
          </w:p>
        </w:tc>
      </w:tr>
      <w:tr>
        <w:trPr>
          <w:trHeight w:val="230"/>
        </w:trPr>
        <w:tc>
          <w:tcPr>
            <w:tcW w:w="5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(88,975)</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14" w:lineRule="exact"/>
        <w:rPr>
          <w:sz w:val="20"/>
          <w:szCs w:val="20"/>
          <w:color w:val="auto"/>
        </w:rPr>
      </w:pPr>
    </w:p>
    <w:p>
      <w:pPr>
        <w:jc w:val="both"/>
        <w:ind w:firstLine="405"/>
        <w:spacing w:after="0" w:line="23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of $12.4 million resulted from cash outflows due to net loss of $30.9 million, adjusted for $28.6 million of non-cash items and cash outflows from changes in operating assets and liabilities of $10.1 million. Net cash used in operation activities for the year ended December 31, 2023 of $18.7 million resulted from cash outflows due to net loss of $43.3 million, adjusted for $29.5 million of non-cash items and cash outflows from changes in operating assets and liabilities of $4.8 million. The decrease in net loss, net of non-cash items for the year ended December 31, 2024 compared to the year ended December 31, 2023 was mainly due to increased revenues. Net cash outflows from changes in operating assets and liabilities for year ended December 31, 2024 were primarily due to higher accounts receivable due to timing of collections and the increase in revenue in the fourth quarter of 2024, higher inventory due to build-up related to our newly introduced products, offset in part by an increase in account payable and accrued liabilities due to normal timing of expenses. Net cash outflows from changes in operating assets and liabilities for the year ended December 31, 2023 were primarily due to higher accounts receivable due to timing of collections and the increase in revenue in the fourth quarter of 2023, higher inventory build-up related to our implants, higher prepaid expenses due to timing of payments, and lower accounts payable attributable to the normal course timing of expenses, offset in part by an increase in accrued liabilities and other due to timing of other third-party payments and higher compensation and benefits accruals.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Used In and Provided by Investing Activities</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in the year ended December 31, 2024 was $12.6 million compared to net cash used in investing activities of $59.8 million in the year ended December 31, 2023. Net cash provided by investing activities for the year ended December 31, 2024 consisted of purchases of property and equipment of $10.5 million related to individual components in instrument trays to support increased case volumes and software, offset by maturities of our marketable securities, net of purchases, of $23.1 million. Net cash used in investing activities for the year ended December 31, 2023 consisted of purchases of property and equipment of $7.8 million related to individual components in instrument trays to support increased case volumes and capitalized costs related to the lease in Santa Clara and equipment and purchases of our marketable securities, net of maturities, of $52.0 million.</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in the year ended December 31, 2024 was $2.0 million resulting from proceeds of $2.7 million from the issuance of common stock under our stock-based incentive compensation plans, offset by the payment of $0.8 million for the final fee relative to the refinancing of our term loan with First-Citizens. Cash provided by financing activities for the year ended December 31, 2023 was $90.9 million resulting from proceeds of $83.7 million from the issuance of common stock under our follow-on public offering, proceeds of $6.6 million from the issuance of common stock under our stock-based incentive compensation plans, and net proceeds of $0.7 million from the refinancing of our term loan with First-Citizens.</w:t>
      </w:r>
    </w:p>
    <w:p>
      <w:pPr>
        <w:spacing w:after="0" w:line="200" w:lineRule="exact"/>
        <w:rPr>
          <w:sz w:val="20"/>
          <w:szCs w:val="20"/>
          <w:color w:val="auto"/>
        </w:rPr>
      </w:pPr>
    </w:p>
    <w:p>
      <w:pPr>
        <w:spacing w:after="0" w:line="21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This discussion and analysis of our financial condition and results of operations is based on our consolidated financial statements, which have been prepared in accordance with generally accepted accounting principles in the United States of America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We base our estimates on our historical experience, current market conditions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policy discussed below is critical to understanding our historical and future performance, as it relates to the more significant area involving management's judgments. For more comprehensive discussion of our significant accounting policies, refer to “Note 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Summary of Significant Account Policies” in the accompanying Notes to Consolidated Financial Statements in Item 8 of this Form 10-K.</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derive our revenue from the sale of our products to medical groups and hospitals through our direct sales force and third-party sales agents throughout the United States and Europe. We receive payment for the implants consumed during the surgery and do not receive additional or separate consideration for the use of the instrument tray furnished for the physicians’ use. We identify the instrument trays as a lease component and the implants as a non-lease component in our arrangements with our customers. We determine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w:t>
      </w:r>
    </w:p>
    <w:p>
      <w:pPr>
        <w:spacing w:after="0" w:line="13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accordance with ASC 606, we recognize revenue when control is transferred to the customer, in an amount that reflects the consideration we expect to be entitled to in exchange for the goods or services. To recognize revenue,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80"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As it relates to majority of our revenue consisting of product sales where our sales representative delivers the product at the point of implantation at hospital or medical facilities, we recognize the revenue upon completion of the procedure and authorization by the customer, net of rebates and price discounts. We also generate a small portion of our revenue from sale of products through third-party sales agents and hospital or medical facilities where the product is ordered in advance of a procedure. The performance obligation is the delivery of the product and therefore, we recognize revenue upon shipment to the customers, net of rebates and price discounts. We account for rebates and price discounts as a reduction to revenue, calculated based on the terms agreed to with the customer. Sales prices are specified in either customer contract, agreed price list, or purchase order, which is executed prior to the transfer of control to the customer. For certain hospitals and medical facilities, we have agreements in place consisting of either a master services agreement or an approved price list, which defines the terms and conditions of the arrangement, including the pricing information, payment terms and pertinent aspects of the relationship between the parties. We also have agreements in place with its third-party sales agents, which include standard terms that do not allow for payment contingent on resale of the product, obtaining financing, or other terms that could impact the distributor’s payment obligation. Our standard payment terms are generally net 30 to 90 days. We consider sales commissions and related expenses as incremental and recoverable costs of acquiring customer contracts. Our sales commissions are paid to our sales representatives in connection with each surgery performed. The period of benefit is concurrent when we recognize our revenue, as such, we also recognize sales commission as expense when incurred.</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grant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The fair value of our market-related performance awards is estimated using a Monte-Carlo simulation, which incorporates the probability of the achievement of the market-related performance goals at the date of grant. If such performance goals are not ultimately met, the expense is not reversed. Stock-based compensation expense is recognized ratably over the requisite service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29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See Note 2 of Notes to Consolidated Financial Statements for related discussions on recently adopted accounting standards and updates on recently issued accounting standards not yet effective, which information is incorporated by reference here.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risks, including changes to foreign currency exchange rates and interest rates.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w:t>
      </w:r>
    </w:p>
    <w:p>
      <w:pPr>
        <w:spacing w:after="0" w:line="17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years ended 2024, 2023 and 2022 were not material. A hypothetical 100 basis point change in foreign exchange rates during any of the periods presented would not have had a material impact on our consolidated financial statements.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exposure to changes in interest rates relates to interest earned and market value on our cash and cash equivalents and short-term investments. Our cash and cash equivalents and short-term investments consist of cash, money market funds, U.S. government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w:t>
      </w:r>
    </w:p>
    <w:p>
      <w:pPr>
        <w:spacing w:after="0" w:line="166"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With the execution of the Third Amendment with First-Citizens relative to the Third Amendment Term Loan, interest is payable monthly at a floating annual rate set at the greater of the prime rate as published in the Wall Street Journal minus 0.5% or 4.25%. Rising interest rates will increase the amount of interest paid on this debt. We believe that our exposure to interest rate risk is not significant due to the low risk profile of our investments and the amount of our Third Amendment Term Loan, therefore a hypothetical 100 basis point in market interest rates during any of the periods presented would not have had a material impact on our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104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9"/>
        </w:trPr>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2"/>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SI-BONE, INC.</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40" w:type="dxa"/>
            <w:vAlign w:val="bottom"/>
            <w:gridSpan w:val="6"/>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0000FF"/>
              </w:rPr>
              <w:t>79</w:t>
            </w:r>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620" w:type="dxa"/>
            <w:vAlign w:val="bottom"/>
            <w:gridSpan w:val="3"/>
          </w:tcPr>
          <w:p>
            <w:pPr>
              <w:spacing w:after="0"/>
              <w:rPr>
                <w:sz w:val="18"/>
                <w:szCs w:val="18"/>
                <w:color w:val="auto"/>
              </w:rPr>
            </w:pPr>
          </w:p>
        </w:tc>
        <w:tc>
          <w:tcPr>
            <w:tcW w:w="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0000FF"/>
              </w:rPr>
              <w:t>81</w:t>
            </w:r>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140" w:type="dxa"/>
            <w:vAlign w:val="bottom"/>
          </w:tcPr>
          <w:p>
            <w:pPr>
              <w:spacing w:after="0"/>
              <w:rPr>
                <w:sz w:val="18"/>
                <w:szCs w:val="18"/>
                <w:color w:val="auto"/>
              </w:rPr>
            </w:pPr>
          </w:p>
        </w:tc>
        <w:tc>
          <w:tcPr>
            <w:tcW w:w="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0000FF"/>
              </w:rPr>
              <w:t>82</w:t>
            </w:r>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5140" w:type="dxa"/>
            <w:vAlign w:val="bottom"/>
          </w:tcPr>
          <w:p>
            <w:pPr>
              <w:spacing w:after="0"/>
              <w:rPr>
                <w:sz w:val="18"/>
                <w:szCs w:val="18"/>
                <w:color w:val="auto"/>
              </w:rPr>
            </w:pPr>
          </w:p>
        </w:tc>
        <w:tc>
          <w:tcPr>
            <w:tcW w:w="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0000FF"/>
              </w:rPr>
              <w:t>83</w:t>
            </w:r>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460" w:type="dxa"/>
            <w:vAlign w:val="bottom"/>
            <w:gridSpan w:val="2"/>
          </w:tcPr>
          <w:p>
            <w:pPr>
              <w:spacing w:after="0"/>
              <w:rPr>
                <w:sz w:val="18"/>
                <w:szCs w:val="18"/>
                <w:color w:val="auto"/>
              </w:rPr>
            </w:pPr>
          </w:p>
        </w:tc>
        <w:tc>
          <w:tcPr>
            <w:tcW w:w="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0000FF"/>
              </w:rPr>
              <w:t>84</w:t>
            </w:r>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0000FF"/>
              </w:rPr>
              <w:t>85</w:t>
            </w:r>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Supplementary Data</w:t>
            </w:r>
          </w:p>
        </w:tc>
        <w:tc>
          <w:tcPr>
            <w:tcW w:w="6680" w:type="dxa"/>
            <w:vAlign w:val="bottom"/>
            <w:gridSpan w:val="4"/>
          </w:tcPr>
          <w:p>
            <w:pPr>
              <w:spacing w:after="0"/>
              <w:rPr>
                <w:sz w:val="18"/>
                <w:szCs w:val="18"/>
                <w:color w:val="auto"/>
              </w:rPr>
            </w:pPr>
          </w:p>
        </w:tc>
        <w:tc>
          <w:tcPr>
            <w:tcW w:w="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0000FF"/>
                <w:w w:val="96"/>
              </w:rPr>
              <w:t>106</w:t>
            </w:r>
          </w:p>
        </w:tc>
      </w:tr>
      <w:tr>
        <w:trPr>
          <w:trHeight w:val="520"/>
        </w:trPr>
        <w:tc>
          <w:tcPr>
            <w:tcW w:w="580" w:type="dxa"/>
            <w:vAlign w:val="bottom"/>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8360" w:type="dxa"/>
            <w:vAlign w:val="bottom"/>
            <w:gridSpan w:val="7"/>
          </w:tcPr>
          <w:p>
            <w:pPr>
              <w:jc w:val="center"/>
              <w:ind w:right="1180"/>
              <w:spacing w:after="0"/>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r>
      <w:tr>
        <w:trPr>
          <w:trHeight w:val="358"/>
        </w:trPr>
        <w:tc>
          <w:tcPr>
            <w:tcW w:w="5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2" w:name="page83"/>
    <w:bookmarkEnd w:id="8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SI-BONE,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SI-BONE, Inc. and its subsidiaries (the "Company") as of December 31, 2024 and 2023, and the related consolidated statements of operations and comprehensive loss, of changes in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U.S. Implant Product Sales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majority of the Company's consolidated revenue comes from product sales where the Company’s sales representative delivers the product at the point of implantation at the hospital or medical facilities. Management recognizes the revenue from these sales upon completion of the procedure and authorization by the customer, net of rebates and price discounts. The Company also generates a small portion of revenue from the sale of products through third-party sales agents and to certain hospitals or medical facilities where the products are ordered in advance of a procedure, and management recognizes revenue upon shipment to the customers, net of rebates and price discounts. The Company’s consolidated revenue was $167.2 million for the year ended December 31, 2024, of which $158.4 million is related to the U.S. implant product sales.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U.S. implant product sales is a critical audit matter is a high degree of auditor effort in performing procedures related to the Company’s revenue recognition for U.S. implant product sales.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U.S. implant product sales upon completion of the procedure and authorization by the customer. These procedures also included, among others, (i) evaluating revenue transactions by testing the issuance and settlement of invoices and credit memos, (ii) tracing transactions not settled to a detailed listing of accounts receivable, (iii) for a sample of outstanding customer invoice balances at December 31, 2024, obtaining evidence of subsequent cash receipt for paid invoices where applicable, and obtaining and inspecting source documents, including invoices, sales contracts, and proof of implantation for unpaid invoices, and (iv) testing the completeness and accuracy of data provided by management.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33,271</w:t>
            </w:r>
          </w:p>
        </w:tc>
      </w:tr>
      <w:tr>
        <w:trPr>
          <w:trHeight w:val="229"/>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132,748</w:t>
            </w:r>
          </w:p>
        </w:tc>
      </w:tr>
      <w:tr>
        <w:trPr>
          <w:trHeight w:val="23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$588 and $1,118, respectively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21,953</w:t>
            </w:r>
          </w:p>
        </w:tc>
      </w:tr>
      <w:tr>
        <w:trPr>
          <w:trHeight w:val="229"/>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20,249</w:t>
            </w:r>
          </w:p>
        </w:tc>
      </w:tr>
      <w:tr>
        <w:trPr>
          <w:trHeight w:val="229"/>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23"/>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230,437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29"/>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r>
      <w:tr>
        <w:trPr>
          <w:trHeight w:val="230"/>
        </w:trPr>
        <w:tc>
          <w:tcPr>
            <w:tcW w:w="7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3"/>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36,065</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61,050</w:t>
            </w:r>
          </w:p>
        </w:tc>
      </w:tr>
      <w:tr>
        <w:trPr>
          <w:trHeight w:val="250"/>
        </w:trPr>
        <w:tc>
          <w:tcPr>
            <w:tcW w:w="7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7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5,000,000 shares authorized; no shares issued and outstanding</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 shares authorized; 42,086,477 and 40,693,299 shares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569,477</w:t>
            </w:r>
          </w:p>
        </w:tc>
      </w:tr>
      <w:tr>
        <w:trPr>
          <w:trHeight w:val="229"/>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7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(400,441)</w:t>
            </w:r>
          </w:p>
        </w:tc>
      </w:tr>
      <w:tr>
        <w:trPr>
          <w:trHeight w:val="223"/>
        </w:trPr>
        <w:tc>
          <w:tcPr>
            <w:tcW w:w="7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169,375</w:t>
            </w:r>
          </w:p>
        </w:tc>
      </w:tr>
      <w:tr>
        <w:trPr>
          <w:trHeight w:val="223"/>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230,437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r>
      <w:tr>
        <w:trPr>
          <w:trHeight w:val="21"/>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760" w:top="765" w:right="77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106,409</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90,704</w:t>
            </w:r>
          </w:p>
        </w:tc>
        <w:tc>
          <w:tcPr>
            <w:tcW w:w="0" w:type="dxa"/>
            <w:vAlign w:val="bottom"/>
          </w:tcPr>
          <w:p>
            <w:pPr>
              <w:spacing w:after="0"/>
              <w:rPr>
                <w:sz w:val="1"/>
                <w:szCs w:val="1"/>
                <w:color w:val="auto"/>
              </w:rPr>
            </w:pPr>
          </w:p>
        </w:tc>
      </w:tr>
      <w:tr>
        <w:trPr>
          <w:trHeight w:val="210"/>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107,726</w:t>
            </w:r>
          </w:p>
        </w:tc>
        <w:tc>
          <w:tcPr>
            <w:tcW w:w="0" w:type="dxa"/>
            <w:vAlign w:val="bottom"/>
          </w:tcPr>
          <w:p>
            <w:pPr>
              <w:spacing w:after="0"/>
              <w:rPr>
                <w:sz w:val="1"/>
                <w:szCs w:val="1"/>
                <w:color w:val="auto"/>
              </w:rPr>
            </w:pPr>
          </w:p>
        </w:tc>
      </w:tr>
      <w:tr>
        <w:trPr>
          <w:trHeight w:val="229"/>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150,313</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0" w:type="dxa"/>
            <w:vAlign w:val="bottom"/>
          </w:tcPr>
          <w:p>
            <w:pPr>
              <w:spacing w:after="0"/>
              <w:rPr>
                <w:sz w:val="1"/>
                <w:szCs w:val="1"/>
                <w:color w:val="auto"/>
              </w:rPr>
            </w:pPr>
          </w:p>
        </w:tc>
      </w:tr>
      <w:tr>
        <w:trPr>
          <w:trHeight w:val="229"/>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29"/>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(61,256)</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Unrealized gain (loss) of marketable securities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(61,376)</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 used to compute basic and</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41,466,564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38,427,419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34,201,824</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0"/>
          </w:cols>
          <w:pgMar w:left="1120" w:top="765" w:right="11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900" w:type="dxa"/>
            <w:vAlign w:val="bottom"/>
            <w:gridSpan w:val="4"/>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2"/>
                <w:szCs w:val="12"/>
                <w:color w:val="auto"/>
              </w:rPr>
            </w:pPr>
          </w:p>
        </w:tc>
        <w:tc>
          <w:tcPr>
            <w:tcW w:w="19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486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33,674,085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429,914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(295,849)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134,420</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stock options, net of</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related to employee stock purchase</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(61,256)</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34,731,577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455,172</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(357,105)</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98,302</w:t>
            </w: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from public offerings, net of</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discounts, commissions and offering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4,068,497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83,672</w:t>
            </w: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stock options, net of</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related to employee stock purchase</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178,918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warrant, net of shares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withheld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40,693,299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569,477</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(400,441)</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169,375</w:t>
            </w:r>
          </w:p>
        </w:tc>
        <w:tc>
          <w:tcPr>
            <w:tcW w:w="0" w:type="dxa"/>
            <w:vAlign w:val="bottom"/>
          </w:tcPr>
          <w:p>
            <w:pPr>
              <w:spacing w:after="0"/>
              <w:rPr>
                <w:sz w:val="1"/>
                <w:szCs w:val="1"/>
                <w:color w:val="auto"/>
              </w:rPr>
            </w:pPr>
          </w:p>
        </w:tc>
      </w:tr>
      <w:tr>
        <w:trPr>
          <w:trHeight w:val="155"/>
        </w:trPr>
        <w:tc>
          <w:tcPr>
            <w:tcW w:w="48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Issuance of common stock upon exercise of stock options, net of</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related to employee stock purchase</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1,072,706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42,086,477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598,070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(431,354)</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166,964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887" w:right="39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(30,913)</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(43,336)</w:t>
            </w:r>
          </w:p>
        </w:tc>
        <w:tc>
          <w:tcPr>
            <w:tcW w:w="16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(61,256)</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7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24,057</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23,061</w:t>
            </w:r>
          </w:p>
        </w:tc>
      </w:tr>
      <w:tr>
        <w:trPr>
          <w:trHeight w:val="210"/>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w:t>
            </w:r>
          </w:p>
        </w:tc>
      </w:tr>
      <w:tr>
        <w:trPr>
          <w:trHeight w:val="195"/>
        </w:trPr>
        <w:tc>
          <w:tcPr>
            <w:tcW w:w="74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Accounts receivable credit losses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1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Inventory reserve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195"/>
        </w:trPr>
        <w:tc>
          <w:tcPr>
            <w:tcW w:w="7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Accretion (amortization) of discount and premium on marketable securities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21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r>
      <w:tr>
        <w:trPr>
          <w:trHeight w:val="195"/>
        </w:trPr>
        <w:tc>
          <w:tcPr>
            <w:tcW w:w="7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7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(6,479)</w:t>
            </w:r>
          </w:p>
        </w:tc>
      </w:tr>
      <w:tr>
        <w:trPr>
          <w:trHeight w:val="21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Inventory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(6,028)</w:t>
            </w:r>
          </w:p>
        </w:tc>
      </w:tr>
      <w:tr>
        <w:trPr>
          <w:trHeight w:val="195"/>
        </w:trPr>
        <w:tc>
          <w:tcPr>
            <w:tcW w:w="7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r>
      <w:tr>
        <w:trPr>
          <w:trHeight w:val="21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w:t>
            </w:r>
          </w:p>
        </w:tc>
      </w:tr>
      <w:tr>
        <w:trPr>
          <w:trHeight w:val="196"/>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w:t>
            </w:r>
          </w:p>
        </w:tc>
      </w:tr>
      <w:tr>
        <w:trPr>
          <w:trHeight w:val="203"/>
        </w:trPr>
        <w:tc>
          <w:tcPr>
            <w:tcW w:w="7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(18,713)</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(41,655)</w:t>
            </w:r>
          </w:p>
        </w:tc>
      </w:tr>
      <w:tr>
        <w:trPr>
          <w:trHeight w:val="176"/>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126,200</w:t>
            </w:r>
          </w:p>
        </w:tc>
      </w:tr>
      <w:tr>
        <w:trPr>
          <w:trHeight w:val="195"/>
        </w:trPr>
        <w:tc>
          <w:tcPr>
            <w:tcW w:w="7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(205,380)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(189,499)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(119,508)</w:t>
            </w:r>
          </w:p>
        </w:tc>
      </w:tr>
      <w:tr>
        <w:trPr>
          <w:trHeight w:val="21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(9,507)</w:t>
            </w:r>
          </w:p>
        </w:tc>
      </w:tr>
      <w:tr>
        <w:trPr>
          <w:trHeight w:val="190"/>
        </w:trPr>
        <w:tc>
          <w:tcPr>
            <w:tcW w:w="7400" w:type="dxa"/>
            <w:vAlign w:val="bottom"/>
            <w:tcBorders>
              <w:bottom w:val="single" w:sz="8" w:color="CCEEFF"/>
            </w:tcBorders>
          </w:tcPr>
          <w:p>
            <w:pPr>
              <w:ind w:left="11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(59,798)</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(2,815)</w:t>
            </w:r>
          </w:p>
        </w:tc>
      </w:tr>
      <w:tr>
        <w:trPr>
          <w:trHeight w:val="18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8"/>
        </w:trPr>
        <w:tc>
          <w:tcPr>
            <w:tcW w:w="7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Proceeds from follow-on public offering, net of underwriting discounts, commissions and offering costs</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Proceeds from debt financing</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Repayments of debt financing</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(35,275)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Final payment fee related to debt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Proceeds from the exercise of common stock options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96"/>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w:t>
            </w:r>
          </w:p>
        </w:tc>
      </w:tr>
      <w:tr>
        <w:trPr>
          <w:trHeight w:val="203"/>
        </w:trPr>
        <w:tc>
          <w:tcPr>
            <w:tcW w:w="74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90,933</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w:t>
            </w:r>
          </w:p>
        </w:tc>
      </w:tr>
      <w:tr>
        <w:trPr>
          <w:trHeight w:val="190"/>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203"/>
        </w:trPr>
        <w:tc>
          <w:tcPr>
            <w:tcW w:w="74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(42,702)</w:t>
            </w:r>
          </w:p>
        </w:tc>
      </w:tr>
      <w:tr>
        <w:trPr>
          <w:trHeight w:val="196"/>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Cash and cash equivalents at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20,717</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63,419</w:t>
            </w:r>
          </w:p>
        </w:tc>
      </w:tr>
      <w:tr>
        <w:trPr>
          <w:trHeight w:val="189"/>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End of year</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34,948</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33,271</w:t>
            </w:r>
          </w:p>
        </w:tc>
        <w:tc>
          <w:tcPr>
            <w:tcW w:w="16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20,717</w:t>
            </w:r>
          </w:p>
        </w:tc>
      </w:tr>
      <w:tr>
        <w:trPr>
          <w:trHeight w:val="21"/>
        </w:trPr>
        <w:tc>
          <w:tcPr>
            <w:tcW w:w="7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6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7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6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information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8"/>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Unpaid purchases of property and equipment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6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r>
    </w:tbl>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Nature of Business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Company’s products include a series of patented titanium implants and the instruments used to implant them, as well as implantable bone products. Since launching its first generation iFuse in 2009, the Company has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w:t>
      </w:r>
    </w:p>
    <w:p>
      <w:pPr>
        <w:spacing w:after="0" w:line="67"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In May 2023, the Company received a total of $83.7 million of net proceeds after deducting the underwriting discounts and commissions of $5.8 million from the offering of 3,775,000 shares of the Company’s common stock and the exercise of underwriter's option to purchase from the Company an additional 566,250 shares of the Company's common stock, at a public offering price of $22.00 per share. Of these shares, 272,753 shares were offered by a selling stockholder, and the Company did not receive any proceeds from the sale by the selling stockholder.</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16"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18"/>
          <w:szCs w:val="18"/>
          <w:color w:val="auto"/>
        </w:rPr>
        <w:t>The Company is subject to uncertainties related to liquidity, the ability to meet covenants and access to funding for its capital needs as the financial service industry has experienced disruptions characterized by the bankruptcy, failure, collapse or sale of various financial institutions. The Company’s cash and cash equivalents are primarily invested in deposits and money market accounts with a single major financial institution in the U.S. Deposits in these banks may exceed the federally insured limits or any other insurance provided on such deposits, if any. As of the date of issuance of these consolidated financial statements, the extent to which the current macroeconomic environment may materially impact the Company's financial condition, liquidity, or results of operations remains uncertain.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The consolidated financial statements include the Company's accounts, as well as those of the Company's wholly-owned international subsidiaries. All inter-company accounts and transactions have been eliminated.</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estimate</w:t>
      </w:r>
    </w:p>
    <w:p>
      <w:pPr>
        <w:spacing w:after="0" w:line="162" w:lineRule="exact"/>
        <w:rPr>
          <w:sz w:val="20"/>
          <w:szCs w:val="20"/>
          <w:color w:val="auto"/>
        </w:rPr>
      </w:pPr>
    </w:p>
    <w:p>
      <w:pPr>
        <w:jc w:val="both"/>
        <w:ind w:firstLine="486"/>
        <w:spacing w:after="0" w:line="230" w:lineRule="auto"/>
        <w:rPr>
          <w:sz w:val="20"/>
          <w:szCs w:val="20"/>
          <w:color w:val="auto"/>
        </w:rPr>
      </w:pPr>
      <w:r>
        <w:rPr>
          <w:rFonts w:ascii="Times New Roman" w:cs="Times New Roman" w:eastAsia="Times New Roman" w:hAnsi="Times New Roman"/>
          <w:sz w:val="18"/>
          <w:szCs w:val="18"/>
          <w:color w:val="auto"/>
        </w:rPr>
        <w:t>During the first quarter of 2024, the Company reassessed the useful life of its instrument trays based on a comprehensive evaluation of usage trends and its estimate on the average life of instruments before loss or damage that requires disposal. As a result of this review, the Company determined that extending the useful life of its instrument trays would more accurately reflect its anticipated future economic benefits. Effective January 1, 2024, the Company changed its estimates of the useful lives of instrument trays from three to five years. The effect of this change in estimate reduced depreciation expense by $1.9 million, resulting in a decrease in net loss of $1.9 million and basic and diluted earnings per share by $0.04 for the year ended December 31, 2024.</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482"/>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makers ("CODMs") are the Chief Executive Officer and Chief Financial Officer. The Company has determined that it has a single operating and reportable segment. The CODMs use revenue and net loss at the consolidated level to measure segment profit and loss, allocate resources, monitor plan versus actual results, and manage operations. Significant expenses within net loss include cost of goods sold, sales and marketing, research and development, and general and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at the consolidated level. Other segment items within net loss include interest income, interest expense, and other income (expense), net.</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Substantially all of the segment revenue is derived from sales to customers in the United States. Descriptions of segment products are included in Note 1. The Company and Nature of Business. Revenue by geography is based on billing address of the customer. International revenue accounted for less than 10% of the total revenue during the periods presented. Long-lived assets held outside the United States are immaterial. The following table summarizes the Company's revenue by geography:</w:t>
      </w:r>
    </w:p>
    <w:p>
      <w:pPr>
        <w:spacing w:after="0" w:line="263"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11"/>
        </w:trPr>
        <w:tc>
          <w:tcPr>
            <w:tcW w:w="47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47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158,416</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130,621</w:t>
            </w:r>
          </w:p>
        </w:tc>
        <w:tc>
          <w:tcPr>
            <w:tcW w:w="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98,751</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w:t>
            </w:r>
          </w:p>
        </w:tc>
      </w:tr>
      <w:tr>
        <w:trPr>
          <w:trHeight w:val="223"/>
        </w:trPr>
        <w:tc>
          <w:tcPr>
            <w:tcW w:w="472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138,886</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106,409</w:t>
            </w:r>
          </w:p>
        </w:tc>
      </w:tr>
      <w:tr>
        <w:trPr>
          <w:trHeight w:val="20"/>
        </w:trPr>
        <w:tc>
          <w:tcPr>
            <w:tcW w:w="4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from foreign currency translation are recorded as a component of accumulated other comprehensive income (loss). Gains and losses from foreign currency transactions are recognized as a component of other income (expense), net.</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marketable securities. The Company’s cash and marketable securities are deposited with financial institutions in the United States and in Europe. The majority of the Company’s cash and marketable securities are deposited with a single financial institution in the United States. Deposits in this institution exceed the amount of insurance provided on such deposits. The Company has not experienced any net losses on its deposits of cash and marketable securities.</w:t>
      </w:r>
    </w:p>
    <w:p>
      <w:pPr>
        <w:spacing w:after="0" w:line="12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Company’s revenue and accounts receivable are spread across a large number of customers, primarily in the United States, and no customer accounts for more than 10% of total revenue or gross accounts receivable in any period presented.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Company's marketable securities are classified as Level 1 or Level 2 of the fair value hierarchy as defined below. The carrying value of the Company’s long-term debt also approximates fair value based on management’s estimation that a current interest rate would not differ materially from the stated rate.</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12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 that are accessible at measurement date for assets or liabilities. The fair value hierarchy gives the highest priority to Level 1 inputs.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remaining maturities at the date of purchase of three months or less to be cash equivalents.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Company's marketable securities primarily consist of investments in money market funds, U.S. treasury securities and U.S. agency bonds. All of the Company's marketable securities are available-for-sale debt securities and are classified based on their maturities. Marketable securities with remaining maturities at the date of purchase of three months or less are classified as cash equivalents. Short term investments are securities that original or remaining maturity is greater than three months and not more than twelve months. Long-term investments are securities that original or remaining maturity is more than twelve months. All marketable securities are recorded at their estimated fair value. When the fair value of a security is below its amortized cost, the amortized cost will be reduced to its fair value if it is more likely than not that the Company will be required to sell the potentially impaired security before recovery of its amortized cost basis, or the Company has the intention to sell the security. If neither of these conditions are met, the Company determines whether the impairment is due to credit losses by comparing the present value of the expected cash flows of the security with its amortized cost basis. The amount of impairment recognized is limited to the excess of the amortized cost over the fair value of the security. An allowance for credit losses for the excess of amortized cost over the expected cash flows is recorded in other income, net in the consolidated statements of operations. Impairment losses that are not credit-related are included in accumulated other comprehensive income (loss) in stockholders’ equity.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net of allowances for credit losses for any potential uncollectible amounts. The allowance for credit losses is based on our assessment of the collectability of accounts. Management regularly reviews the adequacy of the allowance for credit losses on a collective basis by considering the age of each outstanding invoice, each customer’s expected ability to pay and collection history, current market conditions, and reasonable and supportable forecasts of future economic conditions to determine whether the allowance is appropriate. Accounts receivable are written-off and charged against an allowance for credit losses when the Company has exhausted collection efforts without success.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movement in the allowance for credit losses was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46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Write-offs</w:t>
            </w: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(14)</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400</w:t>
            </w:r>
          </w:p>
        </w:tc>
      </w:tr>
      <w:tr>
        <w:trPr>
          <w:trHeight w:val="21"/>
        </w:trPr>
        <w:tc>
          <w:tcPr>
            <w:tcW w:w="46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29"/>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Instrument trays</w:t>
            </w:r>
          </w:p>
        </w:tc>
        <w:tc>
          <w:tcPr>
            <w:tcW w:w="25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Machinery and equipment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30"/>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Furniture and fixtures</w:t>
            </w:r>
          </w:p>
        </w:tc>
        <w:tc>
          <w:tcPr>
            <w:tcW w:w="25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 years</w:t>
            </w:r>
          </w:p>
        </w:tc>
      </w:tr>
      <w:tr>
        <w:trPr>
          <w:trHeight w:val="22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Leasehold Improvement</w:t>
            </w:r>
          </w:p>
        </w:tc>
        <w:tc>
          <w:tcPr>
            <w:tcW w:w="60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Lesser of estimated useful life or remaining lease term</w:t>
            </w:r>
          </w:p>
        </w:tc>
      </w:tr>
    </w:tbl>
    <w:p>
      <w:pPr>
        <w:spacing w:after="0" w:line="49" w:lineRule="exact"/>
        <w:rPr>
          <w:sz w:val="20"/>
          <w:szCs w:val="20"/>
          <w:color w:val="auto"/>
        </w:rPr>
      </w:pPr>
    </w:p>
    <w:p>
      <w:pPr>
        <w:ind w:right="20" w:firstLine="445"/>
        <w:spacing w:after="0"/>
        <w:rPr>
          <w:sz w:val="20"/>
          <w:szCs w:val="20"/>
          <w:color w:val="auto"/>
        </w:rPr>
      </w:pPr>
      <w:r>
        <w:rPr>
          <w:rFonts w:ascii="Times New Roman" w:cs="Times New Roman" w:eastAsia="Times New Roman" w:hAnsi="Times New Roman"/>
          <w:sz w:val="18"/>
          <w:szCs w:val="18"/>
          <w:color w:val="auto"/>
        </w:rPr>
        <w:t>Construction in progress includes the cost of individual components of an instrument tray used for surgical placement of the Company's products that have not yet been placed into service. Once an instrument tray is placed into service, the Company transfers its carrying value into instrument trays and begins depreciating the cost of the instrument tray over its useful life. Individual components within an instrument tray may require replacement due to normal wear and tear or periodic loss.</w:t>
      </w:r>
    </w:p>
    <w:p>
      <w:pPr>
        <w:spacing w:after="0" w:line="2" w:lineRule="exact"/>
        <w:rPr>
          <w:sz w:val="20"/>
          <w:szCs w:val="20"/>
          <w:color w:val="auto"/>
        </w:rPr>
      </w:pPr>
    </w:p>
    <w:p>
      <w:pPr>
        <w:ind w:right="320" w:firstLine="445"/>
        <w:spacing w:after="0" w:line="239" w:lineRule="auto"/>
        <w:rPr>
          <w:sz w:val="20"/>
          <w:szCs w:val="20"/>
          <w:color w:val="auto"/>
        </w:rPr>
      </w:pPr>
      <w:r>
        <w:rPr>
          <w:rFonts w:ascii="Times New Roman" w:cs="Times New Roman" w:eastAsia="Times New Roman" w:hAnsi="Times New Roman"/>
          <w:sz w:val="18"/>
          <w:szCs w:val="18"/>
          <w:color w:val="auto"/>
        </w:rPr>
        <w:t>When an impairment or disposal of individual components or instrument trays occurs, the cost and related accumulated depreciation are removed from the consolidated balance sheet and the resulting gain or loss is recognized as a component of cost of goods sold in the consolidated statements of operations and comprehensive loss. Maintenance and repairs are charged to operations as incurred.</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amount of the assets (or asset group) may not be fully recoverable. Whenever events or changes in circumstances suggest that the carrying amount of long-lived assets may not be recoverable, the Company estimates the future cash flows expected to be generated by the assets (or asset group) from its use or eventual disposition. If the sum of the expected future cash flows is less than the carrying amount of those assets, the Company recognizes an impairment loss based on the excess of the carrying amount over the fair value of the assets. Significant management judgment is required in the grouping of long-lived assets and forecasts of future operating results that are used in the discounted cash flow method of valuation. For the years ended December 31, 2024, 2023, and 2022 the Company has not experienced impairment losses on its long-lived assets.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classification of leases is evaluated at commencement and, as necessary, at modification. Operating leases are included in operating lease right-of-use assets and operating lease liabilities on the consolidated balance sheets. The Company does not have any material finance leases in any of the periods presented.</w:t>
      </w:r>
    </w:p>
    <w:p>
      <w:pPr>
        <w:spacing w:after="0" w:line="12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Operating lease expense is recognized on a straight-line basis over the term of the lease. Variable lease payments are recognized as operating expenses in the period in which the obligation for those payments is incurred. Variable lease payments primarily include common area maintenance, utilities, real estate taxes and other operating costs that are passed on from the lessor in proportion to the space leased by the Company. The lease term represents the non-cancelable period of the lease. For certain leases, the Company has an option to extend the lease term. These renewal options are not considered in the remaining lease term unless it is reasonably certain that the Company will exercise such options.</w:t>
      </w:r>
    </w:p>
    <w:p>
      <w:pPr>
        <w:spacing w:after="0" w:line="12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elected certain practical expedients which are: (i) to not record leases with an initial term of twelve months or less on the balance sheet; (ii) to combine the lease and non-lease components in determining the lease liabilities and right-of-use assets, and (iii) to carry forward prior conclusions about lease identification and classification. The Company’s lease contracts do not provide an implicit borrowing rate; hence the Company determined the incremental borrowing rate based on information available at lease commencement to determine the present value of lease liability. The Company determines its incremental borrowing rate based on the rate of interest that the Company would have to pay to borrow on a collateralized basis over a similar term, an amount equal to the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payments in a similar economic environment. The Company uses its headquarters in the United States ("parent entity")’s incremental borrowing rates as the treasury operations are managed centrally by the parent entity.</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Company’s revenue is derived from the sale of its products to medical groups and hospitals through its direct sales force and third-party sales agents and resellers throughout the United States and Europe. The Company receives payment for its implants consumed during the surgery and does not receive additional or separate consideration for the use of the instrument tray furnished by the Company for the physicians’ use. The Company identifies the instrument trays as a lease component and the implants as a non-lease component in its arrangements with its customers. The Company determines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w:t>
      </w:r>
    </w:p>
    <w:p>
      <w:pPr>
        <w:spacing w:after="0" w:line="135"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control is transferred to the customer, in an amount that reflects the consideration the Company expects to be entitled to in exchange for the goods or services. Under the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third-party sales agents and to certain hospital or medical facilities where the products are ordered in advance of a procedure. The performance obligation is the delivery of the products and therefore, revenue is recognized upon shipment to the customers, net of rebates and price discounts. The Company accounts for rebates and price discounts as a reduction to revenue, calculated based on the terms agreed to with the customer. Sales prices are specified in either the customer contract or agreed price list,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distributors, which include standard terms that do not allow for payment contingent on resale of the product, obtaining financing, or other terms that could impact the distributor’s payment obligation. The Company's standard payment terms are generally net 30 to 90 days.</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Shipping and handling costs are treated as fulfillment costs, which are expensed as incurred and are included in cost of goods sold.</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Customer Contracts</w:t>
      </w:r>
    </w:p>
    <w:p>
      <w:pPr>
        <w:spacing w:after="0" w:line="22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Sales commissions and related expenses are considered incremental and recoverable costs of acquiring customer contracts. The Company’s sales commissions paid to its sales representatives are generally based on the surgeries performed. The Company applied the practical expedient that permits an entity to expense the cost to obtain a contract as incurred when the expected amortization is one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 or less. The period of benefit is concurrent with when the Company recognizes its revenue and as such, the Company recognizes sales commissions as expense when incurred.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has a warranty program that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 warranty is not priced or sold separately and is intended to safeguard the customer against defects and it does not provide incremental service to the customer. As such, it is considered an assurance type warranty and is not accounted as a service type warranty, which could represent a separate performance obligation. The Company accounts for these one-time credits as sales reserves and is included in accrued liabilities and other in the consolidated balance sheets. Sales and warranty reserves from the warranty program were immaterial as of December 31, 2024 and 2023.</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and consist of costs incurred by the Company for the development of the Company’s product which primarily include: (1) employee-related expenses, including salaries, benefits, travel and stock-based compensation expense;</w:t>
      </w: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and (3) other expenses, which include direct and allocated expenses for facilities and other costs.</w:t>
      </w:r>
    </w:p>
    <w:p>
      <w:pPr>
        <w:spacing w:after="0" w:line="14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Advertising Expenditures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cost of advertising is expensed as incurred and is included under sales and marketing expense in the consolidated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expenses were $0.5 million, $1.1 million and $1.6 million for the years ended December 31, 2024, 2023, and 2022 respectively.</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Contingency</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potential loss contingencies arising in the ordinary course of business. From time to time, the Company may be involved in certain proceedings, legal actions and claims. Such matters are subject to many uncertainties, and the outcomes of these matters are not within the Company's control and may not be known for prolonged periods of time. In some actions, the claimants may seek damages, as well as other relief, including injunctions which may prohibit the Company to engage in certain activities, which, if granted, could require significant expenditures and/or result in lost revenues. The Company records a liability in the consolidated financial statements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applies the fair value recognition provisions of stock-based compensation.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 The Company uses historical data to estimate pre-vesting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estimates the grant date fair value of stock options using the Black-Scholes option valuation model. The model requires management to make a number of assumptions including expected volatility, expected term, risk-free interest rate and expected dividends. A number of these assumptions are subjective, and their determination generally require judgment.</w:t>
      </w:r>
    </w:p>
    <w:p>
      <w:pPr>
        <w:spacing w:after="0" w:line="120" w:lineRule="exact"/>
        <w:rPr>
          <w:sz w:val="20"/>
          <w:szCs w:val="20"/>
          <w:color w:val="auto"/>
        </w:rPr>
      </w:pPr>
    </w:p>
    <w:p>
      <w:pPr>
        <w:jc w:val="both"/>
        <w:ind w:left="420" w:hanging="331"/>
        <w:spacing w:after="0" w:line="267" w:lineRule="auto"/>
        <w:tabs>
          <w:tab w:leader="none" w:pos="415"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The expected term represents the period that the share-based awards are expected to be outstanding. The Company uses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simplified method to determine the expected term as permitted by the guidance. The simplified method is calculated as the average of the time to vesting and the contractual life of the options.</w:t>
      </w:r>
    </w:p>
    <w:p>
      <w:pPr>
        <w:spacing w:after="0" w:line="119" w:lineRule="exact"/>
        <w:rPr>
          <w:rFonts w:ascii="Times New Roman" w:cs="Times New Roman" w:eastAsia="Times New Roman" w:hAnsi="Times New Roman"/>
          <w:sz w:val="18"/>
          <w:szCs w:val="18"/>
          <w:i w:val="1"/>
          <w:iCs w:val="1"/>
          <w:color w:val="auto"/>
        </w:rPr>
      </w:pPr>
    </w:p>
    <w:p>
      <w:pPr>
        <w:ind w:left="400" w:hanging="311"/>
        <w:spacing w:after="0"/>
        <w:tabs>
          <w:tab w:leader="none" w:pos="40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The expected volatility is measured using the historical daily changes in the market price of the Company's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common stock over a period consistent with the expected term.</w:t>
      </w:r>
    </w:p>
    <w:p>
      <w:pPr>
        <w:spacing w:after="0" w:line="169" w:lineRule="exact"/>
        <w:rPr>
          <w:sz w:val="20"/>
          <w:szCs w:val="20"/>
          <w:color w:val="auto"/>
        </w:rPr>
      </w:pPr>
    </w:p>
    <w:p>
      <w:pPr>
        <w:ind w:left="420" w:hanging="331"/>
        <w:spacing w:after="0" w:line="284" w:lineRule="auto"/>
        <w:tabs>
          <w:tab w:leader="none" w:pos="415"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interest rate is based on the U.S. Treasury zero coupon issued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expected term of the option.</w:t>
      </w:r>
    </w:p>
    <w:p>
      <w:pPr>
        <w:spacing w:after="0" w:line="104" w:lineRule="exact"/>
        <w:rPr>
          <w:rFonts w:ascii="Times New Roman" w:cs="Times New Roman" w:eastAsia="Times New Roman" w:hAnsi="Times New Roman"/>
          <w:sz w:val="18"/>
          <w:szCs w:val="18"/>
          <w:i w:val="1"/>
          <w:iCs w:val="1"/>
          <w:color w:val="auto"/>
        </w:rPr>
      </w:pPr>
    </w:p>
    <w:p>
      <w:pPr>
        <w:ind w:left="420" w:hanging="331"/>
        <w:spacing w:after="0" w:line="284" w:lineRule="auto"/>
        <w:tabs>
          <w:tab w:leader="none" w:pos="415"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The Company has not paid any dividends and has no current plans to pay dividends on its common stock. As such,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uses expected dividend yield of zero.</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the restricted stock unit (“RSU”) grant is based on the market price of the Company’s common stock on the date of grant.</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grants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For these awards that are subject to market-related performance, the fair value is determined based on the number of shares granted and a Monte Carlo valuation model, which incorporates the probability of the achievement of the market-related performance goals as part of the grant date fair value. If such performance goals are not ultimately met, the expense is not reversed. Stock-based compensation expense is recognized ratably over the requisite service period.</w:t>
      </w:r>
    </w:p>
    <w:p>
      <w:pPr>
        <w:spacing w:after="0" w:line="133"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In the event the underlying terms of stock awards are modified on which stock-based compensation was granted, additional expense is recognized for any modification that increases the total fair value of the share-based payment arrangement at the modification date.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uncertain tax positions when it meets a more-likely-than-not threshold. The Company recognizes potential accrued interest and penalties related to unrecognized tax benefits as income tax expense.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of Common Stock</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common stock options, restricted stock units, ESPP purchase rights and warrants are considered to be potentially dilutive securities. Because the Company has reported a net loss in all periods presented, common stock options, restricted stock units, ESPP purchase rights and warrants are anti-dilutive, therefore diluted net loss per common share is the same as basic net loss per common share for those periods.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Comprehensive loss represents changes in the stockholders’ equity except those resulting from distributions to stockholders. The Company’s unrealized foreign currency translation income (losses) and unrealized gains (losses) on marketable securities represent the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two components of other comprehensive income that are excluded from the reported net loss for each of the reporting periods and has been presented in the consolidated statements of operations and comprehensive loss.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equity section of the consolidated balance sheet. The Company determined that the warrants for shares of common stock issued in connection with its prior debt arrangements are required to be classified in equity. Warrants classified as equity are recorded as additional paid-in capital on the consolidated balance sheet and no further adjustments to their valuation are made.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The Company is currently evaluating the impacts of ASU 2023-09 on its disclosures.</w:t>
      </w:r>
    </w:p>
    <w:p>
      <w:pPr>
        <w:spacing w:after="0" w:line="18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of the Company's marketable securities were available-for-sale debt securities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the marketable securities:</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8"/>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Pr>
          <w:p>
            <w:pPr>
              <w:spacing w:after="0"/>
              <w:rPr>
                <w:sz w:val="13"/>
                <w:szCs w:val="13"/>
                <w:color w:val="auto"/>
              </w:rPr>
            </w:pPr>
          </w:p>
        </w:tc>
        <w:tc>
          <w:tcPr>
            <w:tcW w:w="14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1220" w:type="dxa"/>
            <w:vAlign w:val="bottom"/>
            <w:gridSpan w:val="2"/>
          </w:tcPr>
          <w:p>
            <w:pPr>
              <w:jc w:val="right"/>
              <w:ind w:right="11"/>
              <w:spacing w:after="0" w:line="158" w:lineRule="exact"/>
              <w:rPr>
                <w:sz w:val="20"/>
                <w:szCs w:val="20"/>
                <w:color w:val="auto"/>
              </w:rPr>
            </w:pPr>
            <w:r>
              <w:rPr>
                <w:rFonts w:ascii="Times New Roman" w:cs="Times New Roman" w:eastAsia="Times New Roman" w:hAnsi="Times New Roman"/>
                <w:sz w:val="16"/>
                <w:szCs w:val="16"/>
                <w:b w:val="1"/>
                <w:bCs w:val="1"/>
                <w:color w:val="auto"/>
              </w:rPr>
              <w:t>Aggregate Fair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Borders>
              <w:bottom w:val="single" w:sz="8" w:color="auto"/>
            </w:tcBorders>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gridSpan w:val="8"/>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27,326</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5"/>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bonds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115,004</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left="712"/>
              <w:spacing w:after="0"/>
              <w:rPr>
                <w:sz w:val="20"/>
                <w:szCs w:val="20"/>
                <w:color w:val="auto"/>
              </w:rPr>
            </w:pPr>
            <w:r>
              <w:rPr>
                <w:rFonts w:ascii="Times New Roman" w:cs="Times New Roman" w:eastAsia="Times New Roman" w:hAnsi="Times New Roman"/>
                <w:sz w:val="18"/>
                <w:szCs w:val="18"/>
                <w:color w:val="auto"/>
                <w:w w:val="95"/>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142,330</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5"/>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Pr>
          <w:p>
            <w:pPr>
              <w:spacing w:after="0"/>
              <w:rPr>
                <w:sz w:val="13"/>
                <w:szCs w:val="13"/>
                <w:color w:val="auto"/>
              </w:rPr>
            </w:pPr>
          </w:p>
        </w:tc>
        <w:tc>
          <w:tcPr>
            <w:tcW w:w="14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3"/>
                <w:szCs w:val="13"/>
                <w:color w:val="auto"/>
              </w:rPr>
            </w:pPr>
          </w:p>
        </w:tc>
        <w:tc>
          <w:tcPr>
            <w:tcW w:w="12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Aggregate Fair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gridSpan w:val="8"/>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bonds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132,683</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132,748</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60" w:type="dxa"/>
            <w:vAlign w:val="bottom"/>
            <w:tcBorders>
              <w:bottom w:val="single" w:sz="8" w:color="auto"/>
            </w:tcBorders>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156,014</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156,079</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As of December 31, 2024 and 2023, unrealized gains and losses from the investments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consolidated balance sheets during the years ended December 31, 2024 and 2023.</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elected to present accrued interest receivable separately from short-term investments on its consolidated balance sheets. Accrued interest receivables were $0.3 million and $0.2 million as of December 31, 2024 and 2023, respectively, and were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years ended December 31, 2024, 2023, and 2022.</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requires fair value hierarchy measurements and disclosures for the periods presented.</w:t>
      </w:r>
    </w:p>
    <w:p>
      <w:pPr>
        <w:spacing w:after="0" w:line="180"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table below summarizes the fair value of the Company’s marketable securities measured at fair value on a recurring basis based on the three-tier fair value hierarchy:</w:t>
      </w:r>
    </w:p>
    <w:p>
      <w:pPr>
        <w:spacing w:after="0" w:line="83"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1"/>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1"/>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27,326</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112,738</w:t>
            </w:r>
          </w:p>
        </w:tc>
      </w:tr>
      <w:tr>
        <w:trPr>
          <w:trHeight w:val="229"/>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U.S. agency bonds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r>
      <w:tr>
        <w:trPr>
          <w:trHeight w:val="248"/>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70"/>
        </w:trPr>
        <w:tc>
          <w:tcPr>
            <w:tcW w:w="5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1"/>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1"/>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129,762</w:t>
            </w:r>
          </w:p>
        </w:tc>
      </w:tr>
      <w:tr>
        <w:trPr>
          <w:trHeight w:val="230"/>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U.S. agency bonds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48"/>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60" w:right="8960" w:hanging="452"/>
        <w:spacing w:after="0" w:line="471" w:lineRule="auto"/>
        <w:tabs>
          <w:tab w:leader="none" w:pos="19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Balance Sheet Components </w:t>
      </w:r>
      <w:r>
        <w:rPr>
          <w:rFonts w:ascii="Times New Roman" w:cs="Times New Roman" w:eastAsia="Times New Roman" w:hAnsi="Times New Roman"/>
          <w:sz w:val="18"/>
          <w:szCs w:val="18"/>
          <w:b w:val="1"/>
          <w:bCs w:val="1"/>
          <w:i w:val="1"/>
          <w:iCs w:val="1"/>
          <w:color w:val="auto"/>
        </w:rPr>
        <w:t>Inventory</w:t>
      </w:r>
    </w:p>
    <w:p>
      <w:pPr>
        <w:spacing w:after="0" w:line="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2024, inventory consisted of finished goods of $24.0 million and work-in-progress and components of $3.1 million. As of December 31, 2023, inventory consisted of finished goods of $18.8 million and work-in-progress and components of $1.4 million.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r>
        <w:rPr>
          <w:rFonts w:ascii="Times New Roman" w:cs="Times New Roman" w:eastAsia="Times New Roman" w:hAnsi="Times New Roman"/>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Instrument trays</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Machinery and equipment</w:t>
            </w:r>
          </w:p>
        </w:tc>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Leasehold improvements</w:t>
            </w:r>
          </w:p>
        </w:tc>
        <w:tc>
          <w:tcPr>
            <w:tcW w:w="3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Furniture and fixtures</w:t>
            </w:r>
          </w:p>
        </w:tc>
        <w:tc>
          <w:tcPr>
            <w:tcW w:w="3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36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December 31, 2024, construction in progress pertains to cost of individual components of an instrument tray used for surgical placement of the Company's products that have not yet been placed into service of $5.6 million and software costs of $0.6 million. Depreciation expense was $4.4 million, $5.4 million and $3.4 million for the years ended December 31, 2024, 2023, and 2022,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 and Other</w:t>
      </w:r>
      <w:r>
        <w:rPr>
          <w:rFonts w:ascii="Times New Roman" w:cs="Times New Roman" w:eastAsia="Times New Roman" w:hAnsi="Times New Roman"/>
          <w:sz w:val="18"/>
          <w:szCs w:val="18"/>
          <w:color w:val="auto"/>
        </w:rPr>
        <w:t>:</w:t>
      </w:r>
    </w:p>
    <w:p>
      <w:pPr>
        <w:spacing w:after="0" w:line="131"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1"/>
        </w:trPr>
        <w:tc>
          <w:tcPr>
            <w:tcW w:w="7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w:t>
            </w:r>
          </w:p>
        </w:tc>
      </w:tr>
      <w:tr>
        <w:trPr>
          <w:trHeight w:val="230"/>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royalty</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29"/>
        </w:trPr>
        <w:tc>
          <w:tcPr>
            <w:tcW w:w="7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9"/>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rebates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30"/>
        </w:trPr>
        <w:tc>
          <w:tcPr>
            <w:tcW w:w="7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23"/>
        </w:trPr>
        <w:tc>
          <w:tcPr>
            <w:tcW w:w="76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r>
      <w:tr>
        <w:trPr>
          <w:trHeight w:val="21"/>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a non-cancelable operating lease for an office building space, located in Santa Clara, California, with an original lease period expiring in May 2025. On July 18, 2024, the Company extended the term of the lease for an additional period of fourteen months commencing on June 1, 2025 and expiring July 31, 2026.</w:t>
      </w:r>
    </w:p>
    <w:p>
      <w:pPr>
        <w:spacing w:after="0" w:line="12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 also has non-cancelable leases for a building used for research and development and warehouse space in Santa Clara, California which expires in October 2026, and office building space in Gallarate, Italy which expires in August 2027.</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Company also leases vehicles under operating lease arrangements for certain of its personnel in Europe which expire at various times throughout 2025 to 2028.</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information related to lease expense and valuation of the lease assets and lease liabilities are as follows:</w:t>
      </w: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6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5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7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gridSpan w:val="3"/>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Pr>
          <w:p>
            <w:pPr>
              <w:spacing w:after="0"/>
              <w:rPr>
                <w:sz w:val="18"/>
                <w:szCs w:val="18"/>
                <w:color w:val="auto"/>
              </w:rPr>
            </w:pPr>
          </w:p>
        </w:tc>
      </w:tr>
      <w:tr>
        <w:trPr>
          <w:trHeight w:val="25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1,552</w:t>
            </w:r>
          </w:p>
        </w:tc>
      </w:tr>
      <w:tr>
        <w:trPr>
          <w:trHeight w:val="25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r>
      <w:tr>
        <w:trPr>
          <w:trHeight w:val="248"/>
        </w:trPr>
        <w:tc>
          <w:tcPr>
            <w:tcW w:w="7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lease expense</w:t>
            </w: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1,632</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5"/>
        </w:trPr>
        <w:tc>
          <w:tcPr>
            <w:tcW w:w="7400" w:type="dxa"/>
            <w:vAlign w:val="bottom"/>
          </w:tcPr>
          <w:p>
            <w:pPr>
              <w:spacing w:after="0"/>
              <w:rPr>
                <w:sz w:val="23"/>
                <w:szCs w:val="23"/>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3"/>
                <w:szCs w:val="23"/>
                <w:color w:val="auto"/>
              </w:rPr>
            </w:pPr>
          </w:p>
        </w:tc>
        <w:tc>
          <w:tcPr>
            <w:tcW w:w="6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70"/>
        </w:trPr>
        <w:tc>
          <w:tcPr>
            <w:tcW w:w="7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5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5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r>
      <w:tr>
        <w:trPr>
          <w:trHeight w:val="25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r>
    </w:tbl>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December 31, 2024 was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tbl>
      <w:tblPr>
        <w:tblLayout w:type="fixed"/>
        <w:tblInd w:w="46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5720" w:type="dxa"/>
            <w:vAlign w:val="bottom"/>
            <w:gridSpan w:val="2"/>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SI-BONE, INC.</w:t>
            </w:r>
          </w:p>
        </w:tc>
        <w:tc>
          <w:tcPr>
            <w:tcW w:w="1280" w:type="dxa"/>
            <w:vAlign w:val="bottom"/>
          </w:tcPr>
          <w:p>
            <w:pPr>
              <w:spacing w:after="0"/>
              <w:rPr>
                <w:sz w:val="18"/>
                <w:szCs w:val="18"/>
                <w:color w:val="auto"/>
              </w:rPr>
            </w:pPr>
          </w:p>
        </w:tc>
      </w:tr>
      <w:tr>
        <w:trPr>
          <w:trHeight w:val="238"/>
        </w:trPr>
        <w:tc>
          <w:tcPr>
            <w:tcW w:w="2520" w:type="dxa"/>
            <w:vAlign w:val="bottom"/>
          </w:tcPr>
          <w:p>
            <w:pPr>
              <w:spacing w:after="0"/>
              <w:rPr>
                <w:sz w:val="20"/>
                <w:szCs w:val="20"/>
                <w:color w:val="auto"/>
              </w:rPr>
            </w:pPr>
          </w:p>
        </w:tc>
        <w:tc>
          <w:tcPr>
            <w:tcW w:w="57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280" w:type="dxa"/>
            <w:vAlign w:val="bottom"/>
          </w:tcPr>
          <w:p>
            <w:pPr>
              <w:spacing w:after="0"/>
              <w:rPr>
                <w:sz w:val="20"/>
                <w:szCs w:val="20"/>
                <w:color w:val="auto"/>
              </w:rPr>
            </w:pPr>
          </w:p>
        </w:tc>
      </w:tr>
      <w:tr>
        <w:trPr>
          <w:trHeight w:val="780"/>
        </w:trPr>
        <w:tc>
          <w:tcPr>
            <w:tcW w:w="25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54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23"/>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2024, the Company had no operating lease liabilities that had not commenced.</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and Obligations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has certain purchase commitments related to its inventory management with certain manufacturing suppliers based on the agreements or blanket purchase orders.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$0.4 million and $0.4 million as of December 31, 2024 and 2023, respectively.</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21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not incurred costs to defend lawsuits or settle claims related to these indemnification agreements. No liability associated with such indemnifications has been recorded to date.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October 2024, the Company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 care professionals. The Company is cooperating with the Investigation but is currently unable to express a view regarding the likely duration, or ultimate outcome, of the Investigation or estimate the possibility of, or amount or range of, any possible financial impact. Depending on how the Investigation progresses, there may be a material impact on the Company’s business, results of operations, or financial condition.</w:t>
      </w:r>
    </w:p>
    <w:p>
      <w:pPr>
        <w:spacing w:after="0" w:line="13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its business. Except in regard to the Investigation, the Company is not presently a party to any material legal proceedings that, if determined adversely to the Company, would have a material adverse effect on the Company.</w:t>
      </w:r>
    </w:p>
    <w:p>
      <w:pPr>
        <w:spacing w:after="0" w:line="118" w:lineRule="exact"/>
        <w:rPr>
          <w:sz w:val="20"/>
          <w:szCs w:val="20"/>
          <w:color w:val="auto"/>
        </w:rPr>
      </w:pPr>
    </w:p>
    <w:p>
      <w:pPr>
        <w:ind w:left="500" w:right="9920" w:hanging="492"/>
        <w:spacing w:after="0" w:line="565" w:lineRule="auto"/>
        <w:tabs>
          <w:tab w:leader="none" w:pos="194"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Borrowings </w:t>
      </w:r>
      <w:r>
        <w:rPr>
          <w:rFonts w:ascii="Times New Roman" w:cs="Times New Roman" w:eastAsia="Times New Roman" w:hAnsi="Times New Roman"/>
          <w:sz w:val="17"/>
          <w:szCs w:val="17"/>
          <w:b w:val="1"/>
          <w:bCs w:val="1"/>
          <w:i w:val="1"/>
          <w:iCs w:val="1"/>
          <w:color w:val="auto"/>
        </w:rPr>
        <w:t>Term Loan</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summarizes the outstanding borrowings from the term loan as of the periods presented: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7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31"/>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Principal Outstanding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29"/>
        </w:trPr>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Final payment fee</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3"/>
        </w:trPr>
        <w:tc>
          <w:tcPr>
            <w:tcW w:w="7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Principal outstanding and final payment fee</w:t>
            </w: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36,720</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Less: Unamortized debt issuance costs and lender fees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Outstanding debt, net of debt issuance costs and unaccreted value of final fee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Classified as: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7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Long-term borrowings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outstanding debt is related to a Loan and Security Agreement dated August 12, 2021 (the "Original Loan Agreement") entered into by the Company with Silicon Valley Bank, a California corporation (“SVB”). Pursuant to the Original Loan Agreement, SVB provided a term loan in the aggregate principal amount of $35.0 million to the Company (the “Original Term Loan”).</w:t>
      </w:r>
    </w:p>
    <w:p>
      <w:pPr>
        <w:spacing w:after="0" w:line="183"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color w:val="auto"/>
        </w:rPr>
        <w:t>On January 6, 2023, the Company entered into a First Amendment to Loan and Security Agreement with SVB pursuant to which the Company received a new term loan facility in an aggregate principal amount of $36.0 million (the "First Amendment" and with the Original Loan Agreement, collectively the "Amended Loan Agreement”). Upon entry into the Amended Loan Agreement, the Company borrowed $36.0 million pursuant to the term loan (the "First Amendment Term Loan"), which was substantially used to repay in full the $35.0 million Original Term Loan outstanding under the Original Loan Agreement and the Company obtained a secured revolving credit facility in an aggregate principal amount of up to $15.0 million (the “Revolving Line”). The First Amendment also provided for a final payment fee payable to SVB of 2% of the original principal amount of the First Amendment Term Loan due upon the earlier of the First Amendment Term Loan Maturity Date, termination of the Amended Loan Agreement, acceleration by the Lender following an event of default, or prepayment of the First Amendment Term Loan.</w:t>
      </w:r>
    </w:p>
    <w:p>
      <w:pPr>
        <w:spacing w:after="0" w:line="14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January 25, 2024, the Company entered into a Second Amendment to Loan and Security Agreement with Silicon Valley Bank, a division of First-Citizens Bank &amp; Trust Company, as successor in interest to SVB ("First Citizens") which amended the Company's Amended Loan Agreement (the “Second Amendment” and together with the Amended Loan Agreement, collectively, the “Second Amended Loan Agreement”). The Second Amendment revised certain provisions related to financial covenants and the periods in which such covenants applied.</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On November 8, 2024, the Company entered into a Third Amendment to the Loan and Security Agreement with First-Citizens (the “Third Amendment” and together with the Second Amended Loan Agreement, collectively, the “Third Amended Loan Agreement”), pursuant to which a new term loan in the original aggregate principal amount of $36.0 million was extended by First-Citizens to the Company (the “Third Amendment Term Loan”), which was substantially used to refinance and repay in full the then-outstanding $36.0 million existing First Amendment Term Loan. The Company also paid a final payment fee of $0.7 million due relative to such prior First Amendment Term Loan. The Third Amendment sets the maturity date for the Third Amendment Term Loan as September 1, 2029 (the “Third Amendment Term Loan Maturity Date”), set the first principal repayment due date relative to the Third Amendment Term Loan to October 1, 2027; provided that upon the achievement of the Performance Milestone (as defined in the Third Amendment), the first principal payment shall become due on October 1, 2028. Interest on the Third Amendment Term Loan will be payable monthly at a floating rate per annum equal to the greater of 4.25% and the WSJ Prime Rate minus 0.5%. The Company may elect to prepay the Third Amendment Term Loan in whole prior to the Third Amendment Term Loan Term Loan Maturity Date, subject to a prepayment fee equal to 1.5% of the original principal amount of the Third Amendment Term Loan if the loan is prepaid within 18 months following the closing of the Third Amendment. The Third Amendment further revised certain provisions related to financial covenants and the periods in which such covenants apply.</w:t>
      </w:r>
    </w:p>
    <w:p>
      <w:pPr>
        <w:spacing w:after="0" w:line="13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accounted for the Third Amended Loan Agreement as a debt modification. Accordingly, the remaining unamortized debt issuance costs related to the Second Amended Loan Agreement together with any lender fees incurred in connection with the entry of the Third Amended Loan Agreement are amortized to interest expense using the straight-line method over the new term of the loan through August 2029.</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effective interest rates were 9.1%, 9.0% and 7.8% for the years ended December 31, 2024, 2023, and 2022 respectively.</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the future principal payments under the Third Amendment Term Loan as of December 31, 2024:</w:t>
      </w:r>
    </w:p>
    <w:p>
      <w:pPr>
        <w:spacing w:after="0" w:line="255"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77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Pr>
          <w:p>
            <w:pPr>
              <w:spacing w:after="0"/>
              <w:rPr>
                <w:sz w:val="18"/>
                <w:szCs w:val="18"/>
                <w:color w:val="auto"/>
              </w:rPr>
            </w:pP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2"/>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23"/>
        </w:trPr>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principal payments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36,000</w:t>
            </w:r>
          </w:p>
        </w:tc>
      </w:tr>
      <w:tr>
        <w:trPr>
          <w:trHeight w:val="21"/>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Third Amended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December 31, 2024, the Company was in compliance with all debt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2023, a warrant holder exercised warrants, and the Company issued 22,603 net shares of common stock through a cashless exercise of the warrants in accordance with the conversion terms. The table below summarizes common stock warrants issued and outstanding as of December 31, 2024 and 2023:</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05"/>
        </w:trPr>
        <w:tc>
          <w:tcPr>
            <w:tcW w:w="10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9"/>
                <w:szCs w:val="9"/>
                <w:color w:val="auto"/>
              </w:rPr>
            </w:pPr>
          </w:p>
        </w:tc>
        <w:tc>
          <w:tcPr>
            <w:tcW w:w="12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Price per</w:t>
            </w: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center"/>
              <w:ind w:left="1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Warrant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37"/>
        </w:trPr>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Warrants Issued</w:t>
            </w:r>
          </w:p>
        </w:tc>
        <w:tc>
          <w:tcPr>
            <w:tcW w:w="1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Warrant Expired</w:t>
            </w:r>
          </w:p>
        </w:tc>
        <w:tc>
          <w:tcPr>
            <w:tcW w:w="10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340" w:type="dxa"/>
            <w:vAlign w:val="bottom"/>
            <w:gridSpan w:val="2"/>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380" w:type="dxa"/>
            <w:vAlign w:val="bottom"/>
            <w:gridSpan w:val="2"/>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1060" w:type="dxa"/>
            <w:vAlign w:val="bottom"/>
            <w:tcBorders>
              <w:top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3/1/2017</w:t>
            </w:r>
          </w:p>
        </w:tc>
        <w:tc>
          <w:tcPr>
            <w:tcW w:w="140" w:type="dxa"/>
            <w:vAlign w:val="bottom"/>
            <w:tcBorders>
              <w:top w:val="single" w:sz="8" w:color="auto"/>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3/1/2027</w:t>
            </w:r>
          </w:p>
        </w:tc>
        <w:tc>
          <w:tcPr>
            <w:tcW w:w="100" w:type="dxa"/>
            <w:vAlign w:val="bottom"/>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9"/>
                <w:szCs w:val="19"/>
                <w:color w:val="auto"/>
              </w:rPr>
            </w:pPr>
          </w:p>
        </w:tc>
        <w:tc>
          <w:tcPr>
            <w:tcW w:w="128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70"/>
        </w:trPr>
        <w:tc>
          <w:tcPr>
            <w:tcW w:w="10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11/26/2014</w:t>
            </w:r>
          </w:p>
        </w:tc>
        <w:tc>
          <w:tcPr>
            <w:tcW w:w="146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7"/>
              </w:rPr>
              <w:t>11/26/2024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tcPr>
          <w:p>
            <w:pPr>
              <w:spacing w:after="0"/>
              <w:rPr>
                <w:sz w:val="23"/>
                <w:szCs w:val="23"/>
                <w:color w:val="auto"/>
              </w:rPr>
            </w:pPr>
          </w:p>
        </w:tc>
        <w:tc>
          <w:tcPr>
            <w:tcW w:w="12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0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10/20/2015</w:t>
            </w:r>
          </w:p>
        </w:tc>
        <w:tc>
          <w:tcPr>
            <w:tcW w:w="1460" w:type="dxa"/>
            <w:vAlign w:val="bottom"/>
            <w:gridSpan w:val="3"/>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10/20/2025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100" w:type="dxa"/>
            <w:vAlign w:val="bottom"/>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shd w:val="clear" w:color="auto" w:fill="CCEEFF"/>
          </w:tcPr>
          <w:p>
            <w:pPr>
              <w:spacing w:after="0"/>
              <w:rPr>
                <w:sz w:val="22"/>
                <w:szCs w:val="22"/>
                <w:color w:val="auto"/>
              </w:rPr>
            </w:pPr>
          </w:p>
        </w:tc>
        <w:tc>
          <w:tcPr>
            <w:tcW w:w="1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0" w:type="dxa"/>
            <w:vAlign w:val="bottom"/>
          </w:tcPr>
          <w:p>
            <w:pPr>
              <w:spacing w:after="0"/>
              <w:rPr>
                <w:sz w:val="1"/>
                <w:szCs w:val="1"/>
                <w:color w:val="auto"/>
              </w:rPr>
            </w:pPr>
          </w:p>
        </w:tc>
      </w:tr>
      <w:tr>
        <w:trPr>
          <w:trHeight w:val="270"/>
        </w:trPr>
        <w:tc>
          <w:tcPr>
            <w:tcW w:w="10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11/09/2015</w:t>
            </w:r>
          </w:p>
        </w:tc>
        <w:tc>
          <w:tcPr>
            <w:tcW w:w="146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7"/>
              </w:rPr>
              <w:t>11/09/2025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tcPr>
          <w:p>
            <w:pPr>
              <w:spacing w:after="0"/>
              <w:rPr>
                <w:sz w:val="23"/>
                <w:szCs w:val="23"/>
                <w:color w:val="auto"/>
              </w:rPr>
            </w:pPr>
          </w:p>
        </w:tc>
        <w:tc>
          <w:tcPr>
            <w:tcW w:w="12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0" w:type="dxa"/>
            <w:vAlign w:val="bottom"/>
          </w:tcPr>
          <w:p>
            <w:pPr>
              <w:spacing w:after="0"/>
              <w:rPr>
                <w:sz w:val="1"/>
                <w:szCs w:val="1"/>
                <w:color w:val="auto"/>
              </w:rPr>
            </w:pPr>
          </w:p>
        </w:tc>
      </w:tr>
      <w:tr>
        <w:trPr>
          <w:trHeight w:val="270"/>
        </w:trPr>
        <w:tc>
          <w:tcPr>
            <w:tcW w:w="10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12/22/2016</w:t>
            </w:r>
          </w:p>
        </w:tc>
        <w:tc>
          <w:tcPr>
            <w:tcW w:w="1460" w:type="dxa"/>
            <w:vAlign w:val="bottom"/>
            <w:gridSpan w:val="3"/>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12/22/2026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100" w:type="dxa"/>
            <w:vAlign w:val="bottom"/>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78,459</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and Preferred Stock</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as last amended in June 2024, authorizes the Company to issue 100,000,000 shares of common stock and 5,000,000 shares of preferred stock, each having a par value of $0.0001. Common stock issued and outstanding as of December 31, 2024 and 2023 were 42,086,477 shares and 40,693,299 shares, respectively. As of December 31, 2024 and 2023, there was no preferred stock issued and outstanding.</w:t>
      </w:r>
    </w:p>
    <w:p>
      <w:pPr>
        <w:spacing w:after="0" w:line="180"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whenever funds are legally available, as, when, and if declared by the Board of Directors. There have been no dividends declared to date.</w:t>
      </w: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2008 Stock Option Plan and 2018 Equity Incentive Plan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April 2008, the Company adopted the 2008 Stock Option Plan (the “2008 SOP”), as amended, under which the Board of Directors may issue incentive and non-qualified stock options to employees, directors and consultants. In October 2018, the Company adopted the 2018 Equity Incentive Plan (the “2018 EIP”), which serves as the successor to the 2008 SOP, under which the Board of Directors may issue incentive and non-qualified stock options, RSUs and PSUs to employees, directors and consultants. No new options have been granted under the 2008 SOP since August 2018. Outstanding options under the 2008 SOP continue to be subject to the terms and conditions of that plan.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under the 2018 EIP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As of December 31, 2024, a total of 5,208,332 shares of common stock are available for future grants under the 2018 EIP. On January 1, 2025, the total number of shares of common stock reserved for issuance under the 2018 EIP automatically increased by 2,104,324 shares.</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Options granted have a term of 10 years, except, options granted to individuals holding more than 10% of the outstanding shares have a term of five years. Options generally vest over a four-year period. RSUs granted under the 2018 EIP generally vest over one to four years based upon continued services and are settled at vesting in shares of the Company's common stock.</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years ended December 31, 2024 and 2023:</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4"/>
                <w:szCs w:val="14"/>
                <w:color w:val="auto"/>
              </w:rPr>
            </w:pPr>
          </w:p>
        </w:tc>
        <w:tc>
          <w:tcPr>
            <w:tcW w:w="114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4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3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 Life</w:t>
            </w:r>
          </w:p>
        </w:tc>
        <w:tc>
          <w:tcPr>
            <w:tcW w:w="120" w:type="dxa"/>
            <w:vAlign w:val="bottom"/>
          </w:tcPr>
          <w:p>
            <w:pPr>
              <w:spacing w:after="0"/>
              <w:rPr>
                <w:sz w:val="14"/>
                <w:szCs w:val="14"/>
                <w:color w:val="auto"/>
              </w:rPr>
            </w:pPr>
          </w:p>
        </w:tc>
        <w:tc>
          <w:tcPr>
            <w:tcW w:w="114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12"/>
        </w:trPr>
        <w:tc>
          <w:tcPr>
            <w:tcW w:w="574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1,188,708</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(143,685)</w:t>
            </w:r>
          </w:p>
        </w:tc>
        <w:tc>
          <w:tcPr>
            <w:tcW w:w="13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$3.96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Canceled and 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3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$11.97</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1,041,131</w:t>
            </w:r>
          </w:p>
        </w:tc>
        <w:tc>
          <w:tcPr>
            <w:tcW w:w="1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Options vested and exercisable as of December 31, 2024</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1,041,131</w:t>
            </w:r>
          </w:p>
        </w:tc>
        <w:tc>
          <w:tcPr>
            <w:tcW w:w="1380" w:type="dxa"/>
            <w:vAlign w:val="bottom"/>
            <w:gridSpan w:val="2"/>
          </w:tcPr>
          <w:p>
            <w:pPr>
              <w:jc w:val="center"/>
              <w:ind w:left="30"/>
              <w:spacing w:after="0" w:line="203" w:lineRule="exact"/>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2.83</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5,917</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vested and expected to vest as of December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1,041,131</w:t>
            </w:r>
          </w:p>
        </w:tc>
        <w:tc>
          <w:tcPr>
            <w:tcW w:w="1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2024, 2023 and 2022 amounted to $1.6 million, $11.7 million and $1.0 million, respectively, representing the difference between the fair value of the Company's common stock at the date of exercise and the exercise price paid. The aggregate intrinsic values of options outstanding, options vested and exercisable, and options vested and expected to vest as of December 31, 2024 represents the difference between the exercise price and the closing price of the Company’s common stock on the last trading day of the year.</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Outstanding options and exercisable options information by range of exercise prices as of December 31, 2024 was as follows:</w:t>
      </w:r>
    </w:p>
    <w:p>
      <w:pPr>
        <w:spacing w:after="0" w:line="201"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Options Vested and Exercisable</w:t>
            </w:r>
          </w:p>
        </w:tc>
        <w:tc>
          <w:tcPr>
            <w:tcW w:w="0" w:type="dxa"/>
            <w:vAlign w:val="bottom"/>
          </w:tcPr>
          <w:p>
            <w:pPr>
              <w:spacing w:after="0"/>
              <w:rPr>
                <w:sz w:val="1"/>
                <w:szCs w:val="1"/>
                <w:color w:val="auto"/>
              </w:rPr>
            </w:pPr>
          </w:p>
        </w:tc>
      </w:tr>
      <w:tr>
        <w:trPr>
          <w:trHeight w:val="240"/>
        </w:trPr>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17"/>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38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2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480" w:type="dxa"/>
            <w:vAlign w:val="bottom"/>
          </w:tcPr>
          <w:p>
            <w:pPr>
              <w:jc w:val="center"/>
              <w:ind w:right="117"/>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3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14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25"/>
        </w:trPr>
        <w:tc>
          <w:tcPr>
            <w:tcW w:w="780" w:type="dxa"/>
            <w:vAlign w:val="bottom"/>
            <w:tcBorders>
              <w:top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$3.24</w:t>
            </w:r>
          </w:p>
        </w:tc>
        <w:tc>
          <w:tcPr>
            <w:tcW w:w="74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$4.41</w:t>
            </w: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246,331</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rPr>
              <w:t>1.45</w:t>
            </w: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246,331</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0"/>
        </w:trPr>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$4.42</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287,641</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287,641</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$5.32</w:t>
            </w:r>
          </w:p>
        </w:tc>
        <w:tc>
          <w:tcPr>
            <w:tcW w:w="7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$18.10</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194,938</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$11.36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194,938</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29"/>
        </w:trPr>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$18.11</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4.09</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$20.52</w:t>
            </w:r>
          </w:p>
        </w:tc>
        <w:tc>
          <w:tcPr>
            <w:tcW w:w="7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$22.00</w:t>
            </w:r>
          </w:p>
        </w:tc>
        <w:tc>
          <w:tcPr>
            <w:tcW w:w="2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295,594</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4.04</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295,594</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1,041,131</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2.83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1,041,131</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stock options granted during the years ended December 31, 2024, 2023 and 2022.</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2024, there is no unrecognized compensation cost related to stock options.</w:t>
      </w:r>
    </w:p>
    <w:p>
      <w:pPr>
        <w:sectPr>
          <w:pgSz w:w="11900" w:h="16838" w:orient="portrait"/>
          <w:cols w:equalWidth="0" w:num="1">
            <w:col w:w="11240"/>
          </w:cols>
          <w:pgMar w:left="320" w:top="117"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Restricted stock units (“RSUs”) are share awards that entitle the holder to receive freely tradable shares of the Company’s common stock upon vesting. RSUs generally vest over one to four years based upon continued services and are settled at vesting in shares of the Company's common stock. The grant date fair value of the RSUs is equal to the closing price of the Company’s common stock on the grant date.</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granted performance-based restricted stock unit awards subject to market and service vesting conditions to certain executive officers under SI-BONE's 2018 Equity Incentive Plan (“PSUs”). The shares subject to the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209"/>
        </w:trPr>
        <w:tc>
          <w:tcPr>
            <w:tcW w:w="44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60" w:type="dxa"/>
            <w:vAlign w:val="bottom"/>
            <w:tcBorders>
              <w:bottom w:val="single" w:sz="8" w:color="auto"/>
            </w:tcBorders>
          </w:tcPr>
          <w:p>
            <w:pPr>
              <w:spacing w:after="0"/>
              <w:rPr>
                <w:sz w:val="18"/>
                <w:szCs w:val="18"/>
                <w:color w:val="auto"/>
              </w:rPr>
            </w:pPr>
          </w:p>
        </w:tc>
      </w:tr>
      <w:tr>
        <w:trPr>
          <w:trHeight w:val="227"/>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47.0%  to  59.0%</w:t>
            </w:r>
          </w:p>
        </w:tc>
        <w:tc>
          <w:tcPr>
            <w:tcW w:w="4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58.0%</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w:t>
            </w:r>
          </w:p>
        </w:tc>
        <w:tc>
          <w:tcPr>
            <w:tcW w:w="4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48.9%</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58.7%</w:t>
            </w:r>
          </w:p>
        </w:tc>
      </w:tr>
      <w:tr>
        <w:trPr>
          <w:trHeight w:val="229"/>
        </w:trPr>
        <w:tc>
          <w:tcPr>
            <w:tcW w:w="4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97.0%</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141.0%</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24.2%</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Correlation coefficient of peer companies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4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(0.15)</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(0.13)</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4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5.0%</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c>
          <w:tcPr>
            <w:tcW w:w="44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r>
    </w:tbl>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and PSU activity for the years ended December 31, 2024 and 2023:</w:t>
      </w: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700" w:type="dxa"/>
            <w:vAlign w:val="bottom"/>
            <w:gridSpan w:val="4"/>
          </w:tcPr>
          <w:p>
            <w:pPr>
              <w:ind w:left="1100"/>
              <w:spacing w:after="0"/>
              <w:rPr>
                <w:sz w:val="20"/>
                <w:szCs w:val="20"/>
                <w:color w:val="auto"/>
              </w:rPr>
            </w:pPr>
            <w:r>
              <w:rPr>
                <w:rFonts w:ascii="Times New Roman" w:cs="Times New Roman" w:eastAsia="Times New Roman" w:hAnsi="Times New Roman"/>
                <w:sz w:val="16"/>
                <w:szCs w:val="16"/>
                <w:b w:val="1"/>
                <w:bCs w:val="1"/>
                <w:color w:val="auto"/>
              </w:rPr>
              <w:t>RSUs</w:t>
            </w:r>
          </w:p>
        </w:tc>
        <w:tc>
          <w:tcPr>
            <w:tcW w:w="2580" w:type="dxa"/>
            <w:vAlign w:val="bottom"/>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rPr>
              <w:t>PSUs</w:t>
            </w: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24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4"/>
                <w:szCs w:val="14"/>
                <w:color w:val="auto"/>
              </w:rPr>
            </w:pPr>
          </w:p>
        </w:tc>
        <w:tc>
          <w:tcPr>
            <w:tcW w:w="13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4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1,899,790</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385,122</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1,116,364</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319,858</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(978,267)</w:t>
            </w:r>
          </w:p>
        </w:tc>
        <w:tc>
          <w:tcPr>
            <w:tcW w:w="1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(94,439)</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Canceled and 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(153,247)</w:t>
            </w:r>
          </w:p>
        </w:tc>
        <w:tc>
          <w:tcPr>
            <w:tcW w:w="13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1,884,640</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610,541</w:t>
            </w: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the unrecognized compensation cost related to the RSUs was $27.1 million, which is expected to be recognized over a period of approximately 2.3 years. As of December 31, 2024, the unrecognized compensation cost related to the PSUs was $3.7 million, which is expected to be recognized over a period of approximately 1.8 years.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and provided for automatic enrollment in a new offering.</w:t>
      </w:r>
    </w:p>
    <w:p>
      <w:pPr>
        <w:spacing w:after="0" w:line="18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2024, a total of 1,802,295 shares of common stock are available for future grants under the ESPP. On January 1, 2025, the total number of shares of common stock reserved for issuance under the ESPP Plan increased by 420,865 shares.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the ESPP shares is estimated using the Black-Scholes option pricing model, which is being amortized over the requisite service period. The Company issued 176,787 shares, 178,918 shares, and 170,717 shares under the ESPP during the years ended December 31, 2024, 2023, and 2022, respectively, representing $2.2 million, $2.2 million, $1.8 million in employee contributions. For each of the years ended December 31, 2024 and 2023, total accumulated ESPP related employee payroll deductions amounted to $0.3 million and $0.4 million, respectively, which were included within accrued compensation and related expenses in the consolidated balance sheets. For the years ended December 31, 2024, 2023, and 2022, the Company recognized $0.9 million, $1.0 million, and $0.7 million, respectively, of stock-based compensation expense related to ESPP. As of December 31, 2024, the unrecognized compensation cost for the ESPP was $0.5 million.</w:t>
      </w:r>
    </w:p>
    <w:p>
      <w:pPr>
        <w:spacing w:after="0" w:line="216" w:lineRule="exact"/>
        <w:rPr>
          <w:sz w:val="20"/>
          <w:szCs w:val="20"/>
          <w:color w:val="auto"/>
        </w:rPr>
      </w:pPr>
    </w:p>
    <w:p>
      <w:pPr>
        <w:ind w:right="560" w:firstLine="405"/>
        <w:spacing w:after="0" w:line="275" w:lineRule="auto"/>
        <w:rPr>
          <w:sz w:val="20"/>
          <w:szCs w:val="20"/>
          <w:color w:val="auto"/>
        </w:rPr>
      </w:pPr>
      <w:r>
        <w:rPr>
          <w:rFonts w:ascii="Times New Roman" w:cs="Times New Roman" w:eastAsia="Times New Roman" w:hAnsi="Times New Roman"/>
          <w:sz w:val="18"/>
          <w:szCs w:val="18"/>
          <w:color w:val="auto"/>
        </w:rPr>
        <w:t>The Company estimated the fair value of ESPP purchase rights during the offering period using a Black-Scholes option pricing model with the following assumptions:</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11"/>
        </w:trPr>
        <w:tc>
          <w:tcPr>
            <w:tcW w:w="56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56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580" w:type="dxa"/>
            <w:vAlign w:val="bottom"/>
            <w:tcBorders>
              <w:bottom w:val="single" w:sz="8" w:color="auto"/>
            </w:tcBorders>
          </w:tcPr>
          <w:p>
            <w:pPr>
              <w:spacing w:after="0"/>
              <w:rPr>
                <w:sz w:val="18"/>
                <w:szCs w:val="18"/>
                <w:color w:val="auto"/>
              </w:rPr>
            </w:pPr>
          </w:p>
        </w:tc>
      </w:tr>
      <w:tr>
        <w:trPr>
          <w:trHeight w:val="225"/>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shd w:val="clear" w:color="auto" w:fill="CCEEFF"/>
          </w:tcPr>
          <w:p>
            <w:pPr>
              <w:spacing w:after="0"/>
              <w:rPr>
                <w:sz w:val="19"/>
                <w:szCs w:val="19"/>
                <w:color w:val="auto"/>
              </w:rPr>
            </w:pPr>
          </w:p>
        </w:tc>
      </w:tr>
      <w:tr>
        <w:trPr>
          <w:trHeight w:val="229"/>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57.9%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54.4%</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5.38%</w:t>
            </w: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4"/>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56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580" w:type="dxa"/>
            <w:vAlign w:val="bottom"/>
          </w:tcPr>
          <w:p>
            <w:pPr>
              <w:spacing w:after="0"/>
              <w:rPr>
                <w:sz w:val="20"/>
                <w:szCs w:val="20"/>
                <w:color w:val="auto"/>
              </w:rPr>
            </w:pPr>
          </w:p>
        </w:tc>
      </w:tr>
    </w:tbl>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 recognized for the periods presented:</w:t>
      </w:r>
    </w:p>
    <w:p>
      <w:pPr>
        <w:spacing w:after="0" w:line="147" w:lineRule="exact"/>
        <w:rPr>
          <w:sz w:val="20"/>
          <w:szCs w:val="20"/>
          <w:color w:val="auto"/>
        </w:rPr>
      </w:pPr>
    </w:p>
    <w:tbl>
      <w:tblPr>
        <w:tblLayout w:type="fixed"/>
        <w:tblInd w:w="132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53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26"/>
        </w:trPr>
        <w:tc>
          <w:tcPr>
            <w:tcW w:w="4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8"/>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1"/>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w:t>
            </w:r>
          </w:p>
        </w:tc>
      </w:tr>
      <w:tr>
        <w:trPr>
          <w:trHeight w:val="23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29"/>
        </w:trPr>
        <w:tc>
          <w:tcPr>
            <w:tcW w:w="4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8,934</w:t>
            </w:r>
          </w:p>
        </w:tc>
      </w:tr>
      <w:tr>
        <w:trPr>
          <w:trHeight w:val="248"/>
        </w:trPr>
        <w:tc>
          <w:tcPr>
            <w:tcW w:w="4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w:t>
      </w:r>
    </w:p>
    <w:p>
      <w:pPr>
        <w:spacing w:after="0" w:line="22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sponsors a 401(k) plan covering all employees. Contributions made by the Company are discretionary and are determined annually by the Board of Directors. Effective January 1, 2019, the Company made a discretionary matching contribution equal to dollar for dollar employee contribution, up to 3% eligible compensation of the employee, with a maximum annual contribution from the Company of one thousand dollars per employee. Further, in order for an employee to receive the matching contribution, the employee must be at least 21 years old, work at least 1,000 hours per year, and must be employed by the Company at the beginning through the end of the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 of Common Stock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gridSpan w:val="7"/>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Weighted-average shares used to compute basic and diluted net loss per share</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41,466,564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38,427,419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34,201,824</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16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1,041,131</w:t>
            </w: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1,188,708</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1,903,341</w:t>
            </w:r>
          </w:p>
        </w:tc>
        <w:tc>
          <w:tcPr>
            <w:tcW w:w="0" w:type="dxa"/>
            <w:vAlign w:val="bottom"/>
          </w:tcPr>
          <w:p>
            <w:pPr>
              <w:spacing w:after="0"/>
              <w:rPr>
                <w:sz w:val="1"/>
                <w:szCs w:val="1"/>
                <w:color w:val="auto"/>
              </w:rPr>
            </w:pPr>
          </w:p>
        </w:tc>
      </w:tr>
      <w:tr>
        <w:trPr>
          <w:trHeight w:val="229"/>
        </w:trPr>
        <w:tc>
          <w:tcPr>
            <w:tcW w:w="6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280" w:type="dxa"/>
            <w:vAlign w:val="bottom"/>
          </w:tcPr>
          <w:p>
            <w:pPr>
              <w:spacing w:after="0"/>
              <w:rPr>
                <w:sz w:val="19"/>
                <w:szCs w:val="19"/>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2,495,181</w:t>
            </w:r>
          </w:p>
        </w:tc>
        <w:tc>
          <w:tcPr>
            <w:tcW w:w="1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2,284,912</w:t>
            </w:r>
          </w:p>
        </w:tc>
        <w:tc>
          <w:tcPr>
            <w:tcW w:w="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1,950,524</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ESPP purchase rights</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145,509</w:t>
            </w: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102,172</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134,226</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Common stock warrants</w:t>
            </w:r>
          </w:p>
        </w:tc>
        <w:tc>
          <w:tcPr>
            <w:tcW w:w="2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78,459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85,139</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118,122</w:t>
            </w:r>
          </w:p>
        </w:tc>
        <w:tc>
          <w:tcPr>
            <w:tcW w:w="0" w:type="dxa"/>
            <w:vAlign w:val="bottom"/>
          </w:tcPr>
          <w:p>
            <w:pPr>
              <w:spacing w:after="0"/>
              <w:rPr>
                <w:sz w:val="1"/>
                <w:szCs w:val="1"/>
                <w:color w:val="auto"/>
              </w:rPr>
            </w:pPr>
          </w:p>
        </w:tc>
      </w:tr>
      <w:tr>
        <w:trPr>
          <w:trHeight w:val="248"/>
        </w:trPr>
        <w:tc>
          <w:tcPr>
            <w:tcW w:w="16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3,760,280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3,660,931</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4,106,213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8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6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components of the Company’s loss before income taxes are as follows: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6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(31,082)</w:t>
            </w:r>
          </w:p>
        </w:tc>
        <w:tc>
          <w:tcPr>
            <w:tcW w:w="620" w:type="dxa"/>
            <w:vAlign w:val="bottom"/>
            <w:gridSpan w:val="3"/>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66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was no provision for income taxes recorded for the years ended December 31, 2024, 2023 and 2022. The Company continues to maintain a full valuation allowance against its net deferred tax assets due to the uncertainty surrounding realization of such assets. The Company periodically evaluates the realizability of its net deferred tax assets based on the expected realization and is dependent on the Company's ability to generate sufficient future taxable income during periods prior to the expiration of tax attributes to fully utilize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components of deferred income taxes are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9"/>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Pr>
          <w:p>
            <w:pPr>
              <w:spacing w:after="0"/>
              <w:rPr>
                <w:sz w:val="18"/>
                <w:szCs w:val="18"/>
                <w:color w:val="auto"/>
              </w:rPr>
            </w:pPr>
          </w:p>
        </w:tc>
      </w:tr>
      <w:tr>
        <w:trPr>
          <w:trHeight w:val="231"/>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(12,434)</w:t>
            </w:r>
          </w:p>
        </w:tc>
      </w:tr>
      <w:tr>
        <w:trPr>
          <w:trHeight w:val="23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deferred tax valuation allowance</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w:t>
            </w:r>
          </w:p>
        </w:tc>
      </w:tr>
      <w:tr>
        <w:trPr>
          <w:trHeight w:val="223"/>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income tax</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Income tax expense differs from the amount computed by applying the statutory federal income tax rate due to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322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61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Change in deferred tax valuation allowance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3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differences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nontaxable or nondeductible items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
        </w:trPr>
        <w:tc>
          <w:tcPr>
            <w:tcW w:w="6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deferred tax assets are presented below:</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24"/>
        </w:trPr>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Pr>
          <w:p>
            <w:pPr>
              <w:spacing w:after="0"/>
              <w:rPr>
                <w:sz w:val="24"/>
                <w:szCs w:val="24"/>
                <w:color w:val="auto"/>
              </w:rPr>
            </w:pPr>
          </w:p>
        </w:tc>
      </w:tr>
      <w:tr>
        <w:trPr>
          <w:trHeight w:val="233"/>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85,173</w:t>
            </w:r>
          </w:p>
        </w:tc>
      </w:tr>
      <w:tr>
        <w:trPr>
          <w:trHeight w:val="230"/>
        </w:trPr>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r>
      <w:tr>
        <w:trPr>
          <w:trHeight w:val="230"/>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Accruals and reserves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30"/>
        </w:trPr>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limitation</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29"/>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compensation</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230"/>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30"/>
        </w:trPr>
        <w:tc>
          <w:tcPr>
            <w:tcW w:w="7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23"/>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107,888</w:t>
            </w:r>
          </w:p>
        </w:tc>
      </w:tr>
      <w:tr>
        <w:trPr>
          <w:trHeight w:val="230"/>
        </w:trPr>
        <w:tc>
          <w:tcPr>
            <w:tcW w:w="7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3"/>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3"/>
        </w:trPr>
        <w:tc>
          <w:tcPr>
            <w:tcW w:w="7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(107,210)</w:t>
            </w:r>
          </w:p>
        </w:tc>
      </w:tr>
      <w:tr>
        <w:trPr>
          <w:trHeight w:val="248"/>
        </w:trPr>
        <w:tc>
          <w:tcPr>
            <w:tcW w:w="7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deferred tax asset, net of valuation allowance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changes in the valuation allowance for the years ended December 31, 2024, 2023, and 2022:</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227330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117" w:right="7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5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r>
      <w:tr>
        <w:trPr>
          <w:trHeight w:val="211"/>
        </w:trPr>
        <w:tc>
          <w:tcPr>
            <w:tcW w:w="6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6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78,786</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changes during the period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15,990</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net operating loss (“NOL”) carryforwards of approximately $350.5 million and $271.6 million available to reduce future taxable income, if any, for federal and state income tax purposes, respectively. If not utilized, the Company’s federal NOL carryforward begins to expire in 2030, and the state NOL carryforward began to expire in 2024.</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credit carryforwards of approximately $5.5 million and $4.4 million available to reduce future taxable income, if any, for both federal and state income tax purposes, respectively. The federal credits begin to expire in 2029, and the state credits have no expiration date.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updated its Section 382 ownership change analysis through December 31, 2020 and determined that the last ownership change was in February 2020 due to the follow-offering. The analysis concluded that no additional NOL carryforwards will expire due to the Section 382 limitation from the ownership change for both federal and state tax purposes. The Company maintains the reduction of $1.4 million of its NOL carryforwards from the previous ownership change. The Company has reviewed changes in the outstanding number of shares and equity transactions for the period January 1, 2021 through December 31, 2024 to determine if an additional ownership change occurred for Section 382 purposes. The Company reasonably believes no additional ownership change occurred in the current year. The Company will continually assess the need to update its Section 382 ownership change analysis. An ownership change in the future could materially limit the Company’s ability to utilize its NOL carryforwards and other tax attributes.</w:t>
      </w:r>
    </w:p>
    <w:p>
      <w:pPr>
        <w:spacing w:after="0" w:line="175"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Under an Organization for Economic Co-operation and Development Inclusive Framework, countries that agreed to enact a two-pillar solution aim to address the challenges arising from the digitalization of the world economy (Pillar Two). Pillar Two sets out a global minimum Effective Tax Rate (ETR) rules to ensure that large multinational businesses with consolidated revenue over €750 million are subject to a minimum ETR of 15% on income arising in low-tax jurisdictions. The Company will continue to monitor the impact of Pillar Two; however, the Pillar Two is currently not applicable as the Company does not meet the threshold of having consolidated revenue over €750 million.</w:t>
      </w:r>
    </w:p>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2024, 2023 and 2022 consisted of the following:</w:t>
      </w:r>
    </w:p>
    <w:p>
      <w:pPr>
        <w:spacing w:after="0" w:line="97"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center"/>
              <w:ind w:left="55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40" w:type="dxa"/>
            <w:vAlign w:val="bottom"/>
            <w:tcBorders>
              <w:bottom w:val="single" w:sz="8" w:color="auto"/>
            </w:tcBorders>
          </w:tcPr>
          <w:p>
            <w:pPr>
              <w:spacing w:after="0"/>
              <w:rPr>
                <w:sz w:val="18"/>
                <w:szCs w:val="18"/>
                <w:color w:val="auto"/>
              </w:rPr>
            </w:pPr>
          </w:p>
        </w:tc>
      </w:tr>
      <w:tr>
        <w:trPr>
          <w:trHeight w:val="211"/>
        </w:trPr>
        <w:tc>
          <w:tcPr>
            <w:tcW w:w="6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6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1"/>
        </w:trPr>
        <w:tc>
          <w:tcPr>
            <w:tcW w:w="6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29"/>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Increases related to tax positions taken prior to current year</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Increases related to current year's tax positions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1"/>
        </w:trPr>
        <w:tc>
          <w:tcPr>
            <w:tcW w:w="6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elected to recognize interest and penalties related to uncertain tax positions as a component of income tax expense. The Company has no accrued interest related to unrecognized tax benefits as of December 31, 2024 and 2023. None of the Company’s unrecognized tax benefits that, if recognized, would affect its effective tax rates for the years ended December 31, 2024, 2023, and 2022. The Company does not anticipate the total amounts of unrecognized tax benefits will significantly increase or decrease in the next 12 months.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currently has no federal, state or foreign tax examinations in progress nor has it had any federal or state examinations since inception.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Company’s net operating loss carry forwards, all of its tax years are subject to federal and state tax examinations.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24, 2020, the Company entered into a joint development agreement (the “Development Agreement”) with SeaSpine Orthopedics Corporation (“SeaSpine”), which recently merged with Orthofix Medical, Inc. ("Orthofix"),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 On October 4, 2023, Keith C. Valentine resigned as a member of the Board of Directors of Orthofix. As such, subsequent to October 4, 2023, SeaSpine is no longer a related party of the Company.</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year ended December 31, 2023, the Company did not incur any reimbursement charges but purchased an immaterial amount of instrument components from Seaspine. For the year ended December 31, 2022, the Company expensed $38,725 of reimbursement charges from SeaSpine. The reimbursement charges were recorded within research and development expense in the consolidated statement of operations.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 The Company recorded $0.3 million of royalty for the year ended December 31, 2023. The Company recorded an immaterial amount of royalty for the year ended December 31, 2022.</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outstanding liability to SeaSpine as of December 31, 2024 and December 31, 2023 was $0.2 million and $0.1 million, respectively, and was recorded within accounts payable and accrued liabilities and other in the consolidated balance sheet.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Supplementary Data</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Selected Quarterly Consolidated Financial Data (Unaudited)</w:t>
      </w:r>
    </w:p>
    <w:p>
      <w:pPr>
        <w:spacing w:after="0" w:line="162"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Pursuant to the amendments to Item 302 of Regulation S-K, since we do not have any material retrospective change to the statements of comprehensive income for any of the quarters within the two most recent fiscal years either individually or in the aggregate, we are not required to disclose the quarterly financial data.</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Schedule II - Valuation and Qualifying Accounts</w:t>
      </w:r>
    </w:p>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jc w:val="both"/>
        <w:ind w:firstLine="405"/>
        <w:spacing w:after="0" w:line="276"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3" w:lineRule="exact"/>
        <w:rPr>
          <w:sz w:val="20"/>
          <w:szCs w:val="20"/>
          <w:color w:val="auto"/>
        </w:rPr>
      </w:pPr>
    </w:p>
    <w:p>
      <w:pPr>
        <w:jc w:val="both"/>
        <w:ind w:firstLine="405"/>
        <w:spacing w:after="0" w:line="234" w:lineRule="exact"/>
        <w:rPr>
          <w:sz w:val="20"/>
          <w:szCs w:val="20"/>
          <w:color w:val="auto"/>
        </w:rPr>
      </w:pPr>
      <w:r>
        <w:rPr>
          <w:rFonts w:ascii="Times New Roman" w:cs="Times New Roman" w:eastAsia="Times New Roman" w:hAnsi="Times New Roman"/>
          <w:sz w:val="18"/>
          <w:szCs w:val="18"/>
          <w:color w:val="auto"/>
        </w:rPr>
        <w:t>As of December 31, 2024, our management, with the participation of our Chief Executive Officer (“CEO”) and our Chief Financial Officer (“CFO”), have evaluated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Based on that evaluation, our CEO and our CFO have concluded that, as of December 31, 2024, our disclosure controls and procedures were effective at the reasonable assurance level.</w:t>
      </w: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16"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as of December 31, 2024 based on the criteria set forth in "Internal Control-Integrated Framework" (2013 framework) issued by the Committee of Sponsoring Organizations of the Treadway Commission (COSO). Based on this assessment, management has concluded that our internal control over financial reporting was effective as of December 31, 2024 based on those criteria. The effectiveness of our internal control over financial reporting as of December 31, 2024 has been audited by our independent registered public accounting firm, PricewaterhouseCoopers LLP, as stated in their report, which appears in Part II, Item 8 of this Annual Report on Form 10-K.</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i w:val="1"/>
          <w:iCs w:val="1"/>
          <w:color w:val="auto"/>
        </w:rPr>
        <w:t>.</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2024 that have materially affected, or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2024, the following Section 16 officer and director adopted, modified or terminated a “Rule 10b5-1 trading arrangement” (as defined in Item 408 of Regulation S-K of the Exchange Act)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157480</wp:posOffset>
            </wp:positionV>
            <wp:extent cx="6901180" cy="1911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0">
                      <a:extLst>
                        <a:ext uri="{28A0092B-C50C-407E-A947-70E740481C1C}"/>
                      </a:extLst>
                    </a:blip>
                    <a:srcRect/>
                    <a:stretch>
                      <a:fillRect/>
                    </a:stretch>
                  </pic:blipFill>
                  <pic:spPr bwMode="auto">
                    <a:xfrm>
                      <a:off x="0" y="0"/>
                      <a:ext cx="6901180" cy="1911350"/>
                    </a:xfrm>
                    <a:prstGeom prst="rect">
                      <a:avLst/>
                    </a:prstGeom>
                    <a:noFill/>
                  </pic:spPr>
                </pic:pic>
              </a:graphicData>
            </a:graphic>
          </wp:anchor>
        </w:drawing>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1300" w:type="dxa"/>
            <w:vAlign w:val="bottom"/>
            <w:tcBorders>
              <w:top w:val="single" w:sz="8" w:color="auto"/>
              <w:bottom w:val="single" w:sz="8" w:color="auto"/>
              <w:right w:val="single" w:sz="8" w:color="auto"/>
            </w:tcBorders>
          </w:tcPr>
          <w:p>
            <w:pPr>
              <w:spacing w:after="0"/>
              <w:rPr>
                <w:sz w:val="21"/>
                <w:szCs w:val="21"/>
                <w:color w:val="auto"/>
              </w:rPr>
            </w:pPr>
          </w:p>
        </w:tc>
        <w:tc>
          <w:tcPr>
            <w:tcW w:w="1160" w:type="dxa"/>
            <w:vAlign w:val="bottom"/>
            <w:tcBorders>
              <w:top w:val="single" w:sz="8" w:color="auto"/>
              <w:bottom w:val="single" w:sz="8" w:color="auto"/>
              <w:right w:val="single" w:sz="8" w:color="auto"/>
            </w:tcBorders>
          </w:tcPr>
          <w:p>
            <w:pPr>
              <w:spacing w:after="0"/>
              <w:rPr>
                <w:sz w:val="21"/>
                <w:szCs w:val="21"/>
                <w:color w:val="auto"/>
              </w:rPr>
            </w:pPr>
          </w:p>
        </w:tc>
        <w:tc>
          <w:tcPr>
            <w:tcW w:w="1800" w:type="dxa"/>
            <w:vAlign w:val="bottom"/>
            <w:tcBorders>
              <w:top w:val="single" w:sz="8" w:color="auto"/>
              <w:bottom w:val="single" w:sz="8" w:color="auto"/>
              <w:right w:val="single" w:sz="8" w:color="auto"/>
            </w:tcBorders>
          </w:tcPr>
          <w:p>
            <w:pPr>
              <w:spacing w:after="0"/>
              <w:rPr>
                <w:sz w:val="21"/>
                <w:szCs w:val="21"/>
                <w:color w:val="auto"/>
              </w:rPr>
            </w:pPr>
          </w:p>
        </w:tc>
        <w:tc>
          <w:tcPr>
            <w:tcW w:w="24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tc>
        <w:tc>
          <w:tcPr>
            <w:tcW w:w="1740" w:type="dxa"/>
            <w:vAlign w:val="bottom"/>
            <w:tcBorders>
              <w:top w:val="single" w:sz="8" w:color="auto"/>
              <w:bottom w:val="single" w:sz="8" w:color="auto"/>
              <w:right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w:t>
            </w:r>
          </w:p>
        </w:tc>
        <w:tc>
          <w:tcPr>
            <w:tcW w:w="1160" w:type="dxa"/>
            <w:vAlign w:val="bottom"/>
            <w:tcBorders>
              <w:right w:val="single" w:sz="8" w:color="auto"/>
            </w:tcBorders>
            <w:shd w:val="clear" w:color="auto" w:fill="CCEEFF"/>
          </w:tcPr>
          <w:p>
            <w:pPr>
              <w:spacing w:after="0"/>
              <w:rPr>
                <w:sz w:val="14"/>
                <w:szCs w:val="14"/>
                <w:color w:val="auto"/>
              </w:rPr>
            </w:pPr>
          </w:p>
        </w:tc>
        <w:tc>
          <w:tcPr>
            <w:tcW w:w="18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Adoption/Termination</w:t>
            </w:r>
          </w:p>
        </w:tc>
        <w:tc>
          <w:tcPr>
            <w:tcW w:w="1220" w:type="dxa"/>
            <w:vAlign w:val="bottom"/>
            <w:tcBorders>
              <w:right w:val="single" w:sz="8" w:color="auto"/>
            </w:tcBorders>
            <w:shd w:val="clear" w:color="auto" w:fill="CCEEFF"/>
          </w:tcPr>
          <w:p>
            <w:pPr>
              <w:spacing w:after="0"/>
              <w:rPr>
                <w:sz w:val="14"/>
                <w:szCs w:val="14"/>
                <w:color w:val="auto"/>
              </w:rPr>
            </w:pPr>
          </w:p>
        </w:tc>
        <w:tc>
          <w:tcPr>
            <w:tcW w:w="1220" w:type="dxa"/>
            <w:vAlign w:val="bottom"/>
            <w:tcBorders>
              <w:right w:val="single" w:sz="8" w:color="auto"/>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Non-Rule</w:t>
            </w:r>
          </w:p>
        </w:tc>
        <w:tc>
          <w:tcPr>
            <w:tcW w:w="1740" w:type="dxa"/>
            <w:vAlign w:val="bottom"/>
            <w:tcBorders>
              <w:right w:val="single" w:sz="8" w:color="auto"/>
            </w:tcBorders>
            <w:shd w:val="clear" w:color="auto" w:fill="CCEEFF"/>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Total Shares of</w:t>
            </w:r>
          </w:p>
        </w:tc>
        <w:tc>
          <w:tcPr>
            <w:tcW w:w="1320" w:type="dxa"/>
            <w:vAlign w:val="bottom"/>
            <w:tcBorders>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 Shares of</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00" w:type="dxa"/>
            <w:vAlign w:val="bottom"/>
            <w:tcBorders>
              <w:right w:val="single" w:sz="8" w:color="auto"/>
            </w:tcBorders>
            <w:vMerge w:val="continue"/>
            <w:shd w:val="clear" w:color="auto" w:fill="CCEEFF"/>
          </w:tcPr>
          <w:p>
            <w:pPr>
              <w:spacing w:after="0"/>
              <w:rPr>
                <w:sz w:val="15"/>
                <w:szCs w:val="15"/>
                <w:color w:val="auto"/>
              </w:rPr>
            </w:pPr>
          </w:p>
        </w:tc>
        <w:tc>
          <w:tcPr>
            <w:tcW w:w="11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w:t>
            </w:r>
          </w:p>
        </w:tc>
        <w:tc>
          <w:tcPr>
            <w:tcW w:w="1800" w:type="dxa"/>
            <w:vAlign w:val="bottom"/>
            <w:tcBorders>
              <w:right w:val="single" w:sz="8" w:color="auto"/>
            </w:tcBorders>
            <w:vMerge w:val="continue"/>
            <w:shd w:val="clear" w:color="auto" w:fill="CCEEFF"/>
          </w:tcPr>
          <w:p>
            <w:pPr>
              <w:spacing w:after="0"/>
              <w:rPr>
                <w:sz w:val="15"/>
                <w:szCs w:val="15"/>
                <w:color w:val="auto"/>
              </w:rPr>
            </w:pPr>
          </w:p>
        </w:tc>
        <w:tc>
          <w:tcPr>
            <w:tcW w:w="12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Rule 10b5-1*</w:t>
            </w:r>
          </w:p>
        </w:tc>
        <w:tc>
          <w:tcPr>
            <w:tcW w:w="1220" w:type="dxa"/>
            <w:vAlign w:val="bottom"/>
            <w:tcBorders>
              <w:right w:val="single" w:sz="8" w:color="auto"/>
            </w:tcBorders>
            <w:vMerge w:val="continue"/>
            <w:shd w:val="clear" w:color="auto" w:fill="CCEEFF"/>
          </w:tcPr>
          <w:p>
            <w:pPr>
              <w:spacing w:after="0"/>
              <w:rPr>
                <w:sz w:val="15"/>
                <w:szCs w:val="15"/>
                <w:color w:val="auto"/>
              </w:rPr>
            </w:pPr>
          </w:p>
        </w:tc>
        <w:tc>
          <w:tcPr>
            <w:tcW w:w="1740" w:type="dxa"/>
            <w:vAlign w:val="bottom"/>
            <w:tcBorders>
              <w:right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Common Stock to be</w:t>
            </w:r>
          </w:p>
        </w:tc>
        <w:tc>
          <w:tcPr>
            <w:tcW w:w="1320" w:type="dxa"/>
            <w:vAlign w:val="bottom"/>
            <w:tcBorders>
              <w:right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8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160" w:type="dxa"/>
            <w:vAlign w:val="bottom"/>
            <w:tcBorders>
              <w:bottom w:val="single" w:sz="8" w:color="auto"/>
              <w:right w:val="single" w:sz="8" w:color="auto"/>
            </w:tcBorders>
            <w:vMerge w:val="continue"/>
            <w:shd w:val="clear" w:color="auto" w:fill="CCEEFF"/>
          </w:tcPr>
          <w:p>
            <w:pPr>
              <w:spacing w:after="0"/>
              <w:rPr>
                <w:sz w:val="21"/>
                <w:szCs w:val="21"/>
                <w:color w:val="auto"/>
              </w:rPr>
            </w:pP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tcBorders>
              <w:bottom w:val="single" w:sz="8" w:color="auto"/>
              <w:right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10b5-1**</w:t>
            </w:r>
          </w:p>
        </w:tc>
        <w:tc>
          <w:tcPr>
            <w:tcW w:w="1740" w:type="dxa"/>
            <w:vAlign w:val="bottom"/>
            <w:tcBorders>
              <w:bottom w:val="single" w:sz="8" w:color="auto"/>
              <w:right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Sold</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Purchased</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3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Laura Francis,</w:t>
            </w:r>
          </w:p>
        </w:tc>
        <w:tc>
          <w:tcPr>
            <w:tcW w:w="116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Chief Executive</w:t>
            </w:r>
          </w:p>
        </w:tc>
        <w:tc>
          <w:tcPr>
            <w:tcW w:w="116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0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13, 2024</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Borders>
              <w:bottom w:val="single" w:sz="8" w:color="auto"/>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321,456 (1)</w:t>
            </w:r>
          </w:p>
        </w:tc>
        <w:tc>
          <w:tcPr>
            <w:tcW w:w="132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300" w:type="dxa"/>
            <w:vAlign w:val="bottom"/>
            <w:tcBorders>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Anshul</w:t>
            </w:r>
          </w:p>
        </w:tc>
        <w:tc>
          <w:tcPr>
            <w:tcW w:w="1160" w:type="dxa"/>
            <w:vAlign w:val="bottom"/>
            <w:tcBorders>
              <w:right w:val="single" w:sz="8" w:color="auto"/>
            </w:tcBorders>
            <w:shd w:val="clear" w:color="auto" w:fill="CCEEFF"/>
          </w:tcPr>
          <w:p>
            <w:pPr>
              <w:spacing w:after="0"/>
              <w:rPr>
                <w:sz w:val="14"/>
                <w:szCs w:val="14"/>
                <w:color w:val="auto"/>
              </w:rPr>
            </w:pPr>
          </w:p>
        </w:tc>
        <w:tc>
          <w:tcPr>
            <w:tcW w:w="1800" w:type="dxa"/>
            <w:vAlign w:val="bottom"/>
            <w:tcBorders>
              <w:right w:val="single" w:sz="8" w:color="auto"/>
            </w:tcBorders>
            <w:shd w:val="clear" w:color="auto" w:fill="CCEEFF"/>
          </w:tcPr>
          <w:p>
            <w:pPr>
              <w:spacing w:after="0"/>
              <w:rPr>
                <w:sz w:val="14"/>
                <w:szCs w:val="14"/>
                <w:color w:val="auto"/>
              </w:rPr>
            </w:pPr>
          </w:p>
        </w:tc>
        <w:tc>
          <w:tcPr>
            <w:tcW w:w="1220" w:type="dxa"/>
            <w:vAlign w:val="bottom"/>
            <w:tcBorders>
              <w:right w:val="single" w:sz="8" w:color="auto"/>
            </w:tcBorders>
            <w:shd w:val="clear" w:color="auto" w:fill="CCEEFF"/>
          </w:tcPr>
          <w:p>
            <w:pPr>
              <w:spacing w:after="0"/>
              <w:rPr>
                <w:sz w:val="14"/>
                <w:szCs w:val="14"/>
                <w:color w:val="auto"/>
              </w:rPr>
            </w:pPr>
          </w:p>
        </w:tc>
        <w:tc>
          <w:tcPr>
            <w:tcW w:w="1220" w:type="dxa"/>
            <w:vAlign w:val="bottom"/>
            <w:tcBorders>
              <w:right w:val="single" w:sz="8" w:color="auto"/>
            </w:tcBorders>
            <w:shd w:val="clear" w:color="auto" w:fill="CCEEFF"/>
          </w:tcPr>
          <w:p>
            <w:pPr>
              <w:spacing w:after="0"/>
              <w:rPr>
                <w:sz w:val="14"/>
                <w:szCs w:val="14"/>
                <w:color w:val="auto"/>
              </w:rPr>
            </w:pPr>
          </w:p>
        </w:tc>
        <w:tc>
          <w:tcPr>
            <w:tcW w:w="1740" w:type="dxa"/>
            <w:vAlign w:val="bottom"/>
            <w:tcBorders>
              <w:right w:val="single" w:sz="8" w:color="auto"/>
            </w:tcBorders>
            <w:shd w:val="clear" w:color="auto" w:fill="CCEEFF"/>
          </w:tcPr>
          <w:p>
            <w:pPr>
              <w:spacing w:after="0"/>
              <w:rPr>
                <w:sz w:val="14"/>
                <w:szCs w:val="14"/>
                <w:color w:val="auto"/>
              </w:rPr>
            </w:pPr>
          </w:p>
        </w:tc>
        <w:tc>
          <w:tcPr>
            <w:tcW w:w="1320" w:type="dxa"/>
            <w:vAlign w:val="bottom"/>
            <w:tcBorders>
              <w:right w:val="single" w:sz="8" w:color="auto"/>
            </w:tcBorders>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00" w:type="dxa"/>
            <w:vAlign w:val="bottom"/>
            <w:tcBorders>
              <w:right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Maheshwari ,</w:t>
            </w:r>
          </w:p>
        </w:tc>
        <w:tc>
          <w:tcPr>
            <w:tcW w:w="1160" w:type="dxa"/>
            <w:vAlign w:val="bottom"/>
            <w:tcBorders>
              <w:right w:val="single" w:sz="8" w:color="auto"/>
            </w:tcBorders>
            <w:shd w:val="clear" w:color="auto" w:fill="CCEEFF"/>
          </w:tcPr>
          <w:p>
            <w:pPr>
              <w:spacing w:after="0"/>
              <w:rPr>
                <w:sz w:val="16"/>
                <w:szCs w:val="16"/>
                <w:color w:val="auto"/>
              </w:rPr>
            </w:pPr>
          </w:p>
        </w:tc>
        <w:tc>
          <w:tcPr>
            <w:tcW w:w="1800" w:type="dxa"/>
            <w:vAlign w:val="bottom"/>
            <w:tcBorders>
              <w:right w:val="single" w:sz="8" w:color="auto"/>
            </w:tcBorders>
            <w:shd w:val="clear" w:color="auto" w:fill="CCEEFF"/>
          </w:tcPr>
          <w:p>
            <w:pPr>
              <w:spacing w:after="0"/>
              <w:rPr>
                <w:sz w:val="16"/>
                <w:szCs w:val="16"/>
                <w:color w:val="auto"/>
              </w:rPr>
            </w:pPr>
          </w:p>
        </w:tc>
        <w:tc>
          <w:tcPr>
            <w:tcW w:w="1220" w:type="dxa"/>
            <w:vAlign w:val="bottom"/>
            <w:tcBorders>
              <w:right w:val="single" w:sz="8" w:color="auto"/>
            </w:tcBorders>
            <w:shd w:val="clear" w:color="auto" w:fill="CCEEFF"/>
          </w:tcPr>
          <w:p>
            <w:pPr>
              <w:spacing w:after="0"/>
              <w:rPr>
                <w:sz w:val="16"/>
                <w:szCs w:val="16"/>
                <w:color w:val="auto"/>
              </w:rPr>
            </w:pPr>
          </w:p>
        </w:tc>
        <w:tc>
          <w:tcPr>
            <w:tcW w:w="1220" w:type="dxa"/>
            <w:vAlign w:val="bottom"/>
            <w:tcBorders>
              <w:right w:val="single" w:sz="8" w:color="auto"/>
            </w:tcBorders>
            <w:shd w:val="clear" w:color="auto" w:fill="CCEEFF"/>
          </w:tcPr>
          <w:p>
            <w:pPr>
              <w:spacing w:after="0"/>
              <w:rPr>
                <w:sz w:val="16"/>
                <w:szCs w:val="16"/>
                <w:color w:val="auto"/>
              </w:rPr>
            </w:pPr>
          </w:p>
        </w:tc>
        <w:tc>
          <w:tcPr>
            <w:tcW w:w="1740" w:type="dxa"/>
            <w:vAlign w:val="bottom"/>
            <w:tcBorders>
              <w:right w:val="single" w:sz="8" w:color="auto"/>
            </w:tcBorders>
            <w:shd w:val="clear" w:color="auto" w:fill="CCEEFF"/>
          </w:tcPr>
          <w:p>
            <w:pPr>
              <w:spacing w:after="0"/>
              <w:rPr>
                <w:sz w:val="16"/>
                <w:szCs w:val="16"/>
                <w:color w:val="auto"/>
              </w:rPr>
            </w:pPr>
          </w:p>
        </w:tc>
        <w:tc>
          <w:tcPr>
            <w:tcW w:w="1320" w:type="dxa"/>
            <w:vAlign w:val="bottom"/>
            <w:tcBorders>
              <w:right w:val="single" w:sz="8" w:color="auto"/>
            </w:tcBorders>
            <w:shd w:val="clear" w:color="auto" w:fill="CCEEFF"/>
          </w:tcPr>
          <w:p>
            <w:pPr>
              <w:spacing w:after="0"/>
              <w:rPr>
                <w:sz w:val="16"/>
                <w:szCs w:val="16"/>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0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Chief Financial</w:t>
            </w:r>
          </w:p>
        </w:tc>
        <w:tc>
          <w:tcPr>
            <w:tcW w:w="11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8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13, 2024</w:t>
            </w:r>
          </w:p>
        </w:tc>
        <w:tc>
          <w:tcPr>
            <w:tcW w:w="12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Borders>
              <w:right w:val="single" w:sz="8" w:color="auto"/>
            </w:tcBorders>
            <w:shd w:val="clear" w:color="auto" w:fill="CCEEFF"/>
          </w:tcPr>
          <w:p>
            <w:pPr>
              <w:spacing w:after="0"/>
              <w:rPr>
                <w:sz w:val="15"/>
                <w:szCs w:val="15"/>
                <w:color w:val="auto"/>
              </w:rPr>
            </w:pPr>
          </w:p>
        </w:tc>
        <w:tc>
          <w:tcPr>
            <w:tcW w:w="1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106,670 (2)</w:t>
            </w:r>
          </w:p>
        </w:tc>
        <w:tc>
          <w:tcPr>
            <w:tcW w:w="1320" w:type="dxa"/>
            <w:vAlign w:val="bottom"/>
            <w:tcBorders>
              <w:right w:val="single" w:sz="8" w:color="auto"/>
            </w:tcBorders>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116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8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spacing w:after="0"/>
              <w:rPr>
                <w:sz w:val="19"/>
                <w:szCs w:val="19"/>
                <w:color w:val="auto"/>
              </w:rPr>
            </w:pPr>
          </w:p>
        </w:tc>
        <w:tc>
          <w:tcPr>
            <w:tcW w:w="17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ind w:left="360" w:right="1240"/>
        <w:spacing w:after="0" w:line="307" w:lineRule="auto"/>
        <w:rPr>
          <w:sz w:val="20"/>
          <w:szCs w:val="20"/>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 ** “Non-Rule 10b5-1 trading arrangement” as defined in Item 408(c) of Regulation S-K under the Exchange Act.</w:t>
      </w:r>
    </w:p>
    <w:p>
      <w:pPr>
        <w:spacing w:after="0" w:line="262" w:lineRule="exact"/>
        <w:rPr>
          <w:sz w:val="20"/>
          <w:szCs w:val="20"/>
          <w:color w:val="auto"/>
        </w:rPr>
      </w:pPr>
    </w:p>
    <w:p>
      <w:pPr>
        <w:jc w:val="both"/>
        <w:ind w:firstLine="332"/>
        <w:spacing w:after="0" w:line="237" w:lineRule="auto"/>
        <w:tabs>
          <w:tab w:leader="none" w:pos="5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up to 75,000 shares of common stock held by the David &amp; Laura Francis Joint Rev Trust; (b) up to 60,416 shares of common stock subject to restricted stock unit awards (RSUs) previously granted to Ms. Francis that may vest and be released to her on or before March 31, 2026 upon satisfaction of the applicable service-based vesting conditions, to be reduced by the shares sold to satisfy tax withholding obligations arising from the vesting of such RSUs; and (c) up to 186,040 shares of common stock subject to performance-based restricted stock unit awards (PSUs) previously granted to Ms. Francis that may vest and be released to her on or before March 31, 2026 upon satisfaction of the applicable performance-based vesting conditions, to be reduced by the shares sold to satisfy tax withholding obligations arising from the vesting of such PSUs. The actual number of shares of common stock that may vest and be released to Ms. Francis upon satisfaction of the applicable performance-based vesting conditions pursuant to the PSUs is not yet determinable. Moreover, the actual number of share that will be sold pursuant to the Rule 10b5-1 trading arrangement is not yet determinable.</w:t>
      </w:r>
    </w:p>
    <w:p>
      <w:pPr>
        <w:spacing w:after="0" w:line="214" w:lineRule="exact"/>
        <w:rPr>
          <w:rFonts w:ascii="Times New Roman" w:cs="Times New Roman" w:eastAsia="Times New Roman" w:hAnsi="Times New Roman"/>
          <w:sz w:val="18"/>
          <w:szCs w:val="18"/>
          <w:color w:val="auto"/>
        </w:rPr>
      </w:pPr>
    </w:p>
    <w:p>
      <w:pPr>
        <w:jc w:val="both"/>
        <w:ind w:firstLine="332"/>
        <w:spacing w:after="0" w:line="237" w:lineRule="auto"/>
        <w:tabs>
          <w:tab w:leader="none" w:pos="5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up to 53,150 shares of common stock held by Mr. Maheshwari; (b) up to 34,028 shares of common stock subject to restricted stock unit awards (RSUs) previously granted to Mr. Maheshwari that may vest and be released to him on or before March 31, 2026 upon satisfaction of the applicable service-based vesting conditions, to be reduced by the shares sold to satisfy tax withholding obligations arising from the vesting of such RSUs; and (c) up to 19,492 shares of common stock subject to performance-based restricted stock unit awards (PSUs) previously granted to Mr. Maheshwari that may vest and be released to him on or before March 31, 2026 upon satisfaction of the applicable performance-based vesting conditions, to be reduced by the shares sold to satisfy tax withholding obligations arising from the vesting of such PSUs. The actual number of shares of common stock that may vest and be released to Mr. Maheshwari upon satisfaction of the applicable performance-based vesting conditions pursuant to the PSUs is not yet determinable. Moreover, the actual number of share that will be sold pursuant to the Rule 10b5-1 trading arrangement is not yet determinable.</w:t>
      </w:r>
    </w:p>
    <w:p>
      <w:pPr>
        <w:spacing w:after="0" w:line="21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None of the Company’s other directors or executive officers adopted a Rule 10b5-1 trading arrangement or a non-Rule 10b5-1 trading arrangement, as defined in Item 408 of Regulation S-K under the Exchange Act during the three-month period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jc w:val="both"/>
        <w:ind w:firstLine="405"/>
        <w:spacing w:after="0" w:line="281"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Securities and Exchange Commission on Schedule 14A in connection with our 2025 Annual Meeting of Stockholders, or the 2025 Proxy Statement, which will be filed not later than 120 days after the end of our fiscal year ended December 31, 2024, under the headings “Management,” “Proposal 1 - Election of Directors,” “Information Regarding the Board of Directors and Corporate Governance,” and, if applicable, “Delinquent Section 16(a) Reports”, and is incorporated herein by reference.</w:t>
      </w:r>
    </w:p>
    <w:p>
      <w:pPr>
        <w:spacing w:after="0" w:line="16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which is available on our website at www.si-bone.com. The Code of Business Conduct and Ethics is intended to qualify as a “code of ethics” within the meaning of Section 406 of the Sarbanes-Oxley Act of 2002 and Item 406 of Regulation S-K. In addition, we intend to promptly disclose on our website in the future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w:t>
      </w:r>
    </w:p>
    <w:p>
      <w:pPr>
        <w:spacing w:after="0" w:line="21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directors, officers and employees that is designed to promote compliance with insider trading laws, rules and regulations, as well as procedures designed to further the foregoing purposes. From time to time, we may engage in transactions in our securities. It is our policy to comply with applicable laws and regulations relating to insider trading. A copy of our insider trading policy is filed as Exhibit 19.1 to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firstLine="405"/>
        <w:spacing w:after="0" w:line="297"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incorporated by reference to the information set forth in the sections titled “Executive Compensation” and “Compensation of Non-Employee Board Members” in our 2025 Proxy Statement.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will be incorporated by reference to the information set forth in the sections titled “Security Ownership of Certain Beneficial Owners and Management” and “Securities Authorized for Issuance Under Equity Compensation Plans” in our 2025 Proxy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3" w:lineRule="exact"/>
        <w:rPr>
          <w:sz w:val="20"/>
          <w:szCs w:val="20"/>
          <w:color w:val="auto"/>
        </w:rPr>
      </w:pPr>
    </w:p>
    <w:p>
      <w:pPr>
        <w:jc w:val="both"/>
        <w:ind w:firstLine="405"/>
        <w:spacing w:after="0" w:line="289"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“Information Regarding the Board of Directors and Corporate Governance,” respectively, in our 2025 Proxy Statement.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43" w:lineRule="exact"/>
        <w:rPr>
          <w:sz w:val="20"/>
          <w:szCs w:val="20"/>
          <w:color w:val="auto"/>
        </w:rPr>
      </w:pPr>
    </w:p>
    <w:p>
      <w:pPr>
        <w:jc w:val="both"/>
        <w:ind w:firstLine="405"/>
        <w:spacing w:after="0" w:line="313"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will be incorporated by reference to the information set forth in the section titled “Principal Accountant Fees and Services” in our 2025 Proxy Statement.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right="6960" w:firstLine="8"/>
        <w:spacing w:after="0" w:line="500" w:lineRule="auto"/>
        <w:tabs>
          <w:tab w:leader="none" w:pos="2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 1. Financial Statements</w:t>
      </w:r>
    </w:p>
    <w:p>
      <w:pPr>
        <w:spacing w:after="0" w:line="1" w:lineRule="exact"/>
        <w:rPr>
          <w:rFonts w:ascii="Times New Roman" w:cs="Times New Roman" w:eastAsia="Times New Roman" w:hAnsi="Times New Roman"/>
          <w:sz w:val="18"/>
          <w:szCs w:val="18"/>
          <w:color w:val="auto"/>
        </w:rPr>
      </w:pPr>
    </w:p>
    <w:p>
      <w:pPr>
        <w:ind w:right="3440" w:firstLine="405"/>
        <w:spacing w:after="0" w:line="36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in response to this Item is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2. Financial Statement Schedules</w:t>
      </w:r>
    </w:p>
    <w:p>
      <w:pPr>
        <w:spacing w:after="0" w:line="212" w:lineRule="exact"/>
        <w:rPr>
          <w:rFonts w:ascii="Times New Roman" w:cs="Times New Roman" w:eastAsia="Times New Roman" w:hAnsi="Times New Roman"/>
          <w:sz w:val="18"/>
          <w:szCs w:val="18"/>
          <w:color w:val="auto"/>
        </w:rPr>
      </w:pPr>
    </w:p>
    <w:p>
      <w:pPr>
        <w:ind w:right="880" w:firstLine="405"/>
        <w:spacing w:after="0" w:line="5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 3. Exhibits</w:t>
      </w: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as required by Item 601 of Regulation S-K are attached or incorporated by reference as stated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16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0"/>
                <w:szCs w:val="10"/>
                <w:color w:val="auto"/>
              </w:rPr>
            </w:pPr>
          </w:p>
        </w:tc>
        <w:tc>
          <w:tcPr>
            <w:tcW w:w="16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160" w:type="dxa"/>
            <w:vAlign w:val="bottom"/>
            <w:gridSpan w:val="11"/>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740" w:type="dxa"/>
            <w:vAlign w:val="bottom"/>
            <w:tcBorders>
              <w:top w:val="single" w:sz="8" w:color="auto"/>
              <w:bottom w:val="single" w:sz="8" w:color="0000FF"/>
            </w:tcBorders>
            <w:gridSpan w:val="7"/>
          </w:tcPr>
          <w:p>
            <w:pPr>
              <w:spacing w:after="0" w:line="188" w:lineRule="exact"/>
              <w:rPr>
                <w:sz w:val="20"/>
                <w:szCs w:val="20"/>
                <w:color w:val="auto"/>
              </w:rPr>
            </w:pPr>
            <w:r>
              <w:rPr>
                <w:rFonts w:ascii="Times New Roman" w:cs="Times New Roman" w:eastAsia="Times New Roman" w:hAnsi="Times New Roman"/>
                <w:sz w:val="18"/>
                <w:szCs w:val="18"/>
                <w:color w:val="0000FF"/>
                <w:w w:val="99"/>
              </w:rPr>
              <w:t>Amended and Restated Certificate of Incorporation.</w:t>
            </w:r>
          </w:p>
        </w:tc>
        <w:tc>
          <w:tcPr>
            <w:tcW w:w="1400" w:type="dxa"/>
            <w:vAlign w:val="bottom"/>
            <w:tcBorders>
              <w:top w:val="single" w:sz="8" w:color="auto"/>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20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001-38701</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ind w:right="113"/>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10/19/2018</w:t>
            </w:r>
          </w:p>
        </w:tc>
        <w:tc>
          <w:tcPr>
            <w:tcW w:w="0" w:type="dxa"/>
            <w:vAlign w:val="bottom"/>
          </w:tcPr>
          <w:p>
            <w:pPr>
              <w:spacing w:after="0"/>
              <w:rPr>
                <w:sz w:val="1"/>
                <w:szCs w:val="1"/>
                <w:color w:val="auto"/>
              </w:rPr>
            </w:pPr>
          </w:p>
        </w:tc>
      </w:tr>
      <w:tr>
        <w:trPr>
          <w:trHeight w:val="20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Second Amended and Restated Bylaws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001-38701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9/20/2023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Amendment to Amended and Restated Certificate of Incorporation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w w:val="99"/>
              </w:rPr>
              <w:t>001-38701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6/26/2024</w:t>
            </w:r>
          </w:p>
        </w:tc>
        <w:tc>
          <w:tcPr>
            <w:tcW w:w="0" w:type="dxa"/>
            <w:vAlign w:val="bottom"/>
          </w:tcPr>
          <w:p>
            <w:pPr>
              <w:spacing w:after="0"/>
              <w:rPr>
                <w:sz w:val="1"/>
                <w:szCs w:val="1"/>
                <w:color w:val="auto"/>
              </w:rPr>
            </w:pPr>
          </w:p>
        </w:tc>
      </w:tr>
      <w:tr>
        <w:trPr>
          <w:trHeight w:val="21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of Common Stock Certificate of the Company.</w:t>
            </w:r>
          </w:p>
        </w:tc>
        <w:tc>
          <w:tcPr>
            <w:tcW w:w="1000" w:type="dxa"/>
            <w:vAlign w:val="bottom"/>
            <w:tcBorders>
              <w:top w:val="single" w:sz="8" w:color="0000FF"/>
            </w:tcBorders>
          </w:tcPr>
          <w:p>
            <w:pPr>
              <w:spacing w:after="0"/>
              <w:rPr>
                <w:sz w:val="18"/>
                <w:szCs w:val="18"/>
                <w:color w:val="auto"/>
              </w:rPr>
            </w:pPr>
          </w:p>
        </w:tc>
        <w:tc>
          <w:tcPr>
            <w:tcW w:w="560" w:type="dxa"/>
            <w:vAlign w:val="bottom"/>
            <w:gridSpan w:val="3"/>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auto"/>
              </w:rPr>
              <w:t>333-227445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10/5/2018</w:t>
            </w:r>
          </w:p>
        </w:tc>
        <w:tc>
          <w:tcPr>
            <w:tcW w:w="0" w:type="dxa"/>
            <w:vAlign w:val="bottom"/>
          </w:tcPr>
          <w:p>
            <w:pPr>
              <w:spacing w:after="0"/>
              <w:rPr>
                <w:sz w:val="1"/>
                <w:szCs w:val="1"/>
                <w:color w:val="auto"/>
              </w:rPr>
            </w:pPr>
          </w:p>
        </w:tc>
      </w:tr>
      <w:tr>
        <w:trPr>
          <w:trHeight w:val="21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 xml:space="preserve">Reference is made to Exhibits </w:t>
            </w: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Description of SI-BONE, Inc. Common Stock</w:t>
            </w:r>
          </w:p>
        </w:tc>
        <w:tc>
          <w:tcPr>
            <w:tcW w:w="2040" w:type="dxa"/>
            <w:vAlign w:val="bottom"/>
            <w:gridSpan w:val="6"/>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w w:val="99"/>
              </w:rPr>
              <w:t>001-38701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4.3</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5/5/2020</w:t>
            </w:r>
          </w:p>
        </w:tc>
        <w:tc>
          <w:tcPr>
            <w:tcW w:w="0" w:type="dxa"/>
            <w:vAlign w:val="bottom"/>
          </w:tcPr>
          <w:p>
            <w:pPr>
              <w:spacing w:after="0"/>
              <w:rPr>
                <w:sz w:val="1"/>
                <w:szCs w:val="1"/>
                <w:color w:val="auto"/>
              </w:rPr>
            </w:pPr>
          </w:p>
        </w:tc>
      </w:tr>
      <w:tr>
        <w:trPr>
          <w:trHeight w:val="20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of Indemnity Agreement between the Registrant and each of its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auto"/>
              </w:rPr>
              <w:t>333-227445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9/20/2018</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directors and executive officers.</w:t>
            </w:r>
          </w:p>
        </w:tc>
        <w:tc>
          <w:tcPr>
            <w:tcW w:w="2700" w:type="dxa"/>
            <w:vAlign w:val="bottom"/>
            <w:tcBorders>
              <w:top w:val="single" w:sz="8" w:color="0000FF"/>
            </w:tcBorders>
            <w:gridSpan w:val="8"/>
          </w:tcPr>
          <w:p>
            <w:pPr>
              <w:spacing w:after="0"/>
              <w:rPr>
                <w:sz w:val="13"/>
                <w:szCs w:val="13"/>
                <w:color w:val="auto"/>
              </w:rPr>
            </w:pPr>
          </w:p>
        </w:tc>
        <w:tc>
          <w:tcPr>
            <w:tcW w:w="3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-521970</wp:posOffset>
            </wp:positionV>
            <wp:extent cx="39433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3">
                      <a:extLst>
                        <a:ext uri="{28A0092B-C50C-407E-A947-70E740481C1C}"/>
                      </a:extLst>
                    </a:blip>
                    <a:srcRect/>
                    <a:stretch>
                      <a:fillRect/>
                    </a:stretch>
                  </pic:blipFill>
                  <pic:spPr bwMode="auto">
                    <a:xfrm>
                      <a:off x="0" y="0"/>
                      <a:ext cx="394335" cy="12890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6"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FF"/>
        </w:rPr>
        <w:t>2008 Stock Plan and forms of agreements thereunder.</w:t>
      </w:r>
    </w:p>
    <w:p>
      <w:pPr>
        <w:spacing w:after="0" w:line="27"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FF"/>
        </w:rPr>
        <w:t>2018 Equity Incentive Plan</w:t>
      </w:r>
      <w:r>
        <w:rPr>
          <w:rFonts w:ascii="Times New Roman" w:cs="Times New Roman" w:eastAsia="Times New Roman" w:hAnsi="Times New Roman"/>
          <w:sz w:val="17"/>
          <w:szCs w:val="17"/>
          <w:color w:val="0000FF"/>
        </w:rPr>
        <w:t>.</w:t>
      </w:r>
    </w:p>
    <w:p>
      <w:pPr>
        <w:spacing w:after="0" w:line="23" w:lineRule="exact"/>
        <w:rPr>
          <w:sz w:val="20"/>
          <w:szCs w:val="20"/>
          <w:color w:val="auto"/>
        </w:rPr>
      </w:pPr>
    </w:p>
    <w:p>
      <w:pPr>
        <w:ind w:left="1300" w:hanging="1001"/>
        <w:spacing w:after="0" w:line="234" w:lineRule="auto"/>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0000FF"/>
        </w:rPr>
        <w:t>Forms of Stock Option Grant Notice, Option Agreement and Notice of Exercise under the 2018 Equity Incentive Plan.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333-227445</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10/5/2018</w:t>
            </w:r>
          </w:p>
        </w:tc>
      </w:t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333-227445</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10/5/2018</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333-227445</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10/5/2018</w:t>
            </w:r>
          </w:p>
        </w:tc>
      </w:tr>
    </w:tbl>
    <w:p>
      <w:pPr>
        <w:spacing w:after="0" w:line="175" w:lineRule="exact"/>
        <w:rPr>
          <w:sz w:val="20"/>
          <w:szCs w:val="20"/>
          <w:color w:val="auto"/>
        </w:rPr>
      </w:pPr>
    </w:p>
    <w:p>
      <w:pPr>
        <w:sectPr>
          <w:pgSz w:w="11900" w:h="16838" w:orient="portrait"/>
          <w:cols w:equalWidth="0" w:num="2">
            <w:col w:w="6380" w:space="380"/>
            <w:col w:w="448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300" w:type="dxa"/>
            <w:vAlign w:val="bottom"/>
          </w:tcPr>
          <w:p>
            <w:pPr>
              <w:jc w:val="center"/>
              <w:ind w:right="210"/>
              <w:spacing w:after="0" w:line="204" w:lineRule="exact"/>
              <w:rPr>
                <w:sz w:val="20"/>
                <w:szCs w:val="20"/>
                <w:color w:val="auto"/>
              </w:rPr>
            </w:pPr>
            <w:r>
              <w:rPr>
                <w:rFonts w:ascii="Times New Roman" w:cs="Times New Roman" w:eastAsia="Times New Roman" w:hAnsi="Times New Roman"/>
                <w:sz w:val="18"/>
                <w:szCs w:val="18"/>
                <w:color w:val="auto"/>
                <w:w w:val="95"/>
              </w:rPr>
              <w:t>10.5+</w:t>
            </w:r>
          </w:p>
        </w:tc>
        <w:tc>
          <w:tcPr>
            <w:tcW w:w="530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rPr>
              <w:t>Forms of Restricted Stock Unit Grant Notice and Restricted Stock Unit</w:t>
            </w:r>
          </w:p>
        </w:tc>
        <w:tc>
          <w:tcPr>
            <w:tcW w:w="8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001-38701</w:t>
            </w:r>
          </w:p>
        </w:tc>
        <w:tc>
          <w:tcPr>
            <w:tcW w:w="10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jc w:val="center"/>
              <w:ind w:left="90"/>
              <w:spacing w:after="0" w:line="204" w:lineRule="exact"/>
              <w:rPr>
                <w:sz w:val="20"/>
                <w:szCs w:val="20"/>
                <w:color w:val="auto"/>
              </w:rPr>
            </w:pPr>
            <w:r>
              <w:rPr>
                <w:rFonts w:ascii="Times New Roman" w:cs="Times New Roman" w:eastAsia="Times New Roman" w:hAnsi="Times New Roman"/>
                <w:sz w:val="18"/>
                <w:szCs w:val="18"/>
                <w:color w:val="auto"/>
                <w:w w:val="98"/>
              </w:rPr>
              <w:t>11/8/2022</w:t>
            </w:r>
          </w:p>
        </w:tc>
      </w:tr>
      <w:tr>
        <w:trPr>
          <w:trHeight w:val="155"/>
        </w:trPr>
        <w:tc>
          <w:tcPr>
            <w:tcW w:w="1300" w:type="dxa"/>
            <w:vAlign w:val="bottom"/>
          </w:tcPr>
          <w:p>
            <w:pPr>
              <w:spacing w:after="0"/>
              <w:rPr>
                <w:sz w:val="13"/>
                <w:szCs w:val="13"/>
                <w:color w:val="auto"/>
              </w:rPr>
            </w:pPr>
          </w:p>
        </w:tc>
        <w:tc>
          <w:tcPr>
            <w:tcW w:w="512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Award Agreement under the 2018 Equity Incentive Plan.</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23"/>
        </w:trPr>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10.6+</w:t>
            </w:r>
          </w:p>
        </w:tc>
        <w:tc>
          <w:tcPr>
            <w:tcW w:w="40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2018 Employee Stock Purchase Plan.</w:t>
            </w:r>
          </w:p>
        </w:tc>
        <w:tc>
          <w:tcPr>
            <w:tcW w:w="1220" w:type="dxa"/>
            <w:vAlign w:val="bottom"/>
            <w:gridSpan w:val="6"/>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333-227445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10/5/2018</w:t>
            </w:r>
          </w:p>
        </w:tc>
      </w:tr>
      <w:tr>
        <w:trPr>
          <w:trHeight w:val="20"/>
        </w:trPr>
        <w:tc>
          <w:tcPr>
            <w:tcW w:w="13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10.7+</w:t>
            </w:r>
          </w:p>
        </w:tc>
        <w:tc>
          <w:tcPr>
            <w:tcW w:w="5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Offer Letter Agreement, dated December 15, 2009, between the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333-227445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9/20/2018</w:t>
            </w:r>
          </w:p>
        </w:tc>
      </w:tr>
      <w:tr>
        <w:trPr>
          <w:trHeight w:val="155"/>
        </w:trPr>
        <w:tc>
          <w:tcPr>
            <w:tcW w:w="130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Registrant and Jeffrey W. Dunn.</w:t>
            </w:r>
          </w:p>
        </w:tc>
        <w:tc>
          <w:tcPr>
            <w:tcW w:w="2280" w:type="dxa"/>
            <w:vAlign w:val="bottom"/>
            <w:tcBorders>
              <w:top w:val="single" w:sz="8" w:color="0000FF"/>
            </w:tcBorders>
            <w:gridSpan w:val="5"/>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23"/>
        </w:trPr>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10.8+</w:t>
            </w:r>
          </w:p>
        </w:tc>
        <w:tc>
          <w:tcPr>
            <w:tcW w:w="5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Offer Letter Agreement, dated June 19, 2016, between the Registrant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333-227445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9/20/2018</w:t>
            </w:r>
          </w:p>
        </w:tc>
      </w:tr>
      <w:tr>
        <w:trPr>
          <w:trHeight w:val="155"/>
        </w:trPr>
        <w:tc>
          <w:tcPr>
            <w:tcW w:w="1300" w:type="dxa"/>
            <w:vAlign w:val="bottom"/>
          </w:tcPr>
          <w:p>
            <w:pPr>
              <w:spacing w:after="0"/>
              <w:rPr>
                <w:sz w:val="13"/>
                <w:szCs w:val="13"/>
                <w:color w:val="auto"/>
              </w:rPr>
            </w:pPr>
          </w:p>
        </w:tc>
        <w:tc>
          <w:tcPr>
            <w:tcW w:w="49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and Anthony J. Recupero.</w:t>
            </w:r>
          </w:p>
        </w:tc>
        <w:tc>
          <w:tcPr>
            <w:tcW w:w="1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10.9</w:t>
            </w:r>
          </w:p>
        </w:tc>
        <w:tc>
          <w:tcPr>
            <w:tcW w:w="5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Amended and Restated Investors’ Rights Agreement, dated June 2,</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333-227445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10/5/2018</w:t>
            </w:r>
          </w:p>
        </w:tc>
      </w:tr>
      <w:tr>
        <w:trPr>
          <w:trHeight w:val="20"/>
        </w:trPr>
        <w:tc>
          <w:tcPr>
            <w:tcW w:w="13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5300" w:type="dxa"/>
            <w:vAlign w:val="bottom"/>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2016, by and among the Registrant and the parties thereto, as amended</w:t>
            </w: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508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on October 4, 2018.</w:t>
            </w:r>
          </w:p>
        </w:tc>
        <w:tc>
          <w:tcPr>
            <w:tcW w:w="2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10.10+</w:t>
            </w:r>
          </w:p>
        </w:tc>
        <w:tc>
          <w:tcPr>
            <w:tcW w:w="5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Amendment to Restricted Stock Units of Laura Francis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11/12/2019</w:t>
            </w:r>
          </w:p>
        </w:tc>
      </w:tr>
      <w:tr>
        <w:trPr>
          <w:trHeight w:val="209"/>
        </w:trPr>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10.11+</w:t>
            </w:r>
          </w:p>
        </w:tc>
        <w:tc>
          <w:tcPr>
            <w:tcW w:w="39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Amendment to Offer Letter with Jeffrey Dunn</w:t>
            </w:r>
          </w:p>
        </w:tc>
        <w:tc>
          <w:tcPr>
            <w:tcW w:w="1340" w:type="dxa"/>
            <w:vAlign w:val="bottom"/>
            <w:gridSpan w:val="7"/>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1/7/2021</w:t>
            </w:r>
          </w:p>
        </w:tc>
      </w:tr>
      <w:tr>
        <w:trPr>
          <w:trHeight w:val="763"/>
        </w:trPr>
        <w:tc>
          <w:tcPr>
            <w:tcW w:w="1300" w:type="dxa"/>
            <w:vAlign w:val="bottom"/>
          </w:tcPr>
          <w:p>
            <w:pPr>
              <w:spacing w:after="0"/>
              <w:rPr>
                <w:sz w:val="24"/>
                <w:szCs w:val="24"/>
                <w:color w:val="auto"/>
              </w:rPr>
            </w:pPr>
          </w:p>
        </w:tc>
        <w:tc>
          <w:tcPr>
            <w:tcW w:w="3320" w:type="dxa"/>
            <w:vAlign w:val="bottom"/>
            <w:tcBorders>
              <w:top w:val="single" w:sz="8" w:color="0000FF"/>
            </w:tcBorders>
            <w:gridSpan w:val="5"/>
          </w:tcPr>
          <w:p>
            <w:pPr>
              <w:spacing w:after="0"/>
              <w:rPr>
                <w:sz w:val="24"/>
                <w:szCs w:val="24"/>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10.12+</w:t>
            </w:r>
          </w:p>
        </w:tc>
        <w:tc>
          <w:tcPr>
            <w:tcW w:w="37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7"/>
              </w:rPr>
              <w:t>2023 Non-Employee Directors' Compensation Policy</w:t>
            </w:r>
          </w:p>
        </w:tc>
        <w:tc>
          <w:tcPr>
            <w:tcW w:w="1340" w:type="dxa"/>
            <w:vAlign w:val="bottom"/>
            <w:gridSpan w:val="24"/>
          </w:tcPr>
          <w:p>
            <w:pPr>
              <w:spacing w:after="0"/>
              <w:rPr>
                <w:sz w:val="17"/>
                <w:szCs w:val="17"/>
                <w:color w:val="auto"/>
              </w:rPr>
            </w:pPr>
          </w:p>
        </w:tc>
      </w:tr>
      <w:tr>
        <w:trPr>
          <w:trHeight w:val="209"/>
        </w:trPr>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10.13+</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SI-BONE, Inc. Severance Benefit Plan and Form of Participation</w:t>
            </w:r>
          </w:p>
        </w:tc>
      </w:tr>
      <w:tr>
        <w:trPr>
          <w:trHeight w:val="156"/>
        </w:trPr>
        <w:tc>
          <w:tcPr>
            <w:tcW w:w="1160" w:type="dxa"/>
            <w:vAlign w:val="bottom"/>
          </w:tcPr>
          <w:p>
            <w:pPr>
              <w:spacing w:after="0"/>
              <w:rPr>
                <w:sz w:val="13"/>
                <w:szCs w:val="13"/>
                <w:color w:val="auto"/>
              </w:rPr>
            </w:pPr>
          </w:p>
        </w:tc>
        <w:tc>
          <w:tcPr>
            <w:tcW w:w="7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89"/>
              </w:rPr>
              <w:t>Agreement</w:t>
            </w:r>
          </w:p>
        </w:tc>
        <w:tc>
          <w:tcPr>
            <w:tcW w:w="39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10.14+</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Offer Letter Agreement, dated March 4, 2021, between the Registrant</w:t>
            </w:r>
          </w:p>
        </w:tc>
      </w:tr>
      <w:tr>
        <w:trPr>
          <w:trHeight w:val="156"/>
        </w:trPr>
        <w:tc>
          <w:tcPr>
            <w:tcW w:w="1160" w:type="dxa"/>
            <w:vAlign w:val="bottom"/>
          </w:tcPr>
          <w:p>
            <w:pPr>
              <w:spacing w:after="0"/>
              <w:rPr>
                <w:sz w:val="13"/>
                <w:szCs w:val="13"/>
                <w:color w:val="auto"/>
              </w:rPr>
            </w:pPr>
          </w:p>
        </w:tc>
        <w:tc>
          <w:tcPr>
            <w:tcW w:w="4980" w:type="dxa"/>
            <w:vAlign w:val="bottom"/>
            <w:tcBorders>
              <w:top w:val="single" w:sz="8" w:color="0000FF"/>
            </w:tcBorders>
            <w:gridSpan w:val="35"/>
          </w:tcPr>
          <w:p>
            <w:pPr>
              <w:spacing w:after="0" w:line="156" w:lineRule="exact"/>
              <w:rPr>
                <w:sz w:val="20"/>
                <w:szCs w:val="20"/>
                <w:color w:val="auto"/>
              </w:rPr>
            </w:pPr>
            <w:r>
              <w:rPr>
                <w:rFonts w:ascii="Times New Roman" w:cs="Times New Roman" w:eastAsia="Times New Roman" w:hAnsi="Times New Roman"/>
                <w:sz w:val="18"/>
                <w:szCs w:val="18"/>
                <w:color w:val="0000FF"/>
              </w:rPr>
              <w:t>and Mika Nishimura</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10.15</w:t>
            </w:r>
          </w:p>
        </w:tc>
        <w:tc>
          <w:tcPr>
            <w:tcW w:w="44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Office Lease Agreement, dated February 2, 2018, between the</w:t>
            </w:r>
          </w:p>
        </w:tc>
        <w:tc>
          <w:tcPr>
            <w:tcW w:w="700" w:type="dxa"/>
            <w:vAlign w:val="bottom"/>
            <w:gridSpan w:val="20"/>
          </w:tcPr>
          <w:p>
            <w:pPr>
              <w:spacing w:after="0"/>
              <w:rPr>
                <w:sz w:val="19"/>
                <w:szCs w:val="19"/>
                <w:color w:val="auto"/>
              </w:rPr>
            </w:pPr>
          </w:p>
        </w:tc>
      </w:tr>
      <w:tr>
        <w:trPr>
          <w:trHeight w:val="155"/>
        </w:trPr>
        <w:tc>
          <w:tcPr>
            <w:tcW w:w="1160" w:type="dxa"/>
            <w:vAlign w:val="bottom"/>
          </w:tcPr>
          <w:p>
            <w:pPr>
              <w:spacing w:after="0"/>
              <w:rPr>
                <w:sz w:val="13"/>
                <w:szCs w:val="13"/>
                <w:color w:val="auto"/>
              </w:rPr>
            </w:pPr>
          </w:p>
        </w:tc>
        <w:tc>
          <w:tcPr>
            <w:tcW w:w="5120" w:type="dxa"/>
            <w:vAlign w:val="bottom"/>
            <w:gridSpan w:val="42"/>
          </w:tcPr>
          <w:p>
            <w:pPr>
              <w:spacing w:after="0" w:line="156" w:lineRule="exact"/>
              <w:rPr>
                <w:sz w:val="20"/>
                <w:szCs w:val="20"/>
                <w:color w:val="auto"/>
              </w:rPr>
            </w:pPr>
            <w:r>
              <w:rPr>
                <w:rFonts w:ascii="Times New Roman" w:cs="Times New Roman" w:eastAsia="Times New Roman" w:hAnsi="Times New Roman"/>
                <w:sz w:val="18"/>
                <w:szCs w:val="18"/>
                <w:color w:val="0000FF"/>
              </w:rPr>
              <w:t>Registrant and Bixby SPE Finance 11, LLC, as amended on April 16,</w:t>
            </w:r>
          </w:p>
        </w:tc>
      </w:tr>
      <w:tr>
        <w:trPr>
          <w:trHeight w:val="156"/>
        </w:trPr>
        <w:tc>
          <w:tcPr>
            <w:tcW w:w="116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78"/>
              </w:rPr>
              <w:t>2018.</w:t>
            </w: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10.16</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Loan and Security Agreement, dated August 12, 2021, between the</w:t>
            </w:r>
          </w:p>
        </w:tc>
      </w:tr>
      <w:tr>
        <w:trPr>
          <w:trHeight w:val="156"/>
        </w:trPr>
        <w:tc>
          <w:tcPr>
            <w:tcW w:w="1160" w:type="dxa"/>
            <w:vAlign w:val="bottom"/>
          </w:tcPr>
          <w:p>
            <w:pPr>
              <w:spacing w:after="0"/>
              <w:rPr>
                <w:sz w:val="13"/>
                <w:szCs w:val="13"/>
                <w:color w:val="auto"/>
              </w:rPr>
            </w:pPr>
          </w:p>
        </w:tc>
        <w:tc>
          <w:tcPr>
            <w:tcW w:w="4780" w:type="dxa"/>
            <w:vAlign w:val="bottom"/>
            <w:tcBorders>
              <w:top w:val="single" w:sz="8" w:color="0000FF"/>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Registrant and Silicon Valley Bank</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10.17+</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w w:val="99"/>
              </w:rPr>
              <w:t>Second Amendment to the Offer Letter Agreement and Severance Plan</w:t>
            </w:r>
          </w:p>
        </w:tc>
      </w:tr>
      <w:tr>
        <w:trPr>
          <w:trHeight w:val="155"/>
        </w:trPr>
        <w:tc>
          <w:tcPr>
            <w:tcW w:w="1160" w:type="dxa"/>
            <w:vAlign w:val="bottom"/>
          </w:tcPr>
          <w:p>
            <w:pPr>
              <w:spacing w:after="0"/>
              <w:rPr>
                <w:sz w:val="13"/>
                <w:szCs w:val="13"/>
                <w:color w:val="auto"/>
              </w:rPr>
            </w:pPr>
          </w:p>
        </w:tc>
        <w:tc>
          <w:tcPr>
            <w:tcW w:w="5080" w:type="dxa"/>
            <w:vAlign w:val="bottom"/>
            <w:tcBorders>
              <w:top w:val="single" w:sz="8" w:color="0000FF"/>
            </w:tcBorders>
            <w:gridSpan w:val="40"/>
          </w:tcPr>
          <w:p>
            <w:pPr>
              <w:spacing w:after="0" w:line="156" w:lineRule="exact"/>
              <w:rPr>
                <w:sz w:val="20"/>
                <w:szCs w:val="20"/>
                <w:color w:val="auto"/>
              </w:rPr>
            </w:pPr>
            <w:r>
              <w:rPr>
                <w:rFonts w:ascii="Times New Roman" w:cs="Times New Roman" w:eastAsia="Times New Roman" w:hAnsi="Times New Roman"/>
                <w:sz w:val="18"/>
                <w:szCs w:val="18"/>
                <w:color w:val="0000FF"/>
              </w:rPr>
              <w:t>Participation Agreement with Jeffrey Dunn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10.18+</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Offer Letter Agreement, dated April 20, 2021, between the Registrant</w:t>
            </w:r>
          </w:p>
        </w:tc>
      </w:tr>
      <w:tr>
        <w:trPr>
          <w:trHeight w:val="156"/>
        </w:trPr>
        <w:tc>
          <w:tcPr>
            <w:tcW w:w="116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5"/>
              </w:rPr>
              <w:t>and Anshul Maheshwari</w:t>
            </w:r>
          </w:p>
        </w:tc>
        <w:tc>
          <w:tcPr>
            <w:tcW w:w="330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10.19+</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Amended and Restated Participation Agreement dated April 20, 2021,</w:t>
            </w:r>
          </w:p>
        </w:tc>
      </w:tr>
      <w:tr>
        <w:trPr>
          <w:trHeight w:val="155"/>
        </w:trPr>
        <w:tc>
          <w:tcPr>
            <w:tcW w:w="1160" w:type="dxa"/>
            <w:vAlign w:val="bottom"/>
          </w:tcPr>
          <w:p>
            <w:pPr>
              <w:spacing w:after="0"/>
              <w:rPr>
                <w:sz w:val="13"/>
                <w:szCs w:val="13"/>
                <w:color w:val="auto"/>
              </w:rPr>
            </w:pPr>
          </w:p>
        </w:tc>
        <w:tc>
          <w:tcPr>
            <w:tcW w:w="5040" w:type="dxa"/>
            <w:vAlign w:val="bottom"/>
            <w:tcBorders>
              <w:top w:val="single" w:sz="8" w:color="0000FF"/>
            </w:tcBorders>
            <w:gridSpan w:val="38"/>
          </w:tcPr>
          <w:p>
            <w:pPr>
              <w:spacing w:after="0" w:line="156" w:lineRule="exact"/>
              <w:rPr>
                <w:sz w:val="20"/>
                <w:szCs w:val="20"/>
                <w:color w:val="auto"/>
              </w:rPr>
            </w:pPr>
            <w:r>
              <w:rPr>
                <w:rFonts w:ascii="Times New Roman" w:cs="Times New Roman" w:eastAsia="Times New Roman" w:hAnsi="Times New Roman"/>
                <w:sz w:val="18"/>
                <w:szCs w:val="18"/>
                <w:color w:val="0000FF"/>
              </w:rPr>
              <w:t>between the Registrant and Laura Francis</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10.20+</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Form of Performance-Based Restricted Stock Unit Agreement</w:t>
            </w: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6"/>
              </w:rPr>
              <w:t>10.21#</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First Amendment to Loan and Security Agreement, dated January 6,</w:t>
            </w:r>
          </w:p>
        </w:tc>
      </w:tr>
      <w:tr>
        <w:trPr>
          <w:trHeight w:val="156"/>
        </w:trPr>
        <w:tc>
          <w:tcPr>
            <w:tcW w:w="116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w w:val="97"/>
              </w:rPr>
              <w:t>2023 between the Registrant and Silicon Valley Bank</w:t>
            </w:r>
          </w:p>
        </w:tc>
        <w:tc>
          <w:tcPr>
            <w:tcW w:w="11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10.22</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Letter Agreement, dated March 24, 2023 between the Registrant and</w:t>
            </w:r>
          </w:p>
        </w:tc>
      </w:tr>
      <w:tr>
        <w:trPr>
          <w:trHeight w:val="156"/>
        </w:trPr>
        <w:tc>
          <w:tcPr>
            <w:tcW w:w="1160" w:type="dxa"/>
            <w:vAlign w:val="bottom"/>
          </w:tcPr>
          <w:p>
            <w:pPr>
              <w:spacing w:after="0"/>
              <w:rPr>
                <w:sz w:val="13"/>
                <w:szCs w:val="13"/>
                <w:color w:val="auto"/>
              </w:rPr>
            </w:pPr>
          </w:p>
        </w:tc>
        <w:tc>
          <w:tcPr>
            <w:tcW w:w="4900" w:type="dxa"/>
            <w:vAlign w:val="bottom"/>
            <w:tcBorders>
              <w:top w:val="single" w:sz="8" w:color="0000FF"/>
            </w:tcBorders>
            <w:gridSpan w:val="31"/>
          </w:tcPr>
          <w:p>
            <w:pPr>
              <w:spacing w:after="0" w:line="156" w:lineRule="exact"/>
              <w:rPr>
                <w:sz w:val="20"/>
                <w:szCs w:val="20"/>
                <w:color w:val="auto"/>
              </w:rPr>
            </w:pPr>
            <w:r>
              <w:rPr>
                <w:rFonts w:ascii="Times New Roman" w:cs="Times New Roman" w:eastAsia="Times New Roman" w:hAnsi="Times New Roman"/>
                <w:sz w:val="18"/>
                <w:szCs w:val="18"/>
                <w:color w:val="0000FF"/>
              </w:rPr>
              <w:t>Silicon Valley Bridge Bank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10.23+</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Performance Stock Unit Grants to Executive Officers or Key</w:t>
            </w:r>
          </w:p>
        </w:tc>
      </w:tr>
      <w:tr>
        <w:trPr>
          <w:trHeight w:val="155"/>
        </w:trPr>
        <w:tc>
          <w:tcPr>
            <w:tcW w:w="1160" w:type="dxa"/>
            <w:vAlign w:val="bottom"/>
          </w:tcPr>
          <w:p>
            <w:pPr>
              <w:spacing w:after="0"/>
              <w:rPr>
                <w:sz w:val="13"/>
                <w:szCs w:val="13"/>
                <w:color w:val="auto"/>
              </w:rPr>
            </w:pPr>
          </w:p>
        </w:tc>
        <w:tc>
          <w:tcPr>
            <w:tcW w:w="432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Executives</w:t>
            </w:r>
          </w:p>
        </w:tc>
        <w:tc>
          <w:tcPr>
            <w:tcW w:w="1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6"/>
              </w:rPr>
              <w:t>10.24#</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Second Amendment to Loan and Security Agreement, dated January</w:t>
            </w:r>
          </w:p>
        </w:tc>
      </w:tr>
      <w:tr>
        <w:trPr>
          <w:trHeight w:val="156"/>
        </w:trPr>
        <w:tc>
          <w:tcPr>
            <w:tcW w:w="1160" w:type="dxa"/>
            <w:vAlign w:val="bottom"/>
          </w:tcPr>
          <w:p>
            <w:pPr>
              <w:spacing w:after="0"/>
              <w:rPr>
                <w:sz w:val="13"/>
                <w:szCs w:val="13"/>
                <w:color w:val="auto"/>
              </w:rPr>
            </w:pPr>
          </w:p>
        </w:tc>
        <w:tc>
          <w:tcPr>
            <w:tcW w:w="4920" w:type="dxa"/>
            <w:vAlign w:val="bottom"/>
            <w:tcBorders>
              <w:top w:val="single" w:sz="8" w:color="0000FF"/>
            </w:tcBorders>
            <w:gridSpan w:val="32"/>
          </w:tcPr>
          <w:p>
            <w:pPr>
              <w:spacing w:after="0" w:line="156" w:lineRule="exact"/>
              <w:rPr>
                <w:sz w:val="20"/>
                <w:szCs w:val="20"/>
                <w:color w:val="auto"/>
              </w:rPr>
            </w:pPr>
            <w:r>
              <w:rPr>
                <w:rFonts w:ascii="Times New Roman" w:cs="Times New Roman" w:eastAsia="Times New Roman" w:hAnsi="Times New Roman"/>
                <w:sz w:val="18"/>
                <w:szCs w:val="18"/>
                <w:color w:val="0000FF"/>
              </w:rPr>
              <w:t>25, 2024 between the Registrant and Silicon Valley Bank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6"/>
              </w:rPr>
              <w:t>10.25#</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Manufacture and Supply Agreement, dated February 23, 2024,</w:t>
            </w:r>
          </w:p>
        </w:tc>
      </w:tr>
      <w:tr>
        <w:trPr>
          <w:trHeight w:val="155"/>
        </w:trPr>
        <w:tc>
          <w:tcPr>
            <w:tcW w:w="116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w w:val="97"/>
              </w:rPr>
              <w:t>between the Registrant and RMS Company</w:t>
            </w:r>
          </w:p>
        </w:tc>
        <w:tc>
          <w:tcPr>
            <w:tcW w:w="1400" w:type="dxa"/>
            <w:vAlign w:val="bottom"/>
            <w:tcBorders>
              <w:top w:val="single" w:sz="8" w:color="0000FF"/>
            </w:tcBorders>
            <w:gridSpan w:val="7"/>
          </w:tcPr>
          <w:p>
            <w:pPr>
              <w:spacing w:after="0"/>
              <w:rPr>
                <w:sz w:val="13"/>
                <w:szCs w:val="13"/>
                <w:color w:val="auto"/>
              </w:rPr>
            </w:pPr>
          </w:p>
        </w:tc>
        <w:tc>
          <w:tcPr>
            <w:tcW w:w="2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10.26</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w w:val="99"/>
              </w:rPr>
              <w:t>Second Amendment to Lease Agreement, dated July 17, 2024, between</w:t>
            </w:r>
          </w:p>
        </w:tc>
      </w:tr>
      <w:tr>
        <w:trPr>
          <w:trHeight w:val="155"/>
        </w:trPr>
        <w:tc>
          <w:tcPr>
            <w:tcW w:w="116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w w:val="97"/>
              </w:rPr>
              <w:t>the Registrant and Bixby SPE Finance 11, LLC.</w:t>
            </w:r>
          </w:p>
        </w:tc>
        <w:tc>
          <w:tcPr>
            <w:tcW w:w="17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6"/>
              </w:rPr>
              <w:t>10.27#</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Third Amendment to Loan and Security Agreement, dated November</w:t>
            </w:r>
          </w:p>
        </w:tc>
      </w:tr>
      <w:tr>
        <w:trPr>
          <w:trHeight w:val="155"/>
        </w:trPr>
        <w:tc>
          <w:tcPr>
            <w:tcW w:w="1160" w:type="dxa"/>
            <w:vAlign w:val="bottom"/>
          </w:tcPr>
          <w:p>
            <w:pPr>
              <w:spacing w:after="0"/>
              <w:rPr>
                <w:sz w:val="13"/>
                <w:szCs w:val="13"/>
                <w:color w:val="auto"/>
              </w:rPr>
            </w:pPr>
          </w:p>
        </w:tc>
        <w:tc>
          <w:tcPr>
            <w:tcW w:w="4960" w:type="dxa"/>
            <w:vAlign w:val="bottom"/>
            <w:tcBorders>
              <w:top w:val="single" w:sz="8" w:color="0000FF"/>
            </w:tcBorders>
            <w:gridSpan w:val="34"/>
          </w:tcPr>
          <w:p>
            <w:pPr>
              <w:spacing w:after="0" w:line="156" w:lineRule="exact"/>
              <w:rPr>
                <w:sz w:val="20"/>
                <w:szCs w:val="20"/>
                <w:color w:val="auto"/>
              </w:rPr>
            </w:pPr>
            <w:r>
              <w:rPr>
                <w:rFonts w:ascii="Times New Roman" w:cs="Times New Roman" w:eastAsia="Times New Roman" w:hAnsi="Times New Roman"/>
                <w:sz w:val="18"/>
                <w:szCs w:val="18"/>
                <w:color w:val="0000FF"/>
              </w:rPr>
              <w:t>8, 2024, between the Registrant and Silicon Valley Bank</w:t>
            </w: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10.28+ *</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Offer Letter Agreement dated April 17, 2024, between the Registrant</w:t>
            </w:r>
          </w:p>
        </w:tc>
      </w:tr>
      <w:tr>
        <w:trPr>
          <w:trHeight w:val="155"/>
        </w:trPr>
        <w:tc>
          <w:tcPr>
            <w:tcW w:w="116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3"/>
              </w:rPr>
              <w:t>and Thomas A. West</w:t>
            </w:r>
          </w:p>
        </w:tc>
        <w:tc>
          <w:tcPr>
            <w:tcW w:w="3500" w:type="dxa"/>
            <w:vAlign w:val="bottom"/>
            <w:tcBorders>
              <w:top w:val="single" w:sz="8" w:color="0000FF"/>
            </w:tcBorders>
            <w:gridSpan w:val="27"/>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10.29+*</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Form of Financial Performance-Based Restricted Stock Unit</w:t>
            </w:r>
          </w:p>
        </w:tc>
      </w:tr>
      <w:tr>
        <w:trPr>
          <w:trHeight w:val="155"/>
        </w:trPr>
        <w:tc>
          <w:tcPr>
            <w:tcW w:w="1160" w:type="dxa"/>
            <w:vAlign w:val="bottom"/>
          </w:tcPr>
          <w:p>
            <w:pPr>
              <w:spacing w:after="0"/>
              <w:rPr>
                <w:sz w:val="13"/>
                <w:szCs w:val="13"/>
                <w:color w:val="auto"/>
              </w:rPr>
            </w:pPr>
          </w:p>
        </w:tc>
        <w:tc>
          <w:tcPr>
            <w:tcW w:w="7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89"/>
              </w:rPr>
              <w:t>Agreement</w:t>
            </w:r>
          </w:p>
        </w:tc>
        <w:tc>
          <w:tcPr>
            <w:tcW w:w="3560" w:type="dxa"/>
            <w:vAlign w:val="bottom"/>
            <w:tcBorders>
              <w:top w:val="single" w:sz="8" w:color="0000FF"/>
            </w:tcBorders>
            <w:gridSpan w:val="17"/>
          </w:tcPr>
          <w:p>
            <w:pPr>
              <w:spacing w:after="0"/>
              <w:rPr>
                <w:sz w:val="13"/>
                <w:szCs w:val="13"/>
                <w:color w:val="auto"/>
              </w:rPr>
            </w:pPr>
          </w:p>
        </w:tc>
        <w:tc>
          <w:tcPr>
            <w:tcW w:w="36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19.1*</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u w:val="single" w:color="auto"/>
                <w:color w:val="0000FF"/>
              </w:rPr>
              <w:t>Insider</w:t>
            </w:r>
            <w:r>
              <w:rPr>
                <w:rFonts w:ascii="Times New Roman" w:cs="Times New Roman" w:eastAsia="Times New Roman" w:hAnsi="Times New Roman"/>
                <w:sz w:val="18"/>
                <w:szCs w:val="18"/>
                <w:color w:val="0000FF"/>
              </w:rPr>
              <w:t xml:space="preserve"> Trading Policy</w:t>
            </w:r>
          </w:p>
        </w:tc>
      </w:tr>
      <w:tr>
        <w:trPr>
          <w:trHeight w:val="20"/>
        </w:trPr>
        <w:tc>
          <w:tcPr>
            <w:tcW w:w="116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21.1*</w:t>
            </w:r>
          </w:p>
        </w:tc>
        <w:tc>
          <w:tcPr>
            <w:tcW w:w="23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6"/>
              </w:rPr>
              <w:t>List of Subsidiaries of Registrant</w:t>
            </w:r>
          </w:p>
        </w:tc>
        <w:tc>
          <w:tcPr>
            <w:tcW w:w="2800" w:type="dxa"/>
            <w:vAlign w:val="bottom"/>
            <w:gridSpan w:val="31"/>
          </w:tcPr>
          <w:p>
            <w:pPr>
              <w:spacing w:after="0"/>
              <w:rPr>
                <w:sz w:val="18"/>
                <w:szCs w:val="18"/>
                <w:color w:val="auto"/>
              </w:rPr>
            </w:pPr>
          </w:p>
        </w:tc>
      </w:tr>
      <w:tr>
        <w:trPr>
          <w:trHeight w:val="210"/>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23.1*</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Consent of PricewaterhouseCoopers, Independent Registered Public</w:t>
            </w:r>
          </w:p>
        </w:tc>
      </w:tr>
      <w:tr>
        <w:trPr>
          <w:trHeight w:val="155"/>
        </w:trPr>
        <w:tc>
          <w:tcPr>
            <w:tcW w:w="1160" w:type="dxa"/>
            <w:vAlign w:val="bottom"/>
          </w:tcPr>
          <w:p>
            <w:pPr>
              <w:spacing w:after="0"/>
              <w:rPr>
                <w:sz w:val="13"/>
                <w:szCs w:val="13"/>
                <w:color w:val="auto"/>
              </w:rPr>
            </w:pPr>
          </w:p>
        </w:tc>
        <w:tc>
          <w:tcPr>
            <w:tcW w:w="4860" w:type="dxa"/>
            <w:vAlign w:val="bottom"/>
            <w:tcBorders>
              <w:top w:val="single" w:sz="8" w:color="0000FF"/>
            </w:tcBorders>
            <w:gridSpan w:val="29"/>
          </w:tcPr>
          <w:p>
            <w:pPr>
              <w:spacing w:after="0" w:line="156" w:lineRule="exact"/>
              <w:rPr>
                <w:sz w:val="20"/>
                <w:szCs w:val="20"/>
                <w:color w:val="auto"/>
              </w:rPr>
            </w:pPr>
            <w:r>
              <w:rPr>
                <w:rFonts w:ascii="Times New Roman" w:cs="Times New Roman" w:eastAsia="Times New Roman" w:hAnsi="Times New Roman"/>
                <w:sz w:val="18"/>
                <w:szCs w:val="18"/>
                <w:color w:val="0000FF"/>
              </w:rPr>
              <w:t>Accounting Firm</w:t>
            </w: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24.1*</w:t>
            </w:r>
          </w:p>
        </w:tc>
        <w:tc>
          <w:tcPr>
            <w:tcW w:w="46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Power of Attorney (contained in the signature page of this report)</w:t>
            </w:r>
          </w:p>
        </w:tc>
        <w:tc>
          <w:tcPr>
            <w:tcW w:w="460" w:type="dxa"/>
            <w:vAlign w:val="bottom"/>
            <w:gridSpan w:val="17"/>
          </w:tcPr>
          <w:p>
            <w:pPr>
              <w:spacing w:after="0"/>
              <w:rPr>
                <w:sz w:val="19"/>
                <w:szCs w:val="19"/>
                <w:color w:val="auto"/>
              </w:rPr>
            </w:pPr>
          </w:p>
        </w:tc>
      </w:tr>
      <w:tr>
        <w:trPr>
          <w:trHeight w:val="210"/>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31.1*</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w:t>
            </w:r>
          </w:p>
        </w:tc>
      </w:tr>
      <w:tr>
        <w:trPr>
          <w:trHeight w:val="155"/>
        </w:trPr>
        <w:tc>
          <w:tcPr>
            <w:tcW w:w="116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6"/>
              </w:rPr>
              <w:t>the Sarbanes-Oxley Act of 2002</w:t>
            </w:r>
          </w:p>
        </w:tc>
        <w:tc>
          <w:tcPr>
            <w:tcW w:w="2800" w:type="dxa"/>
            <w:vAlign w:val="bottom"/>
            <w:tcBorders>
              <w:top w:val="single" w:sz="8" w:color="0000FF"/>
            </w:tcBorders>
            <w:gridSpan w:val="2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31.2*</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w:t>
            </w:r>
          </w:p>
        </w:tc>
      </w:tr>
      <w:tr>
        <w:trPr>
          <w:trHeight w:val="155"/>
        </w:trPr>
        <w:tc>
          <w:tcPr>
            <w:tcW w:w="116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6"/>
              </w:rPr>
              <w:t>the Sarbanes-Oxley Act of 2002</w:t>
            </w:r>
          </w:p>
        </w:tc>
        <w:tc>
          <w:tcPr>
            <w:tcW w:w="2760" w:type="dxa"/>
            <w:vAlign w:val="bottom"/>
            <w:tcBorders>
              <w:top w:val="single" w:sz="8" w:color="0000FF"/>
            </w:tcBorders>
            <w:gridSpan w:val="27"/>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6"/>
              </w:rPr>
              <w:t>32.1**</w:t>
            </w: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w:t>
            </w:r>
          </w:p>
        </w:tc>
      </w:tr>
      <w:tr>
        <w:trPr>
          <w:trHeight w:val="155"/>
        </w:trPr>
        <w:tc>
          <w:tcPr>
            <w:tcW w:w="1160" w:type="dxa"/>
            <w:vAlign w:val="bottom"/>
          </w:tcPr>
          <w:p>
            <w:pPr>
              <w:spacing w:after="0"/>
              <w:rPr>
                <w:sz w:val="13"/>
                <w:szCs w:val="13"/>
                <w:color w:val="auto"/>
              </w:rPr>
            </w:pPr>
          </w:p>
        </w:tc>
        <w:tc>
          <w:tcPr>
            <w:tcW w:w="4800" w:type="dxa"/>
            <w:vAlign w:val="bottom"/>
            <w:tcBorders>
              <w:top w:val="single" w:sz="8" w:color="0000FF"/>
            </w:tcBorders>
            <w:gridSpan w:val="28"/>
          </w:tcPr>
          <w:p>
            <w:pPr>
              <w:spacing w:after="0" w:line="156" w:lineRule="exact"/>
              <w:rPr>
                <w:sz w:val="20"/>
                <w:szCs w:val="20"/>
                <w:color w:val="auto"/>
              </w:rPr>
            </w:pPr>
            <w:r>
              <w:rPr>
                <w:rFonts w:ascii="Times New Roman" w:cs="Times New Roman" w:eastAsia="Times New Roman" w:hAnsi="Times New Roman"/>
                <w:sz w:val="18"/>
                <w:szCs w:val="18"/>
                <w:color w:val="0000FF"/>
                <w:w w:val="98"/>
              </w:rPr>
              <w:t>Officer Pursuant to Section 906 of the Sarbanes-Oxley Act of 2002</w:t>
            </w:r>
          </w:p>
        </w:tc>
        <w:tc>
          <w:tcPr>
            <w:tcW w:w="320" w:type="dxa"/>
            <w:vAlign w:val="bottom"/>
            <w:gridSpan w:val="14"/>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97.1</w:t>
            </w:r>
          </w:p>
        </w:tc>
        <w:tc>
          <w:tcPr>
            <w:tcW w:w="26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6"/>
              </w:rPr>
              <w:t>2023 Recoupment (Clawback) Policy</w:t>
            </w:r>
          </w:p>
        </w:tc>
        <w:tc>
          <w:tcPr>
            <w:tcW w:w="2120" w:type="dxa"/>
            <w:vAlign w:val="bottom"/>
            <w:tcBorders>
              <w:top w:val="single" w:sz="8" w:color="0000FF"/>
            </w:tcBorders>
            <w:gridSpan w:val="13"/>
          </w:tcPr>
          <w:p>
            <w:pPr>
              <w:spacing w:after="0"/>
              <w:rPr>
                <w:sz w:val="19"/>
                <w:szCs w:val="19"/>
                <w:color w:val="auto"/>
              </w:rPr>
            </w:pPr>
          </w:p>
        </w:tc>
        <w:tc>
          <w:tcPr>
            <w:tcW w:w="360" w:type="dxa"/>
            <w:vAlign w:val="bottom"/>
            <w:gridSpan w:val="16"/>
          </w:tcPr>
          <w:p>
            <w:pPr>
              <w:spacing w:after="0"/>
              <w:rPr>
                <w:sz w:val="19"/>
                <w:szCs w:val="19"/>
                <w:color w:val="auto"/>
              </w:rPr>
            </w:pPr>
          </w:p>
        </w:tc>
      </w:tr>
      <w:tr>
        <w:trPr>
          <w:trHeight w:val="196"/>
        </w:trPr>
        <w:tc>
          <w:tcPr>
            <w:tcW w:w="116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94"/>
              </w:rPr>
              <w:t>101.INS*</w:t>
            </w:r>
          </w:p>
        </w:tc>
        <w:tc>
          <w:tcPr>
            <w:tcW w:w="51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r>
      <w:tr>
        <w:trPr>
          <w:trHeight w:val="175"/>
        </w:trPr>
        <w:tc>
          <w:tcPr>
            <w:tcW w:w="1160" w:type="dxa"/>
            <w:vAlign w:val="bottom"/>
          </w:tcPr>
          <w:p>
            <w:pPr>
              <w:spacing w:after="0"/>
              <w:rPr>
                <w:sz w:val="15"/>
                <w:szCs w:val="15"/>
                <w:color w:val="auto"/>
              </w:rPr>
            </w:pPr>
          </w:p>
        </w:tc>
        <w:tc>
          <w:tcPr>
            <w:tcW w:w="5120" w:type="dxa"/>
            <w:vAlign w:val="bottom"/>
            <w:gridSpan w:val="42"/>
          </w:tcPr>
          <w:p>
            <w:pPr>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r>
      <w:tr>
        <w:trPr>
          <w:trHeight w:val="234"/>
        </w:trPr>
        <w:tc>
          <w:tcPr>
            <w:tcW w:w="1160" w:type="dxa"/>
            <w:vAlign w:val="bottom"/>
          </w:tcPr>
          <w:p>
            <w:pPr>
              <w:spacing w:after="0"/>
              <w:rPr>
                <w:sz w:val="20"/>
                <w:szCs w:val="20"/>
                <w:color w:val="auto"/>
              </w:rPr>
            </w:pPr>
          </w:p>
        </w:tc>
        <w:tc>
          <w:tcPr>
            <w:tcW w:w="5120" w:type="dxa"/>
            <w:vAlign w:val="bottom"/>
            <w:gridSpan w:val="4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738"/>
        </w:trPr>
        <w:tc>
          <w:tcPr>
            <w:tcW w:w="1160" w:type="dxa"/>
            <w:vAlign w:val="bottom"/>
          </w:tcPr>
          <w:p>
            <w:pPr>
              <w:spacing w:after="0"/>
              <w:rPr>
                <w:sz w:val="24"/>
                <w:szCs w:val="24"/>
                <w:color w:val="auto"/>
              </w:rPr>
            </w:pPr>
          </w:p>
        </w:tc>
        <w:tc>
          <w:tcPr>
            <w:tcW w:w="4420" w:type="dxa"/>
            <w:vAlign w:val="bottom"/>
            <w:gridSpan w:val="2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8/08/2023</w:t>
            </w:r>
          </w:p>
        </w:tc>
      </w:tr>
      <w:tr>
        <w:trPr>
          <w:trHeight w:val="234"/>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3/10/2021</w:t>
            </w:r>
          </w:p>
        </w:tc>
      </w:tr>
      <w:tr>
        <w:trPr>
          <w:trHeight w:val="418"/>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5/4/2021</w:t>
            </w:r>
          </w:p>
        </w:tc>
      </w:tr>
      <w:tr>
        <w:trPr>
          <w:trHeight w:val="418"/>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333-227445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9/20/2018</w:t>
            </w:r>
          </w:p>
        </w:tc>
      </w:tr>
      <w:tr>
        <w:trPr>
          <w:trHeight w:val="594"/>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11/9/2021</w:t>
            </w:r>
          </w:p>
        </w:tc>
      </w:tr>
      <w:tr>
        <w:trPr>
          <w:trHeight w:val="418"/>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11/9/2021</w:t>
            </w:r>
          </w:p>
        </w:tc>
      </w:tr>
      <w:tr>
        <w:trPr>
          <w:trHeight w:val="418"/>
        </w:trPr>
        <w:tc>
          <w:tcPr>
            <w:tcW w:w="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4/20/2021</w:t>
            </w:r>
          </w:p>
        </w:tc>
      </w:tr>
      <w:tr>
        <w:trPr>
          <w:trHeight w:val="418"/>
        </w:trPr>
        <w:tc>
          <w:tcPr>
            <w:tcW w:w="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4/20/2021</w:t>
            </w:r>
          </w:p>
        </w:tc>
      </w:tr>
      <w:tr>
        <w:trPr>
          <w:trHeight w:val="414"/>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11/8/2022</w:t>
            </w:r>
          </w:p>
        </w:tc>
      </w:tr>
      <w:tr>
        <w:trPr>
          <w:trHeight w:val="234"/>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10.29</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3/2/2023</w:t>
            </w:r>
          </w:p>
        </w:tc>
      </w:tr>
      <w:tr>
        <w:trPr>
          <w:trHeight w:val="418"/>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5/2/2023</w:t>
            </w:r>
          </w:p>
        </w:tc>
      </w:tr>
      <w:tr>
        <w:trPr>
          <w:trHeight w:val="418"/>
        </w:trPr>
        <w:tc>
          <w:tcPr>
            <w:tcW w:w="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5.02</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1/10/2022</w:t>
            </w:r>
          </w:p>
        </w:tc>
      </w:tr>
      <w:tr>
        <w:trPr>
          <w:trHeight w:val="418"/>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2/27/2024</w:t>
            </w:r>
          </w:p>
        </w:tc>
      </w:tr>
      <w:tr>
        <w:trPr>
          <w:trHeight w:val="419"/>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2/27/2024</w:t>
            </w:r>
          </w:p>
        </w:tc>
      </w:tr>
      <w:tr>
        <w:trPr>
          <w:trHeight w:val="418"/>
        </w:trPr>
        <w:tc>
          <w:tcPr>
            <w:tcW w:w="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7/19/2024</w:t>
            </w:r>
          </w:p>
        </w:tc>
      </w:tr>
      <w:tr>
        <w:trPr>
          <w:trHeight w:val="418"/>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11/12/2024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920" w:val="left"/>
          <w:tab w:leader="none" w:pos="2460" w:val="left"/>
          <w:tab w:leader="none" w:pos="34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001-38701</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8"/>
          <w:szCs w:val="18"/>
          <w:color w:val="auto"/>
        </w:rPr>
        <w:t>2/27/2024</w:t>
      </w:r>
    </w:p>
    <w:p>
      <w:pPr>
        <w:sectPr>
          <w:pgSz w:w="11900" w:h="16838" w:orient="portrait"/>
          <w:cols w:equalWidth="0" w:num="2">
            <w:col w:w="6240" w:space="360"/>
            <w:col w:w="4280"/>
          </w:cols>
          <w:pgMar w:left="520" w:top="891" w:right="499" w:bottom="1440" w:gutter="0" w:footer="0" w:header="0"/>
        </w:sectPr>
      </w:pPr>
    </w:p>
    <w:bookmarkStart w:id="114" w:name="page115"/>
    <w:bookmarkEnd w:id="114"/>
    <w:tbl>
      <w:tblPr>
        <w:tblLayout w:type="fixed"/>
        <w:tblInd w:w="120" w:type="dxa"/>
        <w:tblCellMar>
          <w:top w:w="0" w:type="dxa"/>
          <w:left w:w="0" w:type="dxa"/>
          <w:bottom w:w="0" w:type="dxa"/>
          <w:right w:w="0" w:type="dxa"/>
        </w:tblCellMar>
      </w:tblP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Inline XBRL Taxonomy Extension Presentation Linkbase Document</w:t>
            </w:r>
          </w:p>
        </w:tc>
      </w:tr>
    </w:tbl>
    <w:p>
      <w:pPr>
        <w:ind w:left="1300" w:right="5300" w:hanging="894"/>
        <w:spacing w:after="0" w:line="234"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80" w:lineRule="exact"/>
        <w:rPr>
          <w:sz w:val="20"/>
          <w:szCs w:val="20"/>
          <w:color w:val="auto"/>
        </w:rPr>
      </w:pPr>
    </w:p>
    <w:p>
      <w:pPr>
        <w:ind w:left="280" w:hanging="272"/>
        <w:spacing w:after="0"/>
        <w:tabs>
          <w:tab w:leader="none" w:pos="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25" w:lineRule="exact"/>
        <w:rPr>
          <w:sz w:val="20"/>
          <w:szCs w:val="20"/>
          <w:color w:val="auto"/>
        </w:rPr>
      </w:pPr>
    </w:p>
    <w:p>
      <w:pPr>
        <w:ind w:left="340" w:right="60" w:hanging="332"/>
        <w:spacing w:after="0" w:line="282" w:lineRule="auto"/>
        <w:tabs>
          <w:tab w:leader="none" w:pos="2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omitted portions of the referenced exhibit pursuant to Item 601(b) of Regulation S-K because it (a) is not material and (b) the type of information that the Registrant both customarily and actually treats as private or confidential.</w:t>
      </w:r>
    </w:p>
    <w:p>
      <w:pPr>
        <w:spacing w:after="0" w:line="134" w:lineRule="exact"/>
        <w:rPr>
          <w:sz w:val="20"/>
          <w:szCs w:val="20"/>
          <w:color w:val="auto"/>
        </w:rPr>
      </w:pPr>
    </w:p>
    <w:p>
      <w:pPr>
        <w:ind w:left="260" w:hanging="252"/>
        <w:spacing w:after="0" w:line="207" w:lineRule="exact"/>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or incorporated into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by reference, the exhibits listed on the Exhibit Index immediately above.</w:t>
      </w:r>
    </w:p>
    <w:p>
      <w:pPr>
        <w:spacing w:after="0" w:line="29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15(a)2 above.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provided.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3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SI-BONE, Inc.</w:t>
            </w:r>
          </w:p>
        </w:tc>
      </w:tr>
      <w:tr>
        <w:trPr>
          <w:trHeight w:val="392"/>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25, 2025</w:t>
            </w:r>
          </w:p>
        </w:tc>
        <w:tc>
          <w:tcPr>
            <w:tcW w:w="28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A. Francis</w:t>
            </w:r>
          </w:p>
        </w:tc>
      </w:tr>
      <w:tr>
        <w:trPr>
          <w:trHeight w:val="218"/>
        </w:trPr>
        <w:tc>
          <w:tcPr>
            <w:tcW w:w="3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A. Francis</w:t>
            </w:r>
          </w:p>
        </w:tc>
      </w:tr>
      <w:tr>
        <w:trPr>
          <w:trHeight w:val="229"/>
        </w:trPr>
        <w:tc>
          <w:tcPr>
            <w:tcW w:w="3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(Duly Authorized Officer and Principal Executive Officer</w:t>
            </w:r>
            <w:r>
              <w:rPr>
                <w:rFonts w:ascii="Times New Roman" w:cs="Times New Roman" w:eastAsia="Times New Roman" w:hAnsi="Times New Roman"/>
                <w:sz w:val="14"/>
                <w:szCs w:val="14"/>
                <w:color w:val="auto"/>
              </w:rPr>
              <w:t>)</w:t>
            </w:r>
          </w:p>
        </w:tc>
      </w:tr>
      <w:tr>
        <w:trPr>
          <w:trHeight w:val="675"/>
        </w:trPr>
        <w:tc>
          <w:tcPr>
            <w:tcW w:w="3920" w:type="dxa"/>
            <w:vAlign w:val="bottom"/>
          </w:tcPr>
          <w:p>
            <w:pPr>
              <w:spacing w:after="0"/>
              <w:rPr>
                <w:sz w:val="24"/>
                <w:szCs w:val="24"/>
                <w:color w:val="auto"/>
              </w:rPr>
            </w:pPr>
          </w:p>
        </w:tc>
        <w:tc>
          <w:tcPr>
            <w:tcW w:w="73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SI-BONE, Inc.</w:t>
            </w:r>
          </w:p>
        </w:tc>
      </w:tr>
      <w:tr>
        <w:trPr>
          <w:trHeight w:val="37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25, 2025</w:t>
            </w:r>
          </w:p>
        </w:tc>
        <w:tc>
          <w:tcPr>
            <w:tcW w:w="28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18"/>
        </w:trPr>
        <w:tc>
          <w:tcPr>
            <w:tcW w:w="3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r>
        <w:trPr>
          <w:trHeight w:val="229"/>
        </w:trPr>
        <w:tc>
          <w:tcPr>
            <w:tcW w:w="3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101"/>
        </w:trPr>
        <w:tc>
          <w:tcPr>
            <w:tcW w:w="39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both"/>
        <w:ind w:firstLine="405"/>
        <w:spacing w:after="0" w:line="219" w:lineRule="exact"/>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Laura A. Francis, and Michael A. Pisetsky,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their or his substitute or substitutes, may lawfully do or cause to be done by virtue hereof.</w:t>
      </w:r>
    </w:p>
    <w:p>
      <w:pPr>
        <w:spacing w:after="0" w:line="20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96" w:lineRule="exact"/>
        <w:rPr>
          <w:sz w:val="20"/>
          <w:szCs w:val="20"/>
          <w:color w:val="auto"/>
        </w:rPr>
      </w:pPr>
    </w:p>
    <w:p>
      <w:pPr>
        <w:ind w:left="1420"/>
        <w:spacing w:after="0"/>
        <w:tabs>
          <w:tab w:leader="none" w:pos="5580" w:val="left"/>
          <w:tab w:leader="none" w:pos="94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33655</wp:posOffset>
            </wp:positionV>
            <wp:extent cx="64122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34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48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1">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Laura A. Francis</w:t>
      </w:r>
    </w:p>
    <w:p>
      <w:pPr>
        <w:spacing w:after="0" w:line="3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48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Anshul Maheshwari</w:t>
      </w:r>
    </w:p>
    <w:p>
      <w:pPr>
        <w:spacing w:after="0" w:line="3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48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Timothy E. Davis, Jr.</w:t>
      </w:r>
    </w:p>
    <w:p>
      <w:pPr>
        <w:spacing w:after="0" w:line="3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48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4">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Jeffrey W. Dunn</w:t>
      </w:r>
    </w:p>
    <w:p>
      <w:pPr>
        <w:spacing w:after="0" w:line="3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/s/ John G. Freund,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24765</wp:posOffset>
            </wp:positionV>
            <wp:extent cx="1448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5">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4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John G. Freund, M.D.</w:t>
      </w:r>
    </w:p>
    <w:p>
      <w:pPr>
        <w:spacing w:after="0" w:line="33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48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6">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Jeryl L. Hilleman</w:t>
      </w:r>
    </w:p>
    <w:p>
      <w:pPr>
        <w:spacing w:after="0" w:line="3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48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7">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Gregory K. Hinckley</w:t>
      </w:r>
    </w:p>
    <w:p>
      <w:pPr>
        <w:spacing w:after="0" w:line="3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48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8">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Mika Nishimura</w:t>
      </w:r>
    </w:p>
    <w:p>
      <w:pPr>
        <w:spacing w:after="0" w:line="3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Thomas A.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48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9">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Thomas A. West</w:t>
      </w:r>
    </w:p>
    <w:p>
      <w:pPr>
        <w:spacing w:after="0" w:line="3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Daniel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48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Daniel Wolf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jc w:val="center"/>
        <w:ind w:righ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Duly Authorized Officer and Principal Executive Officer</w:t>
      </w:r>
      <w:r>
        <w:rPr>
          <w:rFonts w:ascii="Times New Roman" w:cs="Times New Roman" w:eastAsia="Times New Roman" w:hAnsi="Times New Roman"/>
          <w:sz w:val="13"/>
          <w:szCs w:val="13"/>
          <w:color w:val="auto"/>
        </w:rPr>
        <w:t>)</w:t>
      </w:r>
    </w:p>
    <w:p>
      <w:pPr>
        <w:spacing w:after="0" w:line="36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38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36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ectPr>
          <w:pgSz w:w="11900" w:h="16838" w:orient="portrait"/>
          <w:cols w:equalWidth="0" w:num="3">
            <w:col w:w="2940" w:space="720"/>
            <w:col w:w="4600" w:space="720"/>
            <w:col w:w="2260"/>
          </w:cols>
          <w:pgMar w:left="320" w:top="769" w:right="339" w:bottom="1440" w:gutter="0" w:footer="0" w:header="0"/>
          <w:type w:val="continuous"/>
        </w:sectPr>
      </w:pPr>
    </w:p>
    <w:bookmarkStart w:id="117" w:name="page118"/>
    <w:bookmarkEnd w:id="117"/>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49530</wp:posOffset>
                </wp:positionV>
                <wp:extent cx="640080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pt" to="504pt,3.9pt" o:allowincell="f" strokecolor="#000000" strokeweight="0.5pt"/>
            </w:pict>
          </mc:Fallback>
        </mc:AlternateContent>
      </w:r>
    </w:p>
    <w:p>
      <w:pPr>
        <w:spacing w:after="0" w:line="29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Information regarding certain non-GAAP financial measures, including Adjusted EBITDA, which is not calculated in accordance with Generally Accepted Accounting Principles (“GAAP”). Adjusted EBITDA excludes from net loss the effects of interest income, interest expense, depreciation and amortization and stock-based compensation. We use non-GAAP financial measures internally in analyzing our financial results and believe that the use of non-GAAP financial measures, including Adjusted EBITDA, is useful as an additional tool to evaluate ongoing operating results and trends and in comparing our financial results with other companies in our industry, many of which present similar non-GAAP financial measures.</w:t>
      </w:r>
    </w:p>
    <w:p>
      <w:pPr>
        <w:spacing w:after="0" w:line="19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Non-GAAP financial measures are not meant to be considered in isolation or as a substitute for comparable GAAP financial measures. We encourage stockholders to carefully consider our GAAP results, as well as our supplemental non-GAAP information and the reconciliation between these presentations, to more fully understand our business. A reconciliation of non-GAAP measures to the most directly comparable GAAP measure is provided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 reconciliation of GAAP and non-GAAP results: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NET LOSS TO NON-GAAP ADJUSTED EBITDA</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80" w:type="dxa"/>
            <w:vAlign w:val="bottom"/>
            <w:gridSpan w:val="9"/>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Twelve Months Ended</w:t>
            </w:r>
          </w:p>
        </w:tc>
        <w:tc>
          <w:tcPr>
            <w:tcW w:w="0" w:type="dxa"/>
            <w:vAlign w:val="bottom"/>
          </w:tcPr>
          <w:p>
            <w:pPr>
              <w:spacing w:after="0"/>
              <w:rPr>
                <w:sz w:val="1"/>
                <w:szCs w:val="1"/>
                <w:color w:val="auto"/>
              </w:rPr>
            </w:pPr>
          </w:p>
        </w:tc>
      </w:tr>
      <w:tr>
        <w:trPr>
          <w:trHeight w:val="263"/>
        </w:trPr>
        <w:tc>
          <w:tcPr>
            <w:tcW w:w="6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on a GAAP basis</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(30,913)</w:t>
            </w: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(43,336)</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(61,256)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0"/>
        </w:trPr>
        <w:tc>
          <w:tcPr>
            <w:tcW w:w="630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120" w:type="dxa"/>
            <w:vAlign w:val="bottom"/>
            <w:tcBorders>
              <w:righ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Add (Subtract):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6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(7,848)</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(6,916)</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(1,304)</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0"/>
        </w:trPr>
        <w:tc>
          <w:tcPr>
            <w:tcW w:w="6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20" w:type="dxa"/>
            <w:vAlign w:val="bottom"/>
            <w:tcBorders>
              <w:righ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4,379</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5,428</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3,452</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0"/>
        </w:trPr>
        <w:tc>
          <w:tcPr>
            <w:tcW w:w="6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20" w:type="dxa"/>
            <w:vAlign w:val="bottom"/>
            <w:tcBorders>
              <w:righ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24,057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3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on a non-GAAP basis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(5,074)</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(17,305)</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(33,228)</w:t>
            </w:r>
          </w:p>
        </w:tc>
        <w:tc>
          <w:tcPr>
            <w:tcW w:w="120" w:type="dxa"/>
            <w:vAlign w:val="bottom"/>
            <w:tcBorders>
              <w:right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-1631315</wp:posOffset>
            </wp:positionV>
            <wp:extent cx="6426200" cy="16510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1">
                      <a:extLst>
                        <a:ext uri="{28A0092B-C50C-407E-A947-70E740481C1C}"/>
                      </a:extLst>
                    </a:blip>
                    <a:srcRect/>
                    <a:stretch>
                      <a:fillRect/>
                    </a:stretch>
                  </pic:blipFill>
                  <pic:spPr bwMode="auto">
                    <a:xfrm>
                      <a:off x="0" y="0"/>
                      <a:ext cx="6426200" cy="1651000"/>
                    </a:xfrm>
                    <a:prstGeom prst="rect">
                      <a:avLst/>
                    </a:prstGeom>
                    <a:noFill/>
                  </pic:spPr>
                </pic:pic>
              </a:graphicData>
            </a:graphic>
          </wp:anchor>
        </w:drawing>
      </w:r>
    </w:p>
    <w:sectPr>
      <w:pgSz w:w="11880" w:h="15480" w:orient="portrait"/>
      <w:cols w:equalWidth="0" w:num="1">
        <w:col w:w="10080"/>
      </w:cols>
      <w:pgMar w:left="900" w:top="1440" w:right="9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lvl w:ilvl="1">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2"/>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5"/>
    </w:lvl>
  </w:abstractNum>
  <w:abstractNum w:abstractNumId="39">
    <w:nsid w:val="1D4ED43B"/>
    <w:multiLevelType w:val="hybridMultilevel"/>
    <w:lvl w:ilvl="0">
      <w:lvlJc w:val="left"/>
      <w:lvlText w:val="%1."/>
      <w:numFmt w:val="decimal"/>
      <w:start w:val="7"/>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
      <w:numFmt w:val="bullet"/>
      <w:start w:val="1"/>
    </w:lvl>
    <w:lvl w:ilvl="1">
      <w:lvlJc w:val="left"/>
      <w:lvlText w:val="%2"/>
      <w:numFmt w:val="decimal"/>
      <w:start w:val="104"/>
    </w:lvl>
  </w:abstractNum>
  <w:abstractNum w:abstractNumId="43">
    <w:nsid w:val="7A6D8D3C"/>
    <w:multiLevelType w:val="hybridMultilevel"/>
    <w:lvl w:ilvl="0">
      <w:lvlJc w:val="left"/>
      <w:lvlText w:val="**"/>
      <w:numFmt w:val="bullet"/>
      <w:start w:val="1"/>
    </w:lvl>
    <w:lvl w:ilvl="1">
      <w:lvlJc w:val="left"/>
      <w:lvlText w:val="%2"/>
      <w:numFmt w:val="decimal"/>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2025-04-27T20:55:54Z</dcterms:created>
  <dcterms:modified xsi:type="dcterms:W3CDTF">2025-04-27T20:55:54Z</dcterms:modified>
</cp:coreProperties>
</file>