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Arial" w:cs="Arial" w:eastAsia="Arial" w:hAnsi="Arial"/>
                <w:sz w:val="17"/>
                <w:szCs w:val="17"/>
                <w:color w:val="0000FF"/>
              </w:rPr>
              <w:t>01/15/2022</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gridSpan w:val="2"/>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40"/>
              <w:spacing w:after="0"/>
              <w:rPr>
                <w:sz w:val="20"/>
                <w:szCs w:val="20"/>
                <w:color w:val="auto"/>
              </w:rPr>
            </w:pPr>
            <w:r>
              <w:rPr>
                <w:rFonts w:ascii="Arial" w:cs="Arial" w:eastAsia="Arial" w:hAnsi="Arial"/>
                <w:sz w:val="17"/>
                <w:szCs w:val="17"/>
                <w:color w:val="0000FF"/>
              </w:rPr>
              <w:t>01/15/2022</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1,747</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22.002</w:t>
            </w:r>
          </w:p>
        </w:tc>
        <w:tc>
          <w:tcPr>
            <w:tcW w:w="120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rPr>
              <w:t>169,529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0000FF"/>
              </w:rPr>
              <w:t>76,441</w:t>
            </w:r>
            <w:r>
              <w:rPr>
                <w:rFonts w:ascii="Arial" w:cs="Arial" w:eastAsia="Arial" w:hAnsi="Arial"/>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issuable on the settlement of the restricted stock units granted to the Reporting Person. Each restricted stock unit represents a contingent right to receive one share of the Issuer's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transfer of shares from the Reporting Person to The Jeffrey W. Dunn Living Trust Dated May 17, 2012.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2022-01-19T15:13:28Z</dcterms:created>
  <dcterms:modified xsi:type="dcterms:W3CDTF">2022-01-19T15:13:28Z</dcterms:modified>
</cp:coreProperties>
</file>