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54,050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72,968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shares issuable on settlement of restricted stock units granted to the Reporting Person. Each restricted stock unit represents a contingent right to receive one shares of the Issuer's common stock. The shares subject to the restricted stock unit will be vesting over four years beginning on January 1, 2020 and will be released in quarterly installments commencing on May 15, 2020, subject to the Reporting Person's continued service through each relevant vesting date.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70,056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2020-01-07T14:53:18Z</dcterms:created>
  <dcterms:modified xsi:type="dcterms:W3CDTF">2020-01-07T14:53:18Z</dcterms:modified>
</cp:coreProperties>
</file>