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Maheshwari Anshul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05/16/2022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3,228</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12.5807</w:t>
            </w:r>
          </w:p>
        </w:tc>
        <w:tc>
          <w:tcPr>
            <w:tcW w:w="12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90,748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92"/>
              <w:spacing w:after="0"/>
              <w:rPr>
                <w:sz w:val="20"/>
                <w:szCs w:val="20"/>
                <w:color w:val="auto"/>
              </w:rPr>
            </w:pPr>
            <w:r>
              <w:rPr>
                <w:rFonts w:ascii="Times New Roman" w:cs="Times New Roman" w:eastAsia="Times New Roman" w:hAnsi="Times New Roman"/>
                <w:sz w:val="17"/>
                <w:szCs w:val="17"/>
                <w:color w:val="0000FF"/>
              </w:rPr>
              <w:t>883</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12.5807</w:t>
            </w:r>
          </w:p>
        </w:tc>
        <w:tc>
          <w:tcPr>
            <w:tcW w:w="1200" w:type="dxa"/>
            <w:vAlign w:val="bottom"/>
            <w:tcBorders>
              <w:bottom w:val="single" w:sz="8" w:color="2C2C2C"/>
            </w:tcBorders>
            <w:gridSpan w:val="2"/>
          </w:tcPr>
          <w:p>
            <w:pPr>
              <w:jc w:val="center"/>
              <w:ind w:right="180"/>
              <w:spacing w:after="0"/>
              <w:rPr>
                <w:sz w:val="20"/>
                <w:szCs w:val="20"/>
                <w:color w:val="auto"/>
              </w:rPr>
            </w:pPr>
            <w:r>
              <w:rPr>
                <w:rFonts w:ascii="Times New Roman" w:cs="Times New Roman" w:eastAsia="Times New Roman" w:hAnsi="Times New Roman"/>
                <w:sz w:val="17"/>
                <w:szCs w:val="17"/>
                <w:color w:val="0000FF"/>
              </w:rPr>
              <w:t>91,196</w:t>
            </w:r>
            <w:r>
              <w:rPr>
                <w:rFonts w:ascii="Times New Roman" w:cs="Times New Roman" w:eastAsia="Times New Roman" w:hAnsi="Times New Roman"/>
                <w:sz w:val="22"/>
                <w:szCs w:val="22"/>
                <w:color w:val="008000"/>
                <w:vertAlign w:val="superscript"/>
              </w:rPr>
              <w:t>(2)(3)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81,803 shares issuable on the settlement of restricted stock units granted to the Reporting Person. Each restricted stock unit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1,331 shares acquired under the SI-BONE, Inc. 2018 Employee Stock Purchase Plan on May 15, 2022.</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Pisetsky,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6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Anshul</w:t>
      </w:r>
      <w:r>
        <w:rPr>
          <w:sz w:val="20"/>
          <w:szCs w:val="20"/>
          <w:color w:val="auto"/>
        </w:rPr>
        <w:tab/>
      </w:r>
      <w:r>
        <w:rPr>
          <w:rFonts w:ascii="Times New Roman" w:cs="Times New Roman" w:eastAsia="Times New Roman" w:hAnsi="Times New Roman"/>
          <w:sz w:val="17"/>
          <w:szCs w:val="17"/>
          <w:color w:val="0000FF"/>
        </w:rPr>
        <w:t>05/18/2022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28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Maheshwari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43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435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853089"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2022-05-17T20:03:53Z</dcterms:created>
  <dcterms:modified xsi:type="dcterms:W3CDTF">2022-05-17T20:03:53Z</dcterms:modified>
</cp:coreProperties>
</file>